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748665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00" w:hanging="474"/>
        <w:spacing w:after="0" w:line="183" w:lineRule="auto"/>
        <w:tabs>
          <w:tab w:leader="none" w:pos="500"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November 28, 2020</w:t>
      </w:r>
    </w:p>
    <w:p>
      <w:pPr>
        <w:ind w:left="480" w:hanging="454"/>
        <w:spacing w:after="0" w:line="206" w:lineRule="auto"/>
        <w:tabs>
          <w:tab w:leader="none" w:pos="480" w:val="left"/>
        </w:tabs>
        <w:numPr>
          <w:ilvl w:val="0"/>
          <w:numId w:val="2"/>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sz w:val="24"/>
          <w:szCs w:val="24"/>
          <w:color w:val="auto"/>
        </w:rPr>
      </w:pPr>
    </w:p>
    <w:p>
      <w:pPr>
        <w:ind w:left="3980"/>
        <w:spacing w:after="0"/>
        <w:tabs>
          <w:tab w:leader="none" w:pos="65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0-6365</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APOGEE ENTERPRISES,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03" w:lineRule="exact"/>
        <w:rPr>
          <w:sz w:val="24"/>
          <w:szCs w:val="24"/>
          <w:color w:val="auto"/>
        </w:rPr>
      </w:pPr>
    </w:p>
    <w:p>
      <w:pPr>
        <w:ind w:left="1860"/>
        <w:spacing w:after="0"/>
        <w:tabs>
          <w:tab w:leader="none" w:pos="8820" w:val="left"/>
        </w:tabs>
        <w:rPr>
          <w:sz w:val="20"/>
          <w:szCs w:val="20"/>
          <w:color w:val="auto"/>
        </w:rPr>
      </w:pP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7"/>
          <w:szCs w:val="17"/>
          <w:b w:val="1"/>
          <w:bCs w:val="1"/>
          <w:color w:val="auto"/>
        </w:rPr>
        <w:t>41-0919654</w:t>
      </w:r>
    </w:p>
    <w:p>
      <w:pPr>
        <w:spacing w:after="0" w:line="31" w:lineRule="exact"/>
        <w:rPr>
          <w:sz w:val="24"/>
          <w:szCs w:val="24"/>
          <w:color w:val="auto"/>
        </w:rPr>
      </w:pPr>
    </w:p>
    <w:p>
      <w:pPr>
        <w:ind w:left="540"/>
        <w:spacing w:after="0"/>
        <w:tabs>
          <w:tab w:leader="none" w:pos="820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72"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Times New Roman" w:cs="Times New Roman" w:eastAsia="Times New Roman" w:hAnsi="Times New Roman"/>
          <w:sz w:val="17"/>
          <w:szCs w:val="17"/>
          <w:b w:val="1"/>
          <w:bCs w:val="1"/>
          <w:color w:val="auto"/>
        </w:rPr>
        <w:t>4400 West 78th Street, Suite 520</w:t>
      </w:r>
      <w:r>
        <w:rPr>
          <w:sz w:val="20"/>
          <w:szCs w:val="20"/>
          <w:color w:val="auto"/>
        </w:rPr>
        <w:tab/>
      </w:r>
      <w:r>
        <w:rPr>
          <w:rFonts w:ascii="Times New Roman" w:cs="Times New Roman" w:eastAsia="Times New Roman" w:hAnsi="Times New Roman"/>
          <w:sz w:val="17"/>
          <w:szCs w:val="17"/>
          <w:b w:val="1"/>
          <w:bCs w:val="1"/>
          <w:color w:val="auto"/>
        </w:rPr>
        <w:t>Minneapolis</w:t>
      </w:r>
      <w:r>
        <w:rPr>
          <w:sz w:val="20"/>
          <w:szCs w:val="20"/>
          <w:color w:val="auto"/>
        </w:rPr>
        <w:tab/>
      </w:r>
      <w:r>
        <w:rPr>
          <w:rFonts w:ascii="Times New Roman" w:cs="Times New Roman" w:eastAsia="Times New Roman" w:hAnsi="Times New Roman"/>
          <w:sz w:val="17"/>
          <w:szCs w:val="17"/>
          <w:b w:val="1"/>
          <w:bCs w:val="1"/>
          <w:color w:val="auto"/>
        </w:rPr>
        <w:t>Minnesota</w:t>
      </w:r>
      <w:r>
        <w:rPr>
          <w:sz w:val="20"/>
          <w:szCs w:val="20"/>
          <w:color w:val="auto"/>
        </w:rPr>
        <w:tab/>
      </w:r>
      <w:r>
        <w:rPr>
          <w:rFonts w:ascii="Times New Roman" w:cs="Times New Roman" w:eastAsia="Times New Roman" w:hAnsi="Times New Roman"/>
          <w:sz w:val="16"/>
          <w:szCs w:val="16"/>
          <w:b w:val="1"/>
          <w:bCs w:val="1"/>
          <w:color w:val="auto"/>
        </w:rPr>
        <w:t>55435</w:t>
      </w:r>
    </w:p>
    <w:p>
      <w:pPr>
        <w:spacing w:after="0" w:line="31" w:lineRule="exact"/>
        <w:rPr>
          <w:sz w:val="24"/>
          <w:szCs w:val="24"/>
          <w:color w:val="auto"/>
        </w:rPr>
      </w:pPr>
    </w:p>
    <w:p>
      <w:pPr>
        <w:ind w:left="1100"/>
        <w:spacing w:after="0"/>
        <w:tabs>
          <w:tab w:leader="none" w:pos="8920"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31" w:lineRule="exact"/>
        <w:rPr>
          <w:sz w:val="24"/>
          <w:szCs w:val="24"/>
          <w:color w:val="auto"/>
        </w:rPr>
      </w:pPr>
    </w:p>
    <w:p>
      <w:pPr>
        <w:ind w:left="500"/>
        <w:spacing w:after="0"/>
        <w:tabs>
          <w:tab w:leader="none" w:pos="5320" w:val="left"/>
          <w:tab w:leader="none" w:pos="7880" w:val="left"/>
        </w:tabs>
        <w:rPr>
          <w:sz w:val="20"/>
          <w:szCs w:val="20"/>
          <w:color w:val="auto"/>
        </w:rPr>
      </w:pPr>
      <w:r>
        <w:rPr>
          <w:rFonts w:ascii="Times New Roman" w:cs="Times New Roman" w:eastAsia="Times New Roman" w:hAnsi="Times New Roman"/>
          <w:sz w:val="18"/>
          <w:szCs w:val="18"/>
          <w:color w:val="auto"/>
        </w:rPr>
        <w:t>Common stock, par value $0.33 1/3 per share</w:t>
      </w:r>
      <w:r>
        <w:rPr>
          <w:sz w:val="20"/>
          <w:szCs w:val="20"/>
          <w:color w:val="auto"/>
        </w:rPr>
        <w:tab/>
      </w:r>
      <w:r>
        <w:rPr>
          <w:rFonts w:ascii="Times New Roman" w:cs="Times New Roman" w:eastAsia="Times New Roman" w:hAnsi="Times New Roman"/>
          <w:sz w:val="18"/>
          <w:szCs w:val="18"/>
          <w:color w:val="auto"/>
        </w:rPr>
        <w:t>APOG</w:t>
      </w:r>
      <w:r>
        <w:rPr>
          <w:sz w:val="20"/>
          <w:szCs w:val="20"/>
          <w:color w:val="auto"/>
        </w:rPr>
        <w:tab/>
      </w:r>
      <w:r>
        <w:rPr>
          <w:rFonts w:ascii="Times New Roman" w:cs="Times New Roman" w:eastAsia="Times New Roman" w:hAnsi="Times New Roman"/>
          <w:sz w:val="18"/>
          <w:szCs w:val="18"/>
          <w:color w:val="auto"/>
        </w:rPr>
        <w:t>NASDAQ Global Select Market</w:t>
      </w:r>
    </w:p>
    <w:p>
      <w:pPr>
        <w:spacing w:after="0" w:line="99"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No</w:t>
      </w:r>
    </w:p>
    <w:p>
      <w:pPr>
        <w:spacing w:after="0" w:line="116" w:lineRule="exact"/>
        <w:rPr>
          <w:sz w:val="24"/>
          <w:szCs w:val="24"/>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Yes No</w:t>
      </w:r>
    </w:p>
    <w:p>
      <w:pPr>
        <w:spacing w:after="0" w:line="101"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89" w:right="339" w:bottom="1440" w:gutter="0" w:footer="0" w:header="0"/>
        </w:sectPr>
      </w:pP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x</w:t>
            </w: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7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spacing w:after="0"/>
              <w:rPr>
                <w:sz w:val="24"/>
                <w:szCs w:val="24"/>
                <w:color w:val="auto"/>
              </w:rPr>
            </w:pPr>
          </w:p>
        </w:tc>
        <w:tc>
          <w:tcPr>
            <w:tcW w:w="422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8"/>
              </w:rPr>
              <w:t>Smaller reporting company</w:t>
            </w:r>
          </w:p>
        </w:tc>
      </w:tr>
      <w:tr>
        <w:trPr>
          <w:trHeight w:val="29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2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34"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89" w:right="339" w:bottom="1440" w:gutter="0" w:footer="0" w:header="0"/>
          <w:type w:val="continuous"/>
        </w:sectPr>
      </w:pPr>
    </w:p>
    <w:bookmarkStart w:id="1" w:name="page2"/>
    <w:bookmarkEnd w:id="1"/>
    <w:p>
      <w:pPr>
        <w:ind w:right="699"/>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Arial" w:cs="Arial" w:eastAsia="Arial" w:hAnsi="Arial"/>
          <w:sz w:val="18"/>
          <w:szCs w:val="18"/>
          <w:color w:val="auto"/>
        </w:rPr>
        <w:t>x</w:t>
      </w:r>
      <w:r>
        <w:rPr>
          <w:rFonts w:ascii="Times New Roman" w:cs="Times New Roman" w:eastAsia="Times New Roman" w:hAnsi="Times New Roman"/>
          <w:sz w:val="18"/>
          <w:szCs w:val="18"/>
          <w:color w:val="auto"/>
        </w:rPr>
        <w:t xml:space="preserve"> No As of January 5, 2021, 26,007,703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065" w:right="1440"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APOGEE ENTERPRISES, INC. AND SUBSIDIARIES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21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0"/>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40" w:type="dxa"/>
            <w:vAlign w:val="bottom"/>
          </w:tcPr>
          <w:p>
            <w:pPr>
              <w:ind w:left="28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Financial Information</w:t>
              </w:r>
            </w:hyperlink>
          </w:p>
        </w:tc>
        <w:tc>
          <w:tcPr>
            <w:tcW w:w="13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r>
      <w:tr>
        <w:trPr>
          <w:trHeight w:val="28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Financial Statements (Unaudited):</w:t>
              </w:r>
            </w:hyperlink>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3"/>
        </w:trPr>
        <w:tc>
          <w:tcPr>
            <w:tcW w:w="1060" w:type="dxa"/>
            <w:vAlign w:val="bottom"/>
          </w:tcPr>
          <w:p>
            <w:pPr>
              <w:spacing w:after="0"/>
              <w:rPr>
                <w:sz w:val="24"/>
                <w:szCs w:val="24"/>
                <w:color w:val="auto"/>
              </w:rPr>
            </w:pP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Balance Sheets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4</w:t>
              </w:r>
            </w:hyperlink>
          </w:p>
        </w:tc>
      </w:tr>
      <w:tr>
        <w:trPr>
          <w:trHeight w:val="283"/>
        </w:trPr>
        <w:tc>
          <w:tcPr>
            <w:tcW w:w="1060" w:type="dxa"/>
            <w:vAlign w:val="bottom"/>
          </w:tcPr>
          <w:p>
            <w:pPr>
              <w:spacing w:after="0"/>
              <w:rPr>
                <w:sz w:val="24"/>
                <w:szCs w:val="24"/>
                <w:color w:val="auto"/>
              </w:rPr>
            </w:pP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Consolidated Results of Operations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5</w:t>
              </w:r>
            </w:hyperlink>
          </w:p>
        </w:tc>
      </w:tr>
      <w:tr>
        <w:trPr>
          <w:trHeight w:val="283"/>
        </w:trPr>
        <w:tc>
          <w:tcPr>
            <w:tcW w:w="1060" w:type="dxa"/>
            <w:vAlign w:val="bottom"/>
          </w:tcPr>
          <w:p>
            <w:pPr>
              <w:spacing w:after="0"/>
              <w:rPr>
                <w:sz w:val="24"/>
                <w:szCs w:val="24"/>
                <w:color w:val="auto"/>
              </w:rPr>
            </w:pP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Consolidated Statements of Comprehensive Earnings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6</w:t>
              </w:r>
            </w:hyperlink>
          </w:p>
        </w:tc>
      </w:tr>
      <w:tr>
        <w:trPr>
          <w:trHeight w:val="283"/>
        </w:trPr>
        <w:tc>
          <w:tcPr>
            <w:tcW w:w="1060" w:type="dxa"/>
            <w:vAlign w:val="bottom"/>
          </w:tcPr>
          <w:p>
            <w:pPr>
              <w:spacing w:after="0"/>
              <w:rPr>
                <w:sz w:val="24"/>
                <w:szCs w:val="24"/>
                <w:color w:val="auto"/>
              </w:rPr>
            </w:pP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Consolidated Statements of Cash Flows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7</w:t>
              </w:r>
            </w:hyperlink>
          </w:p>
        </w:tc>
      </w:tr>
      <w:tr>
        <w:trPr>
          <w:trHeight w:val="284"/>
        </w:trPr>
        <w:tc>
          <w:tcPr>
            <w:tcW w:w="1060" w:type="dxa"/>
            <w:vAlign w:val="bottom"/>
          </w:tcPr>
          <w:p>
            <w:pPr>
              <w:spacing w:after="0"/>
              <w:rPr>
                <w:sz w:val="24"/>
                <w:szCs w:val="24"/>
                <w:color w:val="auto"/>
              </w:rPr>
            </w:pP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Consolidated Statements of Shareholders' Equity</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7">
              <w:r>
                <w:rPr>
                  <w:rFonts w:ascii="Times New Roman" w:cs="Times New Roman" w:eastAsia="Times New Roman" w:hAnsi="Times New Roman"/>
                  <w:sz w:val="18"/>
                  <w:szCs w:val="18"/>
                  <w:u w:val="single" w:color="auto"/>
                  <w:color w:val="0000FF"/>
                </w:rPr>
                <w:t>8</w:t>
              </w:r>
            </w:hyperlink>
          </w:p>
        </w:tc>
      </w:tr>
      <w:tr>
        <w:trPr>
          <w:trHeight w:val="283"/>
        </w:trPr>
        <w:tc>
          <w:tcPr>
            <w:tcW w:w="1060" w:type="dxa"/>
            <w:vAlign w:val="bottom"/>
          </w:tcPr>
          <w:p>
            <w:pPr>
              <w:spacing w:after="0"/>
              <w:rPr>
                <w:sz w:val="24"/>
                <w:szCs w:val="24"/>
                <w:color w:val="auto"/>
              </w:rPr>
            </w:pP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Notes to Consolidated Financial Statements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10</w:t>
              </w:r>
            </w:hyperlink>
          </w:p>
        </w:tc>
      </w:tr>
      <w:tr>
        <w:trPr>
          <w:trHeight w:val="28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1">
              <w:r>
                <w:rPr>
                  <w:rFonts w:ascii="Times New Roman" w:cs="Times New Roman" w:eastAsia="Times New Roman" w:hAnsi="Times New Roman"/>
                  <w:sz w:val="18"/>
                  <w:szCs w:val="18"/>
                  <w:u w:val="single" w:color="auto"/>
                  <w:color w:val="0000FF"/>
                </w:rPr>
                <w:t>21</w:t>
              </w:r>
            </w:hyperlink>
          </w:p>
        </w:tc>
      </w:tr>
      <w:tr>
        <w:trPr>
          <w:trHeight w:val="28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Quantitative and Qualitative Disclosures About Market Risk</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27</w:t>
              </w:r>
            </w:hyperlink>
          </w:p>
        </w:tc>
      </w:tr>
      <w:tr>
        <w:trPr>
          <w:trHeight w:val="28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Controls and Procedures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27</w:t>
              </w:r>
            </w:hyperlink>
          </w:p>
        </w:tc>
      </w:tr>
      <w:tr>
        <w:trPr>
          <w:trHeight w:val="28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40" w:type="dxa"/>
            <w:vAlign w:val="bottom"/>
          </w:tcPr>
          <w:p>
            <w:pPr>
              <w:ind w:left="280"/>
              <w:spacing w:after="0"/>
              <w:rPr>
                <w:rFonts w:ascii="Times New Roman" w:cs="Times New Roman" w:eastAsia="Times New Roman" w:hAnsi="Times New Roman"/>
                <w:sz w:val="18"/>
                <w:szCs w:val="18"/>
                <w:b w:val="1"/>
                <w:bCs w:val="1"/>
                <w:u w:val="single" w:color="auto"/>
                <w:color w:val="0000FF"/>
              </w:rPr>
            </w:pPr>
            <w:hyperlink w:anchor="page27">
              <w:r>
                <w:rPr>
                  <w:rFonts w:ascii="Times New Roman" w:cs="Times New Roman" w:eastAsia="Times New Roman" w:hAnsi="Times New Roman"/>
                  <w:sz w:val="18"/>
                  <w:szCs w:val="18"/>
                  <w:b w:val="1"/>
                  <w:bCs w:val="1"/>
                  <w:u w:val="single" w:color="auto"/>
                  <w:color w:val="0000FF"/>
                </w:rPr>
                <w:t>Other Information</w:t>
              </w:r>
            </w:hyperlink>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84"/>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Legal Proceedings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27</w:t>
              </w:r>
            </w:hyperlink>
          </w:p>
        </w:tc>
      </w:tr>
      <w:tr>
        <w:trPr>
          <w:trHeight w:val="28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Risk Factors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7">
              <w:r>
                <w:rPr>
                  <w:rFonts w:ascii="Times New Roman" w:cs="Times New Roman" w:eastAsia="Times New Roman" w:hAnsi="Times New Roman"/>
                  <w:sz w:val="18"/>
                  <w:szCs w:val="18"/>
                  <w:u w:val="single" w:color="auto"/>
                  <w:color w:val="0000FF"/>
                </w:rPr>
                <w:t>27</w:t>
              </w:r>
            </w:hyperlink>
          </w:p>
        </w:tc>
      </w:tr>
      <w:tr>
        <w:trPr>
          <w:trHeight w:val="28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Unregistered Sales of Equity Securities and Use of Proceeds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28</w:t>
              </w:r>
            </w:hyperlink>
          </w:p>
        </w:tc>
      </w:tr>
      <w:tr>
        <w:trPr>
          <w:trHeight w:val="283"/>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tcPr>
          <w:p>
            <w:pPr>
              <w:ind w:left="28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Exhibits</w:t>
              </w:r>
            </w:hyperlink>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28</w:t>
              </w:r>
            </w:hyperlink>
          </w:p>
        </w:tc>
      </w:tr>
      <w:tr>
        <w:trPr>
          <w:trHeight w:val="283"/>
        </w:trPr>
        <w:tc>
          <w:tcPr>
            <w:tcW w:w="1060" w:type="dxa"/>
            <w:vAlign w:val="bottom"/>
          </w:tcPr>
          <w:p>
            <w:pPr>
              <w:ind w:left="2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Signatures</w:t>
              </w:r>
            </w:hyperlink>
          </w:p>
        </w:tc>
        <w:tc>
          <w:tcPr>
            <w:tcW w:w="8040" w:type="dxa"/>
            <w:vAlign w:val="bottom"/>
          </w:tcPr>
          <w:p>
            <w:pPr>
              <w:spacing w:after="0"/>
              <w:rPr>
                <w:sz w:val="24"/>
                <w:szCs w:val="24"/>
                <w:color w:val="auto"/>
              </w:rPr>
            </w:pPr>
          </w:p>
        </w:tc>
        <w:tc>
          <w:tcPr>
            <w:tcW w:w="2140" w:type="dxa"/>
            <w:vAlign w:val="bottom"/>
            <w:gridSpan w:val="3"/>
          </w:tcPr>
          <w:p>
            <w:pPr>
              <w:jc w:val="right"/>
              <w:ind w:right="40"/>
              <w:spacing w:after="0"/>
              <w:rPr>
                <w:rFonts w:ascii="Times New Roman" w:cs="Times New Roman" w:eastAsia="Times New Roman" w:hAnsi="Times New Roman"/>
                <w:sz w:val="18"/>
                <w:szCs w:val="18"/>
                <w:u w:val="single" w:color="auto"/>
                <w:color w:val="0000FF"/>
              </w:rPr>
            </w:pPr>
            <w:hyperlink w:anchor="page29">
              <w:r>
                <w:rPr>
                  <w:rFonts w:ascii="Times New Roman" w:cs="Times New Roman" w:eastAsia="Times New Roman" w:hAnsi="Times New Roman"/>
                  <w:sz w:val="18"/>
                  <w:szCs w:val="18"/>
                  <w:u w:val="single" w:color="auto"/>
                  <w:color w:val="0000FF"/>
                </w:rPr>
                <w:t>29</w:t>
              </w:r>
            </w:hyperlink>
          </w:p>
        </w:tc>
      </w:tr>
      <w:tr>
        <w:trPr>
          <w:trHeight w:val="851"/>
        </w:trPr>
        <w:tc>
          <w:tcPr>
            <w:tcW w:w="1060" w:type="dxa"/>
            <w:vAlign w:val="bottom"/>
          </w:tcPr>
          <w:p>
            <w:pPr>
              <w:spacing w:after="0"/>
              <w:rPr>
                <w:sz w:val="24"/>
                <w:szCs w:val="24"/>
                <w:color w:val="auto"/>
              </w:rPr>
            </w:pPr>
          </w:p>
        </w:tc>
        <w:tc>
          <w:tcPr>
            <w:tcW w:w="804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80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00" w:type="dxa"/>
            <w:vAlign w:val="bottom"/>
            <w:gridSpan w:val="3"/>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620" w:type="dxa"/>
            <w:vAlign w:val="bottom"/>
          </w:tcPr>
          <w:p>
            <w:pPr>
              <w:spacing w:after="0"/>
              <w:rPr>
                <w:sz w:val="24"/>
                <w:szCs w:val="24"/>
                <w:color w:val="auto"/>
              </w:rPr>
            </w:pPr>
          </w:p>
        </w:tc>
        <w:tc>
          <w:tcPr>
            <w:tcW w:w="698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stock data)</w:t>
            </w:r>
          </w:p>
        </w:tc>
        <w:tc>
          <w:tcPr>
            <w:tcW w:w="16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November 28, 2020</w:t>
            </w:r>
          </w:p>
        </w:tc>
        <w:tc>
          <w:tcPr>
            <w:tcW w:w="180" w:type="dxa"/>
            <w:vAlign w:val="bottom"/>
          </w:tcPr>
          <w:p>
            <w:pPr>
              <w:spacing w:after="0"/>
              <w:rPr>
                <w:sz w:val="24"/>
                <w:szCs w:val="24"/>
                <w:color w:val="auto"/>
              </w:rPr>
            </w:pP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February 29, 2020</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0" w:type="dxa"/>
            <w:vAlign w:val="bottom"/>
          </w:tcPr>
          <w:p>
            <w:pPr>
              <w:spacing w:after="0"/>
              <w:rPr>
                <w:sz w:val="1"/>
                <w:szCs w:val="1"/>
                <w:color w:val="auto"/>
              </w:rPr>
            </w:pPr>
          </w:p>
        </w:tc>
      </w:tr>
      <w:tr>
        <w:trPr>
          <w:trHeight w:val="229"/>
        </w:trPr>
        <w:tc>
          <w:tcPr>
            <w:tcW w:w="7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196,806</w:t>
            </w: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71,089</w:t>
            </w:r>
          </w:p>
        </w:tc>
        <w:tc>
          <w:tcPr>
            <w:tcW w:w="0" w:type="dxa"/>
            <w:vAlign w:val="bottom"/>
          </w:tcPr>
          <w:p>
            <w:pPr>
              <w:spacing w:after="0"/>
              <w:rPr>
                <w:sz w:val="1"/>
                <w:szCs w:val="1"/>
                <w:color w:val="auto"/>
              </w:rPr>
            </w:pPr>
          </w:p>
        </w:tc>
      </w:tr>
      <w:tr>
        <w:trPr>
          <w:trHeight w:val="230"/>
        </w:trPr>
        <w:tc>
          <w:tcPr>
            <w:tcW w:w="7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73,582</w:t>
            </w: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25,481</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345,635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381,910</w:t>
            </w:r>
          </w:p>
        </w:tc>
        <w:tc>
          <w:tcPr>
            <w:tcW w:w="0" w:type="dxa"/>
            <w:vAlign w:val="bottom"/>
          </w:tcPr>
          <w:p>
            <w:pPr>
              <w:spacing w:after="0"/>
              <w:rPr>
                <w:sz w:val="1"/>
                <w:szCs w:val="1"/>
                <w:color w:val="auto"/>
              </w:rPr>
            </w:pPr>
          </w:p>
        </w:tc>
      </w:tr>
      <w:tr>
        <w:trPr>
          <w:trHeight w:val="223"/>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324,386</w:t>
            </w:r>
          </w:p>
        </w:tc>
        <w:tc>
          <w:tcPr>
            <w:tcW w:w="0" w:type="dxa"/>
            <w:vAlign w:val="bottom"/>
          </w:tcPr>
          <w:p>
            <w:pPr>
              <w:spacing w:after="0"/>
              <w:rPr>
                <w:sz w:val="1"/>
                <w:szCs w:val="1"/>
                <w:color w:val="auto"/>
              </w:rPr>
            </w:pPr>
          </w:p>
        </w:tc>
      </w:tr>
      <w:tr>
        <w:trPr>
          <w:trHeight w:val="230"/>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52,892</w:t>
            </w: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185,516</w:t>
            </w:r>
          </w:p>
        </w:tc>
        <w:tc>
          <w:tcPr>
            <w:tcW w:w="0" w:type="dxa"/>
            <w:vAlign w:val="bottom"/>
          </w:tcPr>
          <w:p>
            <w:pPr>
              <w:spacing w:after="0"/>
              <w:rPr>
                <w:sz w:val="1"/>
                <w:szCs w:val="1"/>
                <w:color w:val="auto"/>
              </w:rPr>
            </w:pPr>
          </w:p>
        </w:tc>
      </w:tr>
      <w:tr>
        <w:trPr>
          <w:trHeight w:val="229"/>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140,191</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6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1,085,982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1,128,991</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69,056</w:t>
            </w:r>
          </w:p>
        </w:tc>
        <w:tc>
          <w:tcPr>
            <w:tcW w:w="0" w:type="dxa"/>
            <w:vAlign w:val="bottom"/>
          </w:tcPr>
          <w:p>
            <w:pPr>
              <w:spacing w:after="0"/>
              <w:rPr>
                <w:sz w:val="1"/>
                <w:szCs w:val="1"/>
                <w:color w:val="auto"/>
              </w:rPr>
            </w:pPr>
          </w:p>
        </w:tc>
      </w:tr>
      <w:tr>
        <w:trPr>
          <w:trHeight w:val="229"/>
        </w:trPr>
        <w:tc>
          <w:tcPr>
            <w:tcW w:w="7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40,119</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Billings on contracts in excess of costs and earnings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32,696</w:t>
            </w:r>
          </w:p>
        </w:tc>
        <w:tc>
          <w:tcPr>
            <w:tcW w:w="0" w:type="dxa"/>
            <w:vAlign w:val="bottom"/>
          </w:tcPr>
          <w:p>
            <w:pPr>
              <w:spacing w:after="0"/>
              <w:rPr>
                <w:sz w:val="1"/>
                <w:szCs w:val="1"/>
                <w:color w:val="auto"/>
              </w:rPr>
            </w:pPr>
          </w:p>
        </w:tc>
      </w:tr>
      <w:tr>
        <w:trPr>
          <w:trHeight w:val="230"/>
        </w:trPr>
        <w:tc>
          <w:tcPr>
            <w:tcW w:w="7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118,314</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276,857</w:t>
            </w:r>
          </w:p>
        </w:tc>
        <w:tc>
          <w:tcPr>
            <w:tcW w:w="0" w:type="dxa"/>
            <w:vAlign w:val="bottom"/>
          </w:tcPr>
          <w:p>
            <w:pPr>
              <w:spacing w:after="0"/>
              <w:rPr>
                <w:sz w:val="1"/>
                <w:szCs w:val="1"/>
                <w:color w:val="auto"/>
              </w:rPr>
            </w:pPr>
          </w:p>
        </w:tc>
      </w:tr>
      <w:tr>
        <w:trPr>
          <w:trHeight w:val="223"/>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43,163</w:t>
            </w:r>
          </w:p>
        </w:tc>
        <w:tc>
          <w:tcPr>
            <w:tcW w:w="0" w:type="dxa"/>
            <w:vAlign w:val="bottom"/>
          </w:tcPr>
          <w:p>
            <w:pPr>
              <w:spacing w:after="0"/>
              <w:rPr>
                <w:sz w:val="1"/>
                <w:szCs w:val="1"/>
                <w:color w:val="auto"/>
              </w:rPr>
            </w:pPr>
          </w:p>
        </w:tc>
      </w:tr>
      <w:tr>
        <w:trPr>
          <w:trHeight w:val="230"/>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Non-current self-insurance reserves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22,831</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56,862</w:t>
            </w:r>
          </w:p>
        </w:tc>
        <w:tc>
          <w:tcPr>
            <w:tcW w:w="0" w:type="dxa"/>
            <w:vAlign w:val="bottom"/>
          </w:tcPr>
          <w:p>
            <w:pPr>
              <w:spacing w:after="0"/>
              <w:rPr>
                <w:sz w:val="1"/>
                <w:szCs w:val="1"/>
                <w:color w:val="auto"/>
              </w:rPr>
            </w:pPr>
          </w:p>
        </w:tc>
      </w:tr>
      <w:tr>
        <w:trPr>
          <w:trHeight w:val="230"/>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8)</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00" w:type="dxa"/>
            <w:vAlign w:val="bottom"/>
            <w:gridSpan w:val="3"/>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of $0.33-1/3 par value; authorized 50,000,000 shares; issued and outstanding</w:t>
            </w:r>
          </w:p>
        </w:tc>
        <w:tc>
          <w:tcPr>
            <w:tcW w:w="1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0" w:type="dxa"/>
            <w:vAlign w:val="bottom"/>
          </w:tcPr>
          <w:p>
            <w:pPr>
              <w:spacing w:after="0"/>
              <w:rPr>
                <w:sz w:val="1"/>
                <w:szCs w:val="1"/>
                <w:color w:val="auto"/>
              </w:rPr>
            </w:pPr>
          </w:p>
        </w:tc>
      </w:tr>
      <w:tr>
        <w:trPr>
          <w:trHeight w:val="229"/>
        </w:trPr>
        <w:tc>
          <w:tcPr>
            <w:tcW w:w="76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25,962,041 and 26,443,166 respectively</w:t>
            </w:r>
          </w:p>
        </w:tc>
        <w:tc>
          <w:tcPr>
            <w:tcW w:w="1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154,016</w:t>
            </w:r>
          </w:p>
        </w:tc>
        <w:tc>
          <w:tcPr>
            <w:tcW w:w="0" w:type="dxa"/>
            <w:vAlign w:val="bottom"/>
          </w:tcPr>
          <w:p>
            <w:pPr>
              <w:spacing w:after="0"/>
              <w:rPr>
                <w:sz w:val="1"/>
                <w:szCs w:val="1"/>
                <w:color w:val="auto"/>
              </w:rPr>
            </w:pPr>
          </w:p>
        </w:tc>
      </w:tr>
      <w:tr>
        <w:trPr>
          <w:trHeight w:val="230"/>
        </w:trPr>
        <w:tc>
          <w:tcPr>
            <w:tcW w:w="7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388,010</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held in trust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29"/>
        </w:trPr>
        <w:tc>
          <w:tcPr>
            <w:tcW w:w="76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Deferred compensation obligations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30"/>
        </w:trPr>
        <w:tc>
          <w:tcPr>
            <w:tcW w:w="76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(34,062)</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547,343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516,778</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1,128,991</w:t>
            </w: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40" w:type="dxa"/>
            <w:vAlign w:val="bottom"/>
            <w:tcBorders>
              <w:bottom w:val="single" w:sz="8" w:color="auto"/>
            </w:tcBorders>
          </w:tcPr>
          <w:p>
            <w:pPr>
              <w:spacing w:after="0"/>
              <w:rPr>
                <w:sz w:val="18"/>
                <w:szCs w:val="18"/>
                <w:color w:val="auto"/>
              </w:rPr>
            </w:pPr>
          </w:p>
        </w:tc>
      </w:tr>
      <w:tr>
        <w:trPr>
          <w:trHeight w:val="211"/>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28, 2020</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30, 2019</w:t>
            </w:r>
          </w:p>
        </w:tc>
        <w:tc>
          <w:tcPr>
            <w:tcW w:w="10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November 28, 2020</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30, 2019</w:t>
            </w: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313,583</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337,916</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922,162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1,050,340</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243,998</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263,606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716,139</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808,856</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69,585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206,023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241,484</w:t>
            </w:r>
          </w:p>
        </w:tc>
      </w:tr>
      <w:tr>
        <w:trPr>
          <w:trHeight w:val="229"/>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19,835</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126,590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169,274</w:t>
            </w:r>
          </w:p>
        </w:tc>
      </w:tr>
      <w:tr>
        <w:trPr>
          <w:trHeight w:val="223"/>
        </w:trPr>
        <w:tc>
          <w:tcPr>
            <w:tcW w:w="4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79,433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72,210</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65,633</w:t>
            </w: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r>
      <w:tr>
        <w:trPr>
          <w:trHeight w:val="223"/>
        </w:trPr>
        <w:tc>
          <w:tcPr>
            <w:tcW w:w="4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37,273</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57,807</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49,956</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26,776</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5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COMPREHENSIVE EARNINGS </w:t>
      </w:r>
      <w:r>
        <w:rPr>
          <w:rFonts w:ascii="Times New Roman" w:cs="Times New Roman" w:eastAsia="Times New Roman" w:hAnsi="Times New Roman"/>
          <w:sz w:val="18"/>
          <w:szCs w:val="18"/>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28, 2020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November 30, 2019</w:t>
            </w: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November 28, 2020</w:t>
            </w:r>
          </w:p>
        </w:tc>
        <w:tc>
          <w:tcPr>
            <w:tcW w:w="152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November 30, 2019</w:t>
            </w:r>
          </w:p>
        </w:tc>
        <w:tc>
          <w:tcPr>
            <w:tcW w:w="0" w:type="dxa"/>
            <w:vAlign w:val="bottom"/>
          </w:tcPr>
          <w:p>
            <w:pPr>
              <w:spacing w:after="0"/>
              <w:rPr>
                <w:sz w:val="1"/>
                <w:szCs w:val="1"/>
                <w:color w:val="auto"/>
              </w:rPr>
            </w:pPr>
          </w:p>
        </w:tc>
      </w:tr>
      <w:tr>
        <w:trPr>
          <w:trHeight w:val="225"/>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37,273</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49,956</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(loss) gain on marketable securities, net of $—,</w:t>
            </w:r>
          </w:p>
        </w:tc>
        <w:tc>
          <w:tcPr>
            <w:tcW w:w="4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 $39 and $38 of tax (benefit) expense, respectively</w:t>
            </w:r>
          </w:p>
        </w:tc>
        <w:tc>
          <w:tcPr>
            <w:tcW w:w="4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Unrealized gain on derivative instruments, net of $90, $119,</w:t>
            </w:r>
          </w:p>
        </w:tc>
        <w:tc>
          <w:tcPr>
            <w:tcW w:w="4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9"/>
        </w:trPr>
        <w:tc>
          <w:tcPr>
            <w:tcW w:w="4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$305 and $146 of tax expense, respectively</w:t>
            </w:r>
          </w:p>
        </w:tc>
        <w:tc>
          <w:tcPr>
            <w:tcW w:w="4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earnings</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59,836</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3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November 28, 2020</w:t>
            </w:r>
          </w:p>
        </w:tc>
        <w:tc>
          <w:tcPr>
            <w:tcW w:w="1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November 30, 2019</w:t>
            </w:r>
          </w:p>
        </w:tc>
      </w:tr>
      <w:tr>
        <w:trPr>
          <w:trHeight w:val="225"/>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49,956</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8,993</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and earnings on contracts in excess of billings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r>
      <w:tr>
        <w:trPr>
          <w:trHeight w:val="230"/>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(22,457)</w:t>
            </w:r>
          </w:p>
        </w:tc>
      </w:tr>
      <w:tr>
        <w:trPr>
          <w:trHeight w:val="229"/>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Billings on contracts in excess of costs and earnings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w:t>
            </w:r>
          </w:p>
        </w:tc>
      </w:tr>
      <w:tr>
        <w:trPr>
          <w:trHeight w:val="229"/>
        </w:trPr>
        <w:tc>
          <w:tcPr>
            <w:tcW w:w="7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Refundable and accrued income taxes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r>
      <w:tr>
        <w:trPr>
          <w:trHeight w:val="230"/>
        </w:trPr>
        <w:tc>
          <w:tcPr>
            <w:tcW w:w="7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r>
      <w:tr>
        <w:trPr>
          <w:trHeight w:val="229"/>
        </w:trPr>
        <w:tc>
          <w:tcPr>
            <w:tcW w:w="760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3"/>
        </w:trPr>
        <w:tc>
          <w:tcPr>
            <w:tcW w:w="76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53,601</w:t>
            </w:r>
          </w:p>
        </w:tc>
      </w:tr>
      <w:tr>
        <w:trPr>
          <w:trHeight w:val="20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(41,176)</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(41,442)</w:t>
            </w:r>
          </w:p>
        </w:tc>
      </w:tr>
      <w:tr>
        <w:trPr>
          <w:trHeight w:val="20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borrowings on debt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(252,500)</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(20,010)</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(30,902)</w:t>
            </w:r>
          </w:p>
        </w:tc>
      </w:tr>
      <w:tr>
        <w:trPr>
          <w:trHeight w:val="223"/>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29,241</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10,530</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76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Activity</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40" w:type="dxa"/>
            <w:vAlign w:val="bottom"/>
            <w:vMerge w:val="restart"/>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Stock Held in</w:t>
            </w:r>
          </w:p>
        </w:tc>
        <w:tc>
          <w:tcPr>
            <w:tcW w:w="10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334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80" w:type="dxa"/>
            <w:vAlign w:val="bottom"/>
          </w:tcPr>
          <w:p>
            <w:pPr>
              <w:spacing w:after="0"/>
              <w:rPr>
                <w:sz w:val="15"/>
                <w:szCs w:val="15"/>
                <w:color w:val="auto"/>
              </w:rPr>
            </w:pPr>
          </w:p>
        </w:tc>
        <w:tc>
          <w:tcPr>
            <w:tcW w:w="74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February 29, 2020</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26,443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154,016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388,010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685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(34,062)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516,778</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$26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loss on foreign currency hedge, net of $189 tax</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8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(4,872)</w:t>
            </w: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May 30, 2020</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26,369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153,862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382,225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696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(40,733)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504,144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17,658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17,658</w:t>
            </w: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$13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foreign currency hedge, net of $404</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6,139</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7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29, 2020</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26,467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8,823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155,956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394,614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707</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(33,225)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526,168</w:t>
            </w:r>
          </w:p>
        </w:tc>
        <w:tc>
          <w:tcPr>
            <w:tcW w:w="0" w:type="dxa"/>
            <w:vAlign w:val="bottom"/>
          </w:tcPr>
          <w:p>
            <w:pPr>
              <w:spacing w:after="0"/>
              <w:rPr>
                <w:sz w:val="1"/>
                <w:szCs w:val="1"/>
                <w:color w:val="auto"/>
              </w:rPr>
            </w:pPr>
          </w:p>
        </w:tc>
      </w:tr>
      <w:tr>
        <w:trPr>
          <w:trHeight w:val="194"/>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37,273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37,273</w:t>
            </w: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loss on marketable securities, net of $— tax</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foreign currency hedge, net of $90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8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28, 2020</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25,962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155,974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414,749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183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547,343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740" w:type="dxa"/>
            <w:vAlign w:val="bottom"/>
            <w:vMerge w:val="restart"/>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0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Stock Held in</w:t>
            </w:r>
          </w:p>
        </w:tc>
        <w:tc>
          <w:tcPr>
            <w:tcW w:w="100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84"/>
        </w:trPr>
        <w:tc>
          <w:tcPr>
            <w:tcW w:w="334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Trust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(Loss) Income</w:t>
            </w:r>
          </w:p>
        </w:tc>
        <w:tc>
          <w:tcPr>
            <w:tcW w:w="180" w:type="dxa"/>
            <w:vAlign w:val="bottom"/>
          </w:tcPr>
          <w:p>
            <w:pPr>
              <w:spacing w:after="0"/>
              <w:rPr>
                <w:sz w:val="15"/>
                <w:szCs w:val="15"/>
                <w:color w:val="auto"/>
              </w:rPr>
            </w:pPr>
          </w:p>
        </w:tc>
        <w:tc>
          <w:tcPr>
            <w:tcW w:w="740" w:type="dxa"/>
            <w:vAlign w:val="bottom"/>
          </w:tcPr>
          <w:p>
            <w:pPr>
              <w:jc w:val="center"/>
              <w:ind w:right="13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2, 2019</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27,015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9,005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151,842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367,597</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755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(32,127)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496,317</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15,443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15,443</w:t>
            </w: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$47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foreign currency hedge, net of $2 tax</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1,618</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 repurchases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(20,010)</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18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w:t>
            </w: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1, 2019</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26,530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8,843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150,240</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360,394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767</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(34,501)</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484,976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19,279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19,279</w:t>
            </w: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marketable securities, net of $2 tax</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gain on foreign currency hedge, net of $25 tax</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0" w:type="dxa"/>
            <w:vAlign w:val="bottom"/>
          </w:tcPr>
          <w:p>
            <w:pPr>
              <w:spacing w:after="0"/>
              <w:rPr>
                <w:sz w:val="1"/>
                <w:szCs w:val="1"/>
                <w:color w:val="auto"/>
              </w:rPr>
            </w:pPr>
          </w:p>
        </w:tc>
      </w:tr>
      <w:tr>
        <w:trPr>
          <w:trHeight w:val="17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August 31, 2019</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26,554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8,851</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151,735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374,439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(778)</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778</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(31,944)</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503,081</w:t>
            </w:r>
          </w:p>
        </w:tc>
        <w:tc>
          <w:tcPr>
            <w:tcW w:w="0" w:type="dxa"/>
            <w:vAlign w:val="bottom"/>
          </w:tcPr>
          <w:p>
            <w:pPr>
              <w:spacing w:after="0"/>
              <w:rPr>
                <w:sz w:val="1"/>
                <w:szCs w:val="1"/>
                <w:color w:val="auto"/>
              </w:rPr>
            </w:pPr>
          </w:p>
        </w:tc>
      </w:tr>
      <w:tr>
        <w:trPr>
          <w:trHeight w:val="194"/>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15,234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15,234</w:t>
            </w:r>
          </w:p>
        </w:tc>
        <w:tc>
          <w:tcPr>
            <w:tcW w:w="0" w:type="dxa"/>
            <w:vAlign w:val="bottom"/>
          </w:tcPr>
          <w:p>
            <w:pPr>
              <w:spacing w:after="0"/>
              <w:rPr>
                <w:sz w:val="1"/>
                <w:szCs w:val="1"/>
                <w:color w:val="auto"/>
              </w:rPr>
            </w:pPr>
          </w:p>
        </w:tc>
      </w:tr>
      <w:tr>
        <w:trPr>
          <w:trHeight w:val="135"/>
        </w:trPr>
        <w:tc>
          <w:tcPr>
            <w:tcW w:w="33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Unrealized loss on marketable securities, net of $11 tax</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benefit</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Unrealized gain on foreign currency hedge, net of $119</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stock, net of cancellations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share retirements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dividends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November 30, 2019</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26,553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8,851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153,188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385,032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675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(32,092)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514,979</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29, 2020.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nine-month periods ended November 28, 2020 are not necessarily indicative of the results to be expected for the full year.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considerations</w:t>
      </w:r>
    </w:p>
    <w:p>
      <w:pPr>
        <w:spacing w:after="0" w:line="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ongoing COVID-19 pandemic continues to cause volatility and uncertainty in global markets impacting worldwide economic activity. We have experienced some delays in commercial construction projects and orders as a result of COVID-19. In our Architectural Glass and Architectural Framing segments, orders have been delayed or have slowed, as customers and end markets face some uncertainty and delays in timing of work. In our Architectural Services segment, some construction site closures or project delays have occurred, and job sites have had to adjust to increased physical distancing and health-related precautions. Within our Large-Scale Optical (LSO) segment, most customers reopened and the segment's two manufacturing locations resumed normal operations during the latter part of the second quarter, after being shutdown for most of the first and second quarters due to governmental orders. We have also been impacted by quarantine-related absenteeism among our workforce, resulting in labor and capacity constraints at some of our facilities. The extent to which COVID-19 will continue to impact our business will depend on future developments and public health advancements, which have been buoyed recently by the commencement of vaccine production and distribution.</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response to COVID-19, we have implemented a variety of countermeasures to promote the health and safety of our employees during this pandemic, including health screening, physical distancing practices, enhanced cleaning, use of personal protective equipment, business travel restrictions, and remote work capabilities, in addition to quarantine-related paid leave and other employee assistance programs.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new accounting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the beginning of fiscal 2021, we adopted the guidance in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The guidance provides for a new impairment model on financial instruments which is based on expected credit losses, which was applied following a modified retrospective approach. Additionally, the new guidance makes targeted improvements to the impairment model for certain available-for-sale debt securities, including eliminating the concept of "other than temporary" from that model. The portion of the guidance related to available-for-sale debt securities was adopted following a prospective approach. The adoption of this ASU did not have a significant impact on earnings or financial condition. Refer to additional disclosures in Notes 2 and 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evaluated subsequent events for potential recognition and disclosure through the date of this filing. Subsequent to the end of the quarter, we announced the election of our new Chief Executive Officer, Ty R. Silberhorn, and entered into an employment agreement with him, effective January 4, 2021. Mr. Silberhorn replaces, Joseph F. Puishys, who announced his retirement, as an employee of the Company, in September 2020, effective January 4, 2021.</w:t>
      </w:r>
    </w:p>
    <w:p>
      <w:pPr>
        <w:spacing w:after="0" w:line="210"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total revenue by timing of recognition (see Note 12 for disclosure of revenue by segment):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02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November 30, 2019</w:t>
            </w:r>
          </w:p>
        </w:tc>
      </w:tr>
      <w:tr>
        <w:trPr>
          <w:trHeight w:val="223"/>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at shipment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379,292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472,695</w:t>
            </w:r>
          </w:p>
        </w:tc>
      </w:tr>
      <w:tr>
        <w:trPr>
          <w:trHeight w:val="230"/>
        </w:trPr>
        <w:tc>
          <w:tcPr>
            <w:tcW w:w="4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577,645</w:t>
            </w:r>
          </w:p>
        </w:tc>
      </w:tr>
      <w:tr>
        <w:trPr>
          <w:trHeight w:val="248"/>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1,050,340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 construction contracts represents amounts withheld by our customers on long-term projects until the project reaches a level of completion where amounts are released.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0" w:type="dxa"/>
            <w:vAlign w:val="bottom"/>
          </w:tcPr>
          <w:p>
            <w:pPr>
              <w:spacing w:after="0"/>
              <w:rPr>
                <w:sz w:val="16"/>
                <w:szCs w:val="16"/>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28"/>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141,126</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contracts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20,808</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retainage</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37,341</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receivables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199,275</w:t>
            </w:r>
          </w:p>
        </w:tc>
        <w:tc>
          <w:tcPr>
            <w:tcW w:w="0" w:type="dxa"/>
            <w:vAlign w:val="bottom"/>
          </w:tcPr>
          <w:p>
            <w:pPr>
              <w:spacing w:after="0"/>
              <w:rPr>
                <w:sz w:val="1"/>
                <w:szCs w:val="1"/>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receivables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196,806</w:t>
            </w:r>
          </w:p>
        </w:tc>
        <w:tc>
          <w:tcPr>
            <w:tcW w:w="0" w:type="dxa"/>
            <w:vAlign w:val="bottom"/>
          </w:tcPr>
          <w:p>
            <w:pPr>
              <w:spacing w:after="0"/>
              <w:rPr>
                <w:sz w:val="1"/>
                <w:szCs w:val="1"/>
                <w:color w:val="auto"/>
              </w:rPr>
            </w:pPr>
          </w:p>
        </w:tc>
      </w:tr>
      <w:tr>
        <w:trPr>
          <w:trHeight w:val="21"/>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6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0" w:type="dxa"/>
            <w:vAlign w:val="bottom"/>
          </w:tcPr>
          <w:p>
            <w:pPr>
              <w:spacing w:after="0"/>
              <w:rPr>
                <w:sz w:val="1"/>
                <w:szCs w:val="1"/>
                <w:color w:val="auto"/>
              </w:rPr>
            </w:pPr>
          </w:p>
        </w:tc>
      </w:tr>
      <w:tr>
        <w:trPr>
          <w:trHeight w:val="228"/>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allowance, net of recoveries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changes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1"/>
        </w:trPr>
        <w:tc>
          <w:tcPr>
            <w:tcW w:w="760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22"/>
        </w:trPr>
        <w:tc>
          <w:tcPr>
            <w:tcW w:w="7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Result of foreign currency effects</w:t>
            </w: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6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7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151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20" w:type="dxa"/>
            <w:vAlign w:val="bottom"/>
          </w:tcPr>
          <w:p>
            <w:pPr>
              <w:spacing w:after="0"/>
              <w:rPr>
                <w:sz w:val="16"/>
                <w:szCs w:val="16"/>
                <w:color w:val="auto"/>
              </w:rPr>
            </w:pPr>
          </w:p>
        </w:tc>
        <w:tc>
          <w:tcPr>
            <w:tcW w:w="15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February 29, 2020</w:t>
            </w:r>
          </w:p>
        </w:tc>
      </w:tr>
      <w:tr>
        <w:trPr>
          <w:trHeight w:val="228"/>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110,923</w:t>
            </w:r>
          </w:p>
        </w:tc>
      </w:tr>
      <w:tr>
        <w:trPr>
          <w:trHeight w:val="234"/>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35,954</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contract assets was mainly due to a reduction in costs and earnings in excess of billings, which is driven by the settlement of matters related to a legacy EFCO project, as well as the timing of projects. The change in contract liabilities was due to timing of project activity within our businesses that operate under long-term contracts.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contract-related disclosures</w:t>
            </w:r>
          </w:p>
        </w:tc>
        <w:tc>
          <w:tcPr>
            <w:tcW w:w="140" w:type="dxa"/>
            <w:vAlign w:val="bottom"/>
          </w:tcPr>
          <w:p>
            <w:pPr>
              <w:spacing w:after="0"/>
              <w:rPr>
                <w:sz w:val="20"/>
                <w:szCs w:val="20"/>
                <w:color w:val="auto"/>
              </w:rPr>
            </w:pPr>
          </w:p>
        </w:tc>
        <w:tc>
          <w:tcPr>
            <w:tcW w:w="31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0"/>
                <w:szCs w:val="20"/>
                <w:color w:val="auto"/>
              </w:rPr>
            </w:pPr>
          </w:p>
        </w:tc>
        <w:tc>
          <w:tcPr>
            <w:tcW w:w="302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0" w:type="dxa"/>
            <w:vAlign w:val="bottom"/>
          </w:tcPr>
          <w:p>
            <w:pPr>
              <w:spacing w:after="0"/>
              <w:rPr>
                <w:sz w:val="1"/>
                <w:szCs w:val="1"/>
                <w:color w:val="auto"/>
              </w:rPr>
            </w:pPr>
          </w:p>
        </w:tc>
      </w:tr>
      <w:tr>
        <w:trPr>
          <w:trHeight w:val="169"/>
        </w:trPr>
        <w:tc>
          <w:tcPr>
            <w:tcW w:w="47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Revenue recognized related to contract liabilities from prior</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16,239</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w:t>
            </w: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Revenue recognized related to prior satisfaction of performance</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0" w:type="dxa"/>
            <w:vAlign w:val="bottom"/>
          </w:tcPr>
          <w:p>
            <w:pPr>
              <w:spacing w:after="0"/>
              <w:rPr>
                <w:sz w:val="1"/>
                <w:szCs w:val="1"/>
                <w:color w:val="auto"/>
              </w:rPr>
            </w:pPr>
          </w:p>
        </w:tc>
      </w:tr>
      <w:tr>
        <w:trPr>
          <w:trHeight w:val="234"/>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contracts have an expected duration of longer than a year, with performance obligations extending over that timeframe. Generally, these contracts are in our businesses with long-term contracts which recognize revenue over time. As of November 28, 2020, the transaction price associated with unsatisfied performance obligations was approximately $901.6</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million. The performance obligations are expected to be satisfied, and the corresponding revenue to be recognized, over the following estimated time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7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Within two years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Beyond</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901,628</w:t>
            </w:r>
          </w:p>
        </w:tc>
        <w:tc>
          <w:tcPr>
            <w:tcW w:w="0" w:type="dxa"/>
            <w:vAlign w:val="bottom"/>
          </w:tcPr>
          <w:p>
            <w:pPr>
              <w:spacing w:after="0"/>
              <w:rPr>
                <w:sz w:val="1"/>
                <w:szCs w:val="1"/>
                <w:color w:val="auto"/>
              </w:rPr>
            </w:pPr>
          </w:p>
        </w:tc>
      </w:tr>
      <w:tr>
        <w:trPr>
          <w:trHeight w:val="20"/>
        </w:trPr>
        <w:tc>
          <w:tcPr>
            <w:tcW w:w="7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Supplemental Balance Sheet Information</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6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shd w:val="clear" w:color="auto" w:fill="CCEEFF"/>
          </w:tcPr>
          <w:p>
            <w:pPr>
              <w:spacing w:after="0"/>
              <w:rPr>
                <w:sz w:val="19"/>
                <w:szCs w:val="19"/>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71,089</w:t>
            </w:r>
          </w:p>
        </w:tc>
        <w:tc>
          <w:tcPr>
            <w:tcW w:w="0" w:type="dxa"/>
            <w:vAlign w:val="bottom"/>
          </w:tcPr>
          <w:p>
            <w:pPr>
              <w:spacing w:after="0"/>
              <w:rPr>
                <w:sz w:val="1"/>
                <w:szCs w:val="1"/>
                <w:color w:val="auto"/>
              </w:rPr>
            </w:pPr>
          </w:p>
        </w:tc>
      </w:tr>
      <w:tr>
        <w:trPr>
          <w:trHeight w:val="20"/>
        </w:trPr>
        <w:tc>
          <w:tcPr>
            <w:tcW w:w="7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shd w:val="clear" w:color="auto" w:fill="CCEEFF"/>
          </w:tcPr>
          <w:p>
            <w:pPr>
              <w:spacing w:after="0"/>
              <w:rPr>
                <w:sz w:val="19"/>
                <w:szCs w:val="19"/>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Warranties</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project losses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other taxes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self-insurance reserves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118,314</w:t>
            </w:r>
          </w:p>
        </w:tc>
        <w:tc>
          <w:tcPr>
            <w:tcW w:w="0" w:type="dxa"/>
            <w:vAlign w:val="bottom"/>
          </w:tcPr>
          <w:p>
            <w:pPr>
              <w:spacing w:after="0"/>
              <w:rPr>
                <w:sz w:val="1"/>
                <w:szCs w:val="1"/>
                <w:color w:val="auto"/>
              </w:rPr>
            </w:pPr>
          </w:p>
        </w:tc>
      </w:tr>
      <w:tr>
        <w:trPr>
          <w:trHeight w:val="20"/>
        </w:trPr>
        <w:tc>
          <w:tcPr>
            <w:tcW w:w="76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February 29, 2020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benefit from New Market Tax Credit transactions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Retirement plan obligations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81,269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 our wholly-owned insurance subsidiary, Prism Assurance, Ltd. (Prism), we hold the following available-for-sale marketable securities, made up of municipal and corporate bonds: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3"/>
                <w:szCs w:val="13"/>
                <w:color w:val="auto"/>
              </w:rPr>
            </w:pPr>
          </w:p>
        </w:tc>
        <w:tc>
          <w:tcPr>
            <w:tcW w:w="1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20" w:type="dxa"/>
            <w:vAlign w:val="bottom"/>
          </w:tcPr>
          <w:p>
            <w:pPr>
              <w:spacing w:after="0"/>
              <w:rPr>
                <w:sz w:val="13"/>
                <w:szCs w:val="13"/>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4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14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28, 2020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0" w:type="dxa"/>
            <w:vAlign w:val="bottom"/>
          </w:tcPr>
          <w:p>
            <w:pPr>
              <w:spacing w:after="0"/>
              <w:rPr>
                <w:sz w:val="1"/>
                <w:szCs w:val="1"/>
                <w:color w:val="auto"/>
              </w:rPr>
            </w:pPr>
          </w:p>
        </w:tc>
      </w:tr>
      <w:tr>
        <w:trPr>
          <w:trHeight w:val="23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29, 2020</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values of these bonds at November 28, 2020, by contractual maturity, are shown below. Expected maturities may differ from contractual maturities, as borrowers may have the right to call or prepay obligations with or without penalty.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6"/>
                <w:szCs w:val="16"/>
                <w:color w:val="auto"/>
              </w:rPr>
            </w:pPr>
          </w:p>
        </w:tc>
        <w:tc>
          <w:tcPr>
            <w:tcW w:w="16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8"/>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w:t>
            </w: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10 years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29"/>
        </w:trPr>
        <w:tc>
          <w:tcPr>
            <w:tcW w:w="7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Due beyond 15 years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48"/>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August 2019, we entered into an interest rate swap to hedge exposure to variability in cash flows from interest payments on our floating-rate revolving credit facility. As of November 28, 2020, the interest rate swap contract had a notional value of $55 million.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enter into forward purchase foreign currency cash flow hedge contracts and forward purchase aluminum hedge contracts, generally with an original maturity date of less than one year, to hedge foreign currency exchange rate risk and future purchases of aluminum in certain of our architectural businesses. As of November 28, 2020, we held foreign exchange forward contracts and aluminum forward contracts with U.S. dollar notional values of $18.7 million and $1.9 million, respectively, with the objective of reducing the exposure to fluctuations in the Canadian dollar, the Euro and the price of aluminum.</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3"/>
                <w:szCs w:val="13"/>
                <w:color w:val="auto"/>
              </w:rPr>
            </w:pPr>
          </w:p>
        </w:tc>
        <w:tc>
          <w:tcPr>
            <w:tcW w:w="1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Observable Inputs</w:t>
            </w: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8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20" w:type="dxa"/>
            <w:vAlign w:val="bottom"/>
          </w:tcPr>
          <w:p>
            <w:pPr>
              <w:spacing w:after="0"/>
              <w:rPr>
                <w:sz w:val="16"/>
                <w:szCs w:val="16"/>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28, 2020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29"/>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13,015</w:t>
            </w:r>
          </w:p>
        </w:tc>
        <w:tc>
          <w:tcPr>
            <w:tcW w:w="0" w:type="dxa"/>
            <w:vAlign w:val="bottom"/>
          </w:tcPr>
          <w:p>
            <w:pPr>
              <w:spacing w:after="0"/>
              <w:rPr>
                <w:sz w:val="1"/>
                <w:szCs w:val="1"/>
                <w:color w:val="auto"/>
              </w:rPr>
            </w:pPr>
          </w:p>
        </w:tc>
      </w:tr>
      <w:tr>
        <w:trPr>
          <w:trHeight w:val="230"/>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and aluminum forward/option contracts</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w:t>
            </w:r>
          </w:p>
        </w:tc>
        <w:tc>
          <w:tcPr>
            <w:tcW w:w="0" w:type="dxa"/>
            <w:vAlign w:val="bottom"/>
          </w:tcPr>
          <w:p>
            <w:pPr>
              <w:spacing w:after="0"/>
              <w:rPr>
                <w:sz w:val="1"/>
                <w:szCs w:val="1"/>
                <w:color w:val="auto"/>
              </w:rPr>
            </w:pPr>
          </w:p>
        </w:tc>
      </w:tr>
      <w:tr>
        <w:trPr>
          <w:trHeight w:val="230"/>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29, 2020</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30"/>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Municipal and corporate bonds</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w:t>
            </w:r>
          </w:p>
        </w:tc>
        <w:tc>
          <w:tcPr>
            <w:tcW w:w="0" w:type="dxa"/>
            <w:vAlign w:val="bottom"/>
          </w:tcPr>
          <w:p>
            <w:pPr>
              <w:spacing w:after="0"/>
              <w:rPr>
                <w:sz w:val="1"/>
                <w:szCs w:val="1"/>
                <w:color w:val="auto"/>
              </w:rPr>
            </w:pPr>
          </w:p>
        </w:tc>
      </w:tr>
      <w:tr>
        <w:trPr>
          <w:trHeight w:val="229"/>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29"/>
        </w:trPr>
        <w:tc>
          <w:tcPr>
            <w:tcW w:w="5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forward/option contract</w:t>
            </w:r>
          </w:p>
        </w:tc>
        <w:tc>
          <w:tcPr>
            <w:tcW w:w="22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 contract</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 and commercial paper</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 and corporate bonds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surrender value of life insurance and deferred compensation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interest rate swap is measured at fair value using other observable market inputs, based off of benchmark interest rates. Forward foreign exchange and forward purchase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210"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Identifiable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Goodwill represents the excess of the cost over the net tangible and identified intangible assets of acquired businesses. We evaluate goodwill for impairment annually at our year-end, or more frequently if events or changes in circumstances indicate that the carrying value of a reporting unit may not be recoverable. Evaluating goodwill for impairment involves the determination of the fair value of each reporting unit in which goodwill is recorded using a qualitative or quantitative analysis. A reporting unit is an operating segment or a component of an operating segment for which discrete financial information is available and reviewed by management on a regular basis.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third quarter of fiscal 2021, we changed the date of our annual goodwill impairment testing from our year-end to the first day in our fiscal fourth quarter. This change results in better alignment of the annual impairment testing with our strategic and annual planning processes. This change was determined to not be material and had no impact on our current or historical consolidated financial statements.</w:t>
      </w: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During the first quarter of fiscal 2021, we identified qualitative indicators of impairment, including a significant decline in our stock price and market capitalization, along with concerns resulting from the COVID-19 pandemic at four of our nine identified reporting units. Therefore, we performed an interim goodwill impairment evaluation as of May 30, 2020. Based on the results of the interim quantitative goodwill impairment analysis, the estimated fair value of each reporting unit exceeded its carrying value and, therefore, goodwill impairment was not indicated as of May 30, 2020. However, the estimated fair value did not exceed carrying value by a significant margin at two reporting units within the Architectural Framing Systems segment, EFCO and Sotawall, which had goodwill balances of $90.4 million and $26.7 million, respectively, at May 30, 2020. We utilized a discount rate of 11.0 percent in determining the discounted cash flows for EFCO and a discount rate of 10.4 percent in determining the discounted cash flows for Sotawall. We utilized a long-term growth rate of 3.0 percent in our fair value analysis for all reporting units. If our discount rates were to increase by 100 basis points at Sotawall and EFCO, the fair value of these reporting units would fall below carrying value, which would indicate impairment of the goodwill. Additionally, this discounted cash flow analysis is dependent upon achieving forecasted levels of revenue and profitability. If revenue or profitability were to fall below forecasted levels, or if market conditions were to decline in a material or sustained manner, impairment could be indicated at these reporting units, and potentially at other reporting units.</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During the third quarter, we combined two reporting units into one reporting unit, following certain structural and leadership changes at the Company, specifically within the Architectural Framing Systems segment. Within this segment, as a result of integration efforts that are ongoing, leadership over our Tubelite and Alumicor reporting units have been combined and functional leaders in areas such as operations, sales, marketing and general and administrative areas are responsible for allocating resources and reviewing results of the combined business. The goodwill of these individual reporting units was aggregated to the combined reporting unit. We evaluated goodwill on a qualitative basis prior to and subsequent to this change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and have concluded no adjustment to the carrying value of goodwill was necessary as a result of this change. In addition, for all reporting units, no qualitative indicators of impairment were identified during the third quarter, and therefore, no interim quantitative goodwill impairment evaluation was performed.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goodwill attributable to each reporting segment was: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Architectural Glass</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Architectural</w:t>
            </w: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Large-Scale</w:t>
            </w:r>
          </w:p>
        </w:tc>
        <w:tc>
          <w:tcPr>
            <w:tcW w:w="28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Framing Systems</w:t>
            </w:r>
          </w:p>
        </w:tc>
        <w:tc>
          <w:tcPr>
            <w:tcW w:w="13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Optical</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 2019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185,832</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February 29, 2020</w:t>
            </w: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185,516</w:t>
            </w:r>
          </w:p>
        </w:tc>
        <w:tc>
          <w:tcPr>
            <w:tcW w:w="0" w:type="dxa"/>
            <w:vAlign w:val="bottom"/>
          </w:tcPr>
          <w:p>
            <w:pPr>
              <w:spacing w:after="0"/>
              <w:rPr>
                <w:sz w:val="1"/>
                <w:szCs w:val="1"/>
                <w:color w:val="auto"/>
              </w:rPr>
            </w:pPr>
          </w:p>
        </w:tc>
      </w:tr>
      <w:tr>
        <w:trPr>
          <w:trHeight w:val="229"/>
        </w:trPr>
        <w:tc>
          <w:tcPr>
            <w:tcW w:w="4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November 28, 2020</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155,973</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192,883</w:t>
            </w:r>
          </w:p>
        </w:tc>
        <w:tc>
          <w:tcPr>
            <w:tcW w:w="0" w:type="dxa"/>
            <w:vAlign w:val="bottom"/>
          </w:tcPr>
          <w:p>
            <w:pPr>
              <w:spacing w:after="0"/>
              <w:rPr>
                <w:sz w:val="1"/>
                <w:szCs w:val="1"/>
                <w:color w:val="auto"/>
              </w:rPr>
            </w:pPr>
          </w:p>
        </w:tc>
      </w:tr>
      <w:tr>
        <w:trPr>
          <w:trHeight w:val="21"/>
        </w:trPr>
        <w:tc>
          <w:tcPr>
            <w:tcW w:w="4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0" w:right="300" w:firstLine="6"/>
        <w:spacing w:after="0" w:line="224" w:lineRule="auto"/>
        <w:tabs>
          <w:tab w:leader="none" w:pos="165"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quarter ended May 30, 2020,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 assets</w:t>
      </w:r>
    </w:p>
    <w:p>
      <w:pPr>
        <w:spacing w:after="0" w:line="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hold intangible assets for certain acquired trade names and trademarks which are determined to have indefinite useful lives. Similar to the change in goodwill measurement date discussed above, we historically evaluated the reasonableness of the useful life and tested indefinite-lived intangible assets for impairment annually at our year-end, or more frequently if events or changes in circumstances indicate that it is more likely than not that the asset is impaired. In the third quarter of fiscal 2021, we changed the date of our annual impairment testing from our year-end to the first day in our fiscal fourth quarter.</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first quarter of fiscal 2021, we identified qualitative indicators of impairment, including deteriorating macroeconomic conditions resulting from the COVID-19 pandemic. Therefore, the Company performed a quantitative indefinite-lived intangible asset impairment evaluation as of May 30, 2020. If the carrying amount of an indefinite-lived intangible asset exceeds its fair value, an impairment loss is recognized in an amount equal to that excess. If an impairment loss is recognized, the adjusted carrying amount becomes the asset's new accounting basis.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Fair value is measured using the relief-from-royalty method. This method assumes the trade name or trademark has value to the extent that the owner is relieved of the obligation to pay royalties for the benefits received from the asset. This method requires us to estimate the future revenue from the related asset, the appropriate royalty rate, and the weighted average cost of capital. The assessment of fair value involves significant judgment and projections about future performance. In determining the discounted future revenue in our fair value analysis, we used discount rates that are appropriate with the risks and uncertainties inherent in the respective businesses in the range of 10.9 percent to 11.5 percent, royalty rates of 1.5 to 2.0 percent, and a long-term growth rate of 3.0 percent. Based on our analysis, the fair value of each of our trade names exceeded its carrying amount and impairment was not indicated as of May 30, 2020. During the third quarter of fiscal 2021, no additional qualitative indicators of impairment were identified and therefore, no interim quantitative indefinite-lived intangible asset impairment evaluation was completed. We continue to conclude that the useful life of our indefinite-lived intangible assets is appropriate. If future revenue were to fall below forecasted levels or if market conditions were to decline in a material or sustained manner, due to COVID-19 or otherwise, impairment could be indicated on one or more of our indefinite-lived intangible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other intangible assets and related accumulated amortization was: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1"/>
                <w:szCs w:val="11"/>
                <w:color w:val="auto"/>
              </w:rPr>
            </w:pPr>
          </w:p>
        </w:tc>
        <w:tc>
          <w:tcPr>
            <w:tcW w:w="10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28, 2020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83,063</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91,042</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45,801</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(71,821)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136,843</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February 29, 2020</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Definite-lived intangible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86,526</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94,890</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45,301</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206,729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140,191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on definite-lived intangible assets was $5.6 million and $5.7 million for the nine-month periods ended November 28, 2020 and November 30, 2019, respectively. Amortization expense of other identifiable intangible assets is included in selling, general and administrative expenses. At November 28, 2020, the estimated future amortization expense for definite-lived intangible assets was: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200" w:type="dxa"/>
            <w:vAlign w:val="bottom"/>
          </w:tcPr>
          <w:p>
            <w:pPr>
              <w:spacing w:after="0"/>
              <w:rPr>
                <w:sz w:val="13"/>
                <w:szCs w:val="13"/>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80" w:type="dxa"/>
            <w:vAlign w:val="bottom"/>
          </w:tcPr>
          <w:p>
            <w:pPr>
              <w:spacing w:after="0"/>
              <w:rPr>
                <w:sz w:val="13"/>
                <w:szCs w:val="13"/>
                <w:color w:val="auto"/>
              </w:rPr>
            </w:pPr>
          </w:p>
        </w:tc>
        <w:tc>
          <w:tcPr>
            <w:tcW w:w="10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28, 2020, we had a committed revolving credit facility with maximum borrowings of up to $235 million with a maturity of June 2024 and a $150 million term loan. The term loan was amended during the third quarter of fiscal 2021 to extend the maturity date to June 2024. Total debt outstanding was $168.5 million, compared to $217.9 million as of February 29, 2020. There were no outstanding borrowings under the revolving credit facility as of November 28, 2020, while there were $47.5 million in outstanding borrowings under the revolving credit facility as of February 29, 2020.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revolving credit facility and term loan contain two financial covenants that require us to stay below a maximum debt-to-EBITDA ratio and maintain a minimum ratio of interest expense-to-EBITDA. Both ratios are computed quarterly, with EBITDA calculated on a rolling four-quarter basis. At November 28, 2020, we were in compliance with both financial covenants. Additionally, at November 28, 2020, we had a total of $18.7 million of ongoing letters of credit related to industrial revenue bonds, construction contracts and insurance collateral that expire in fiscal year 2022 and reduce borrowing capacity under the revolving credit facility.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28, 2020, debt included $15.0 million of industrial revenue bonds that mature in fiscal years 2022 through 2043. In June 2020, a $5.4 million industrial revenue bond matured and was repaid. The fair value of the industrial revenue bonds approximated carrying value at November 28, 2020, due to the variable interest rates on these instruments. All debt would be classified as Level 2 within the fair value hierarchy described in Note 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two Canadian committed, revolving credit facilities totaling $25.0 million (USD). As of November 28, 2020, $3.5 million was outstanding under the facilities, while at February 29, 2020, there were no borrowings under the facilities.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payments were $3.7 million and $7.3 million for the nine months ended November 28, 2020 and November 30, 2019,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and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and such leases are expensed on a straight-line basis over the lease term.</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980" w:type="dxa"/>
            <w:vAlign w:val="bottom"/>
            <w:gridSpan w:val="4"/>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November 30, 2019</w:t>
            </w: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14,137</w:t>
            </w:r>
          </w:p>
        </w:tc>
      </w:tr>
      <w:tr>
        <w:trPr>
          <w:trHeight w:val="21"/>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supplemental information related to leases was as follows:</w:t>
      </w:r>
    </w:p>
    <w:p>
      <w:pPr>
        <w:spacing w:after="0" w:line="138"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 except weighted-average data)</w:t>
            </w: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2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November 30, 2019</w:t>
            </w:r>
          </w:p>
        </w:tc>
      </w:tr>
      <w:tr>
        <w:trPr>
          <w:trHeight w:val="223"/>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10,335</w:t>
            </w:r>
          </w:p>
        </w:tc>
      </w:tr>
      <w:tr>
        <w:trPr>
          <w:trHeight w:val="23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assets obtained in exchange for new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15,948</w:t>
            </w:r>
          </w:p>
        </w:tc>
      </w:tr>
      <w:tr>
        <w:trPr>
          <w:trHeight w:val="23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8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5.8 years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years</w:t>
            </w:r>
          </w:p>
        </w:tc>
      </w:tr>
      <w:tr>
        <w:trPr>
          <w:trHeight w:val="234"/>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54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maturities of lease liabilities are as follows: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92"/>
        </w:trPr>
        <w:tc>
          <w:tcPr>
            <w:tcW w:w="7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November 28, 2020</w:t>
            </w:r>
          </w:p>
        </w:tc>
      </w:tr>
      <w:tr>
        <w:trPr>
          <w:trHeight w:val="228"/>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2021</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r>
      <w:tr>
        <w:trPr>
          <w:trHeight w:val="22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r>
      <w:tr>
        <w:trPr>
          <w:trHeight w:val="23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w:t>
            </w:r>
          </w:p>
        </w:tc>
      </w:tr>
      <w:tr>
        <w:trPr>
          <w:trHeight w:val="230"/>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r>
      <w:tr>
        <w:trPr>
          <w:trHeight w:val="23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8,994</w:t>
            </w:r>
          </w:p>
        </w:tc>
      </w:tr>
      <w:tr>
        <w:trPr>
          <w:trHeight w:val="22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w:t>
            </w:r>
          </w:p>
        </w:tc>
      </w:tr>
      <w:tr>
        <w:trPr>
          <w:trHeight w:val="23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r>
      <w:tr>
        <w:trPr>
          <w:trHeight w:val="22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66,857</w:t>
            </w:r>
          </w:p>
        </w:tc>
      </w:tr>
      <w:tr>
        <w:trPr>
          <w:trHeight w:val="230"/>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r>
      <w:tr>
        <w:trPr>
          <w:trHeight w:val="223"/>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65,220</w:t>
            </w: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September 2020, we sold a building in McCook, IL used within our LSO segment for $25.1 million. The carrying value of the building was $4.3 million, and we recognized a gain on this sale of approximately $19.3 million, net of associated transaction costs, which is included as a reduction of selling, general and administrative expenses within our consolidated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statements of operations. We also entered into a separate lease agreement for this facility, which was determined to be an operating lease, and we have approximately $8.2 million of future lease payments upon commencement of this lease in September 2020.</w:t>
      </w:r>
    </w:p>
    <w:p>
      <w:pPr>
        <w:spacing w:after="0" w:line="19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Bond commitments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November 28, 2020, $1.1 billion of these types of bonds were outstanding, of which $527.8 million is in our backlog. These bonds do not have stated expiration dates. We have never been required to make payments under surety or performance bonds with respect to our existing businesses.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and project-related contingencies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1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November 30, 2019</w:t>
            </w:r>
          </w:p>
        </w:tc>
      </w:tr>
      <w:tr>
        <w:trPr>
          <w:trHeight w:val="223"/>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16,737</w:t>
            </w: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accruals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w:t>
            </w:r>
          </w:p>
        </w:tc>
      </w:tr>
      <w:tr>
        <w:trPr>
          <w:trHeight w:val="230"/>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Claims paid</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r>
      <w:tr>
        <w:trPr>
          <w:trHeight w:val="223"/>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w:t>
            </w:r>
          </w:p>
        </w:tc>
      </w:tr>
      <w:tr>
        <w:trPr>
          <w:trHeight w:val="21"/>
        </w:trPr>
        <w:tc>
          <w:tcPr>
            <w:tcW w:w="7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We manage the risk of these exposures through contract negotiations, proactive project management and insurance coverages. The liability for these types of project-related contingencies was $3.3 million and $49.0 million as of November 28, 2020 and February 29, 2020, respectively. In June 2020, we settled contract claims related to a majority of these project-related contingencies on a legacy EFCO project for an amount equal to the recorded contingency at May 30,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November 28, 2020, we had $18.7 million of ongoing letters of credit, all of which have been issued under our committed revolving credit facility, as discussed in Note 6. In connection with the settlement of contract claims related to a legacy EFCO project referenced above, the original project performance and payment bond related to the project was replaced, which required a $25.0 million letter of credit. The letter of credit for the replacement bond was issued outside of our committed revolving credit facility, with no impact on our borrowing capacity and debt covenants.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obligations for raw material commitments and capital expenditures totaled $207.5 million as of November 28, 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Markets Tax Credit (NMTC)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four separate NMTC transactions to support our operational expansion. Proceeds received from investors on these transactions are included within other non-current liabilities on our consolidated balance sheets. The NMTC arrangements are subject to 100 percent tax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we are required to hold cash dedicated to fund each capital project which is then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 During the third quarter ended November 28, 2020, an NMTC transaction was settled as expected and as a result, $7.4 million of operating income was recognized as a reduction to selling, general and administrative expenses within the Architectural Glass segment.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 summary of our remaining outstanding NMTC transactions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Inception date</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date</w:t>
            </w:r>
          </w:p>
        </w:tc>
        <w:tc>
          <w:tcPr>
            <w:tcW w:w="22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Proceeds received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Deferred costs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Net benefit</w:t>
            </w: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2016</w:t>
            </w:r>
          </w:p>
        </w:tc>
        <w:tc>
          <w:tcPr>
            <w:tcW w:w="12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2018</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2025</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2018</w:t>
            </w:r>
          </w:p>
        </w:tc>
        <w:tc>
          <w:tcPr>
            <w:tcW w:w="2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2025</w:t>
            </w: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3"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share-based compensation expense included in the results of operations was $6.2 million for the nine-month period ended November 28, 2020 and $4.6 million for the nine-month period ended November 30,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SARs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and SAR activity for the current nine-month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5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and SARs</w:t>
            </w: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40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30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February 29, 2020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9"/>
              </w:rPr>
              <w:t>100,341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1320" w:type="dxa"/>
            <w:vAlign w:val="bottom"/>
          </w:tcPr>
          <w:p>
            <w:pPr>
              <w:jc w:val="center"/>
              <w:ind w:left="493"/>
              <w:spacing w:after="0"/>
              <w:rPr>
                <w:sz w:val="20"/>
                <w:szCs w:val="20"/>
                <w:color w:val="auto"/>
              </w:rPr>
            </w:pPr>
            <w:r>
              <w:rPr>
                <w:rFonts w:ascii="Times New Roman" w:cs="Times New Roman" w:eastAsia="Times New Roman" w:hAnsi="Times New Roman"/>
                <w:sz w:val="18"/>
                <w:szCs w:val="18"/>
                <w:color w:val="auto"/>
                <w:w w:val="99"/>
              </w:rPr>
              <w:t>660,600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320" w:type="dxa"/>
            <w:vAlign w:val="bottom"/>
            <w:tcBorders>
              <w:bottom w:val="single" w:sz="8" w:color="auto"/>
            </w:tcBorders>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rPr>
              <w:t>(127,241)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November 28, 2020</w:t>
            </w:r>
          </w:p>
        </w:tc>
        <w:tc>
          <w:tcPr>
            <w:tcW w:w="1320" w:type="dxa"/>
            <w:vAlign w:val="bottom"/>
            <w:tcBorders>
              <w:bottom w:val="single" w:sz="8" w:color="auto"/>
            </w:tcBorders>
          </w:tcPr>
          <w:p>
            <w:pPr>
              <w:jc w:val="center"/>
              <w:ind w:left="493"/>
              <w:spacing w:after="0"/>
              <w:rPr>
                <w:sz w:val="20"/>
                <w:szCs w:val="20"/>
                <w:color w:val="auto"/>
              </w:rPr>
            </w:pPr>
            <w:r>
              <w:rPr>
                <w:rFonts w:ascii="Times New Roman" w:cs="Times New Roman" w:eastAsia="Times New Roman" w:hAnsi="Times New Roman"/>
                <w:sz w:val="18"/>
                <w:szCs w:val="18"/>
                <w:color w:val="auto"/>
                <w:w w:val="99"/>
              </w:rPr>
              <w:t>633,700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tcPr>
          <w:p>
            <w:pPr>
              <w:spacing w:after="0"/>
              <w:rPr>
                <w:sz w:val="19"/>
                <w:szCs w:val="19"/>
                <w:color w:val="auto"/>
              </w:rPr>
            </w:pPr>
          </w:p>
        </w:tc>
        <w:tc>
          <w:tcPr>
            <w:tcW w:w="16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9.6 years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2,889,672</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at November 28, 2020</w:t>
            </w:r>
          </w:p>
        </w:tc>
        <w:tc>
          <w:tcPr>
            <w:tcW w:w="1320" w:type="dxa"/>
            <w:vAlign w:val="bottom"/>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9"/>
              </w:rPr>
              <w:t>633,700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9.6 years</w:t>
            </w: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2,889,672</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nine-months ended November 28, 2020, cash proceeds from the exercise of stock options were $1.5 million and the aggregate intrinsic value of securities exercised (the amount by which the stock price on the date of exercise exceeded the stock price of the award on the date of grant) was $1.8 million. No awards were issued or exercised during the nine-months ended November 30, 2019.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shares and share units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share activity for the current nine-month period is summarized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Nonvested shares and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Shares and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8080" w:type="dxa"/>
            <w:vAlign w:val="bottom"/>
            <w:gridSpan w:val="2"/>
            <w:vMerge w:val="continue"/>
          </w:tcPr>
          <w:p>
            <w:pPr>
              <w:spacing w:after="0"/>
              <w:rPr>
                <w:sz w:val="16"/>
                <w:szCs w:val="16"/>
                <w:color w:val="auto"/>
              </w:rPr>
            </w:pPr>
          </w:p>
        </w:tc>
        <w:tc>
          <w:tcPr>
            <w:tcW w:w="15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February 29, 2020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November 28, 2020</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November 28, 2020, there was $8.6 million of total unrecognized compensation cost related to nonvested share and nonvested share unit awards, which is expected to be recognized over a weighted average period of approximately 25 months. The total fair value of shares vested during the nine months ended November 28, 2020 was $3.2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2017, or state and local income tax examinations for years prior to fiscal 2013. The Company is not currently under U.S. federal examination for years subsequent to fiscal year 2016, and there is limited audit activity of the Company’s income tax returns in U.S. state jurisdictions or international jurisdictions.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liability for unrecognized tax benefits was $4.3 million and $4.1 million at November 28, 2020 and February 29, 2020, respectively. Penalties and interest related to unrecognized tax benefits are recorded in income tax expense. The total liability for unrecognized tax benefits is expected to decrease by approximately $0.4 million during the next 12 months due to lapsing of statutes.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share amounts used in the computation of basic and diluted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60" w:type="dxa"/>
            <w:vAlign w:val="bottom"/>
            <w:gridSpan w:val="3"/>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52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54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0" w:type="dxa"/>
            <w:vAlign w:val="bottom"/>
          </w:tcPr>
          <w:p>
            <w:pPr>
              <w:spacing w:after="0"/>
              <w:rPr>
                <w:sz w:val="1"/>
                <w:szCs w:val="1"/>
                <w:color w:val="auto"/>
              </w:rPr>
            </w:pPr>
          </w:p>
        </w:tc>
      </w:tr>
      <w:tr>
        <w:trPr>
          <w:trHeight w:val="169"/>
        </w:trPr>
        <w:tc>
          <w:tcPr>
            <w:tcW w:w="47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Basic earnings per share – weighted average common shares</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26,068</w:t>
            </w:r>
          </w:p>
        </w:tc>
        <w:tc>
          <w:tcPr>
            <w:tcW w:w="10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4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Weighted average effect of nonvested share grants and assumed</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4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8"/>
                <w:szCs w:val="18"/>
                <w:color w:val="auto"/>
              </w:rPr>
              <w:t>Diluted earnings per share – weighted average common shares</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100" w:type="dxa"/>
            <w:vAlign w:val="bottom"/>
            <w:shd w:val="clear" w:color="auto" w:fill="CCEEFF"/>
          </w:tcPr>
          <w:p>
            <w:pPr>
              <w:spacing w:after="0"/>
              <w:rPr>
                <w:sz w:val="13"/>
                <w:szCs w:val="13"/>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26,350</w:t>
            </w:r>
          </w:p>
        </w:tc>
        <w:tc>
          <w:tcPr>
            <w:tcW w:w="10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26,776</w:t>
            </w:r>
          </w:p>
        </w:tc>
        <w:tc>
          <w:tcPr>
            <w:tcW w:w="0" w:type="dxa"/>
            <w:vAlign w:val="bottom"/>
          </w:tcPr>
          <w:p>
            <w:pPr>
              <w:spacing w:after="0"/>
              <w:rPr>
                <w:sz w:val="1"/>
                <w:szCs w:val="1"/>
                <w:color w:val="auto"/>
              </w:rPr>
            </w:pPr>
          </w:p>
        </w:tc>
      </w:tr>
      <w:tr>
        <w:trPr>
          <w:trHeight w:val="223"/>
        </w:trPr>
        <w:tc>
          <w:tcPr>
            <w:tcW w:w="484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and potential common shares outstanding</w:t>
            </w: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gridSpan w:val="2"/>
            <w:vMerge w:val="restart"/>
          </w:tcPr>
          <w:p>
            <w:pPr>
              <w:jc w:val="right"/>
              <w:ind w:right="140"/>
              <w:spacing w:after="0" w:line="163" w:lineRule="exact"/>
              <w:rPr>
                <w:sz w:val="20"/>
                <w:szCs w:val="20"/>
                <w:color w:val="auto"/>
              </w:rPr>
            </w:pPr>
            <w:r>
              <w:rPr>
                <w:rFonts w:ascii="Times New Roman" w:cs="Times New Roman" w:eastAsia="Times New Roman" w:hAnsi="Times New Roman"/>
                <w:sz w:val="18"/>
                <w:szCs w:val="18"/>
                <w:color w:val="auto"/>
              </w:rPr>
              <w:t>Stock awards excluded from the calculation of earnings per</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840" w:type="dxa"/>
            <w:vAlign w:val="bottom"/>
            <w:gridSpan w:val="2"/>
            <w:vMerge w:val="continue"/>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84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share because the effect was anti-dilutive (award price greater</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5"/>
                <w:szCs w:val="15"/>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4"/>
        </w:trPr>
        <w:tc>
          <w:tcPr>
            <w:tcW w:w="4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than average market price of the shares)</w:t>
            </w:r>
          </w:p>
        </w:tc>
        <w:tc>
          <w:tcPr>
            <w:tcW w:w="1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four reporting segments: Architectural Framing Systems, Architectural Glass, Architectural Services and LSO.</w:t>
      </w:r>
    </w:p>
    <w:p>
      <w:pPr>
        <w:spacing w:after="0" w:line="27" w:lineRule="exact"/>
        <w:rPr>
          <w:sz w:val="20"/>
          <w:szCs w:val="20"/>
          <w:color w:val="auto"/>
        </w:rPr>
      </w:pPr>
    </w:p>
    <w:p>
      <w:pPr>
        <w:jc w:val="both"/>
        <w:ind w:left="660" w:hanging="328"/>
        <w:spacing w:after="0" w:line="23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Framing Systems segment designs, engineers, fabricates and finishes the aluminum frames used in customized aluminum and glass window, curtainwall, storefront and entrance systems comprising the outside skin and entrances of commercial, institutional and high-end multi-family residential buildings.</w:t>
      </w:r>
    </w:p>
    <w:p>
      <w:pPr>
        <w:spacing w:after="0" w:line="1"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Glass segment fabricates coated, high-performance glass used in customized window and wall systems comprising the outside skin of commercial, institutional and high-end multi-family residential buildings.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Architectural Services segment designs, engineers, fabricates and installs the walls of glass, windows and other curtainwall products making up the outside skin of commercial and institutional buildings.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LSO segment manufactures value-added glass and acrylic products primarily for framing and display applications.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300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533,432</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288,862</w:t>
            </w:r>
          </w:p>
        </w:tc>
        <w:tc>
          <w:tcPr>
            <w:tcW w:w="0" w:type="dxa"/>
            <w:vAlign w:val="bottom"/>
          </w:tcPr>
          <w:p>
            <w:pPr>
              <w:spacing w:after="0"/>
              <w:rPr>
                <w:sz w:val="1"/>
                <w:szCs w:val="1"/>
                <w:color w:val="auto"/>
              </w:rPr>
            </w:pPr>
          </w:p>
        </w:tc>
      </w:tr>
      <w:tr>
        <w:trPr>
          <w:trHeight w:val="229"/>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195,787</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Large-Scale Optical</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1,050,340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Framing Systems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w:t>
            </w:r>
          </w:p>
        </w:tc>
        <w:tc>
          <w:tcPr>
            <w:tcW w:w="0" w:type="dxa"/>
            <w:vAlign w:val="bottom"/>
          </w:tcPr>
          <w:p>
            <w:pPr>
              <w:spacing w:after="0"/>
              <w:rPr>
                <w:sz w:val="1"/>
                <w:szCs w:val="1"/>
                <w:color w:val="auto"/>
              </w:rPr>
            </w:pPr>
          </w:p>
        </w:tc>
      </w:tr>
      <w:tr>
        <w:trPr>
          <w:trHeight w:val="229"/>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Architectural Glass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16,951</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Architectural Services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w:t>
            </w:r>
          </w:p>
        </w:tc>
        <w:tc>
          <w:tcPr>
            <w:tcW w:w="0" w:type="dxa"/>
            <w:vAlign w:val="bottom"/>
          </w:tcPr>
          <w:p>
            <w:pPr>
              <w:spacing w:after="0"/>
              <w:rPr>
                <w:sz w:val="1"/>
                <w:szCs w:val="1"/>
                <w:color w:val="auto"/>
              </w:rPr>
            </w:pPr>
          </w:p>
        </w:tc>
      </w:tr>
      <w:tr>
        <w:trPr>
          <w:trHeight w:val="229"/>
        </w:trPr>
        <w:tc>
          <w:tcPr>
            <w:tcW w:w="490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Large-Scale Optical</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0" w:type="dxa"/>
            <w:vAlign w:val="bottom"/>
          </w:tcPr>
          <w:p>
            <w:pPr>
              <w:spacing w:after="0"/>
              <w:rPr>
                <w:sz w:val="1"/>
                <w:szCs w:val="1"/>
                <w:color w:val="auto"/>
              </w:rPr>
            </w:pPr>
          </w:p>
        </w:tc>
      </w:tr>
      <w:tr>
        <w:trPr>
          <w:trHeight w:val="229"/>
        </w:trPr>
        <w:tc>
          <w:tcPr>
            <w:tcW w:w="4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0" w:type="dxa"/>
            <w:vAlign w:val="bottom"/>
          </w:tcPr>
          <w:p>
            <w:pPr>
              <w:spacing w:after="0"/>
              <w:rPr>
                <w:sz w:val="1"/>
                <w:szCs w:val="1"/>
                <w:color w:val="auto"/>
              </w:rPr>
            </w:pPr>
          </w:p>
        </w:tc>
      </w:tr>
      <w:tr>
        <w:trPr>
          <w:trHeight w:val="223"/>
        </w:trPr>
        <w:tc>
          <w:tcPr>
            <w:tcW w:w="4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80" w:hanging="172"/>
        <w:spacing w:after="0" w:line="233" w:lineRule="auto"/>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LSO operating income amounts for the three- and nine-month periods ended November 28, 2020 include a $19.3 million gain on the sale-lease back of a building.</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29, 2020 and in subsequent filings with the U.S. Securities and Exchange Commission, including this Quarterly Report on Form 10-Q.</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leader in certain technologies involving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ongoing COVID-19 pandemic continues to cause volatility and uncertainty in global and domestic markets impacting worldwide economic activity. We have experienced some delays in commercial construction projects and orders as a result of COVID-19. In our Architectural Glass and Architectural Framing segments, orders have been delayed or have slowed, as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customers and end markets face some uncertainty and delays in timing of work. In our Architectural Services segment, some construction site closures or project delays have occurred, and job sites have had to adjust to increased physical distancing and health-related precautions. Within our Large-Scale Optical (LSO) segment, most customers reopened and the segment's two manufacturing locations resumed normal operations during our second fiscal quarter, after being shutdown for most of our first and second quarters due to governmental orders. We have also been impacted by quarantine-related absenteeism among our workforce, resulting in labor and capacity constraints at some of our facilities. The extent to which COVID-19 will continue to impact our business will depend on future developments and public health advancements, which have been buoyed recently by the commencement of vaccine production and distribution.</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COVID-19, we have implemented a variety of countermeasures to promote the health and safety of our employees during this pandemic, including health screening, physical distancing practices, enhanced cleaning, use of personal protective equipment, business travel restrictions, and remote work capabilities, in addition to quarantine-related paid leave and other employee assistance programs.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Company’s Form 10-K for the year ended February 29, 2020 and the consolidated financial statements, including the notes to consolidated financial statements, included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of Third Quarter of Fiscal 2021 Compared to Third Quarter of Fiscal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net sales decreased 7.2 percent, or $24.3 million, and decreased 12.2 percent, or $128.2 million, for the three- and nine-month periods ended November 28, 2020, respectively, compared to the same periods in the prior year, primarily reflecting end market and COVID-19-related volume declines in the Architectural Framing Systems and Architectural Glass segments.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various components of operations, as a percentage of net sales,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3420" w:type="dxa"/>
            <w:vAlign w:val="bottom"/>
            <w:gridSpan w:val="4"/>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340" w:type="dxa"/>
            <w:vAlign w:val="bottom"/>
            <w:gridSpan w:val="3"/>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4480" w:type="dxa"/>
            <w:vAlign w:val="bottom"/>
          </w:tcPr>
          <w:p>
            <w:pPr>
              <w:spacing w:after="0"/>
              <w:rPr>
                <w:sz w:val="16"/>
                <w:szCs w:val="16"/>
                <w:color w:val="auto"/>
              </w:rPr>
            </w:pPr>
          </w:p>
        </w:tc>
        <w:tc>
          <w:tcPr>
            <w:tcW w:w="17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0" w:type="dxa"/>
            <w:vAlign w:val="bottom"/>
          </w:tcPr>
          <w:p>
            <w:pPr>
              <w:spacing w:after="0"/>
              <w:rPr>
                <w:sz w:val="16"/>
                <w:szCs w:val="16"/>
                <w:color w:val="auto"/>
              </w:rPr>
            </w:pPr>
          </w:p>
        </w:tc>
        <w:tc>
          <w:tcPr>
            <w:tcW w:w="172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6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November 30, 2019</w:t>
            </w: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77.0</w:t>
            </w:r>
          </w:p>
        </w:tc>
      </w:tr>
      <w:tr>
        <w:trPr>
          <w:trHeight w:val="223"/>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6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Gross profit as a percent of sales was 22.2 percent and 22.3 percent for the three- and nine-month periods ended November 28, 2020, compared to 22.0 percent and 23.0 percent for the three- and nine-month periods ended November 30, 2019. The increase in the third quarter of fiscal 2021 compared to the same period in fiscal 2020 was driven by strong project execution in the Architectural Services segment. The decrease in the nine-month period of fiscal 2021 compared to fiscal 2020 was largely driven by lower volumes due to market-related and COVID-19 project delays.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SG&amp;A expenses as a percent of sales were 6.3 percent and 13.7 percent for the three- and nine-month periods ended November 28, 2020, compared to 15.6 percent and 16.1 percent for the prior year three- and nine-month periods. SG&amp;A decreased as a percent of sales compared to the same periods in the prior year primarily due to a $19.3 million gain on the sale-leaseback of a building and $7.4 million of income related to a New Markets Tax Credit transaction, both of which were recognized in the third quarter of fiscal 2021. In addition, we received a benefit of $4.2 million during the third quarter of fiscal 2021, and $5.5 million year-to-date in fiscal 2021, from a Canadian wage subsidy program offered to support Canadian businesses due to the widespread impacts of the COVID-19 pandemic. In total, these items had a favorable impact on SG&amp;A as a percentage of sales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9.9 percentage points and 3.5 percentage points for the three- and nine-month periods ended November 28, 2020, respectively.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effective tax rate in the third quarter of fiscal 2021 was 23.5 percent, compared to 23.2 percent in the same period last year, and 23.8 percent for the first nine months of fiscal 2021, compared to 23.9 percent in the prior year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Framing Systems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188"/>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136,688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165,517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439,779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533,432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7,218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26,211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34,141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Architectural Framing Systems net sales declined $28.8 million, or 17.4 percent, and $93.7 million, or 17.6 percent, for the three- and nine-month periods ended November 28, 2020, compared to the prior-year periods, primarily reflecting market-related and COVID-19 project delays and lower order volume for short lead-time products.</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Operating margin increased 150 basis points for the three-month period of the current year and decreased 40 basis points for the nine-month period of the current year, compared to the same periods in the prior year. The increase in the third quarter of fiscal 2021 compared to the third quarter of fiscal 2020 was due to cost actions and improved productivity that served to offset the impact of volume declines from end market softness and COVID-19. The decrease in the nine-month period in the current year compared to the same period in the prior year reflects leverage on the lower revenue, partially offset by cost reduction actions and improved productivity. In addition, this segment benefited from a Canadian wage subsidy of $4.2 million in the third quarter of fiscal 2021 and $5.5 million for the nine-month period of fiscal 2021, as a result of a Canadian program offered to support Canadian businesses due to the widespread impacts of the COVID-19 pandemic.</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As of November 28, 2020, segment backlog was approximately $408 million, compared to approximately $404 million at the end of the prior quarter, and $375 million at the end of the third quarter of the prior year.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Glass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188"/>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40" w:type="dxa"/>
            <w:vAlign w:val="bottom"/>
          </w:tcPr>
          <w:p>
            <w:pPr>
              <w:spacing w:after="0"/>
              <w:rPr>
                <w:sz w:val="16"/>
                <w:szCs w:val="16"/>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84,779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89,433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248,274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288,862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10,825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4,092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16,951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decreased $4.7 million, or 5.2 percent, and $40.6 million, or 14.1 percent, for the three- and nine-month periods ended November 28, 2020, compared to the same periods in the prior year. The decreases reflect lower volumes primarily due to market-related and COVID-19 project delays.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margin increased 820 and 30 basis points for the three- and nine-month periods of the current year, compared to the same periods in the prior year. Fiscal 2021 third quarter results included $7.4 million of operating income related to a New Markets Tax Credit transaction. In addition, operating margins in both periods of the current year were impacted by volume declines due to end market softness and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Services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188"/>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76,690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69,043</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213,911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195,787</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8,558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6,533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20,470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15,082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35.7 %</w:t>
            </w:r>
          </w:p>
        </w:tc>
      </w:tr>
      <w:tr>
        <w:trPr>
          <w:trHeight w:val="22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Architectural Services net sales increased $7.6 million, or 11.1 percent, and $18.1 million, or 9.3 percent, for the three- and nine-month periods ended November 28, 2020, compared to the same periods in the prior year, driven by increased volume from executing projects in backlog.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margin increased 170 and 190 basis points for the three- and nine-month periods of the current year, compared to the same periods in the prior year, primarily driven by strong project execution.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28, 2020, segment backlog was approximately $597 million, compared to approximately $665 million as of the end of the prior quarter, and $607 million at the end of the third quarter of the prior year. Backlog is described within the Architectural Framing Systems discussion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Large-Scale Optical (LSO)</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Borders>
              <w:bottom w:val="single" w:sz="8" w:color="auto"/>
            </w:tcBorders>
          </w:tcPr>
          <w:p>
            <w:pPr>
              <w:spacing w:after="0"/>
              <w:rPr>
                <w:sz w:val="16"/>
                <w:szCs w:val="16"/>
                <w:color w:val="auto"/>
              </w:rPr>
            </w:pPr>
          </w:p>
        </w:tc>
      </w:tr>
      <w:tr>
        <w:trPr>
          <w:trHeight w:val="188"/>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6"/>
                <w:szCs w:val="16"/>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2019</w:t>
            </w: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25,267</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24,405</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48,438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66,449</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26,114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15,561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r>
      <w:tr>
        <w:trPr>
          <w:trHeight w:val="229"/>
        </w:trPr>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bl>
    <w:p>
      <w:pPr>
        <w:spacing w:after="0" w:line="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LSO net sales increased $0.9 million or 3.5 percent, and decreased $18.0 million, or 27.1 percent, for the three- and nine-month periods ended November 28, 2020, compared to the same periods in the prior year. In the third quarter, customer demand increased significantly following the segment's COVID-related shutdown earlier in the year. The decrease in sales for the current year nine-month period compared to the same period in the prior year reflects the required COVID-related closure of most of the segment’s customers and the segment’s manufacturing locations for most of the first and second quarters of fiscal 2021.</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segment had operating income of $26.1 million and $25.1 million and operating margin of 103.4 percent and 51.9 percent for the three- and nine-month periods ended November 28, 2020, respectively, compared to operating income of $6.8 million and $15.6 million and operating margin of 27.7 percent and 23.4 percent in the same periods in the prior year. The increases for the fiscal 2021 periods are primarily related to a $19.3 million gain on the sale-leaseback of a segment building during the current year third quarter. Additionally, operating margin in the nine-month period reflects the impact of the segment's temporary shutdown and the related impact from lower volume.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51"/>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November 28, 2020</w:t>
            </w:r>
          </w:p>
        </w:tc>
        <w:tc>
          <w:tcPr>
            <w:tcW w:w="160" w:type="dxa"/>
            <w:vAlign w:val="bottom"/>
          </w:tcPr>
          <w:p>
            <w:pPr>
              <w:spacing w:after="0"/>
              <w:rPr>
                <w:sz w:val="15"/>
                <w:szCs w:val="15"/>
                <w:color w:val="auto"/>
              </w:rPr>
            </w:pPr>
          </w:p>
        </w:tc>
        <w:tc>
          <w:tcPr>
            <w:tcW w:w="14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November 30, 2019</w:t>
            </w:r>
          </w:p>
        </w:tc>
      </w:tr>
      <w:tr>
        <w:trPr>
          <w:trHeight w:val="223"/>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53,601</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(41,176)</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w:t>
            </w: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(Repayment) borrowings on debt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9"/>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(252,500)</w:t>
            </w:r>
          </w:p>
        </w:tc>
      </w:tr>
      <w:tr>
        <w:trPr>
          <w:trHeight w:val="230"/>
        </w:trPr>
        <w:tc>
          <w:tcPr>
            <w:tcW w:w="7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Repurchase and retirement of common stock</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(20,010)</w:t>
            </w:r>
          </w:p>
        </w:tc>
      </w:tr>
      <w:tr>
        <w:trPr>
          <w:trHeight w:val="230"/>
        </w:trPr>
        <w:tc>
          <w:tcPr>
            <w:tcW w:w="7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(13,808)</w:t>
            </w:r>
          </w:p>
        </w:tc>
      </w:tr>
    </w:tbl>
    <w:p>
      <w:pPr>
        <w:spacing w:after="0" w:line="3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provided by operating activities was $120.5 million for the first nine months of fiscal 2021, an increase of $66.9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prior-year period, reflecting strong working capital management.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Net cash provided by investing activities was $5.5 million for the first nine months of fiscal 2021, driven by proceeds of $23.7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sale-leaseback of a building, offset by capital expenditures of $17.1 million. In the first nine months of the prior year, net cash used by investing activities was $41.4 million, driven by capital expenditures of $41.2 million. Given the uncertain economic environment in fiscal 2021, we will continue to limit our capital spending to all health and safety related investments as well as the most critical high return projects that support our long-term strategic plan and profitable growth targets.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Net cash used by financing activities was $85.7 million for the first nine months of fiscal 2021, compared to $30.9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prior-year period, primarily due to $47.5 million of net payments in the current year, compared to net borrowings of $5.5 million in the prior-year period. At November 28, 2020, we were in compliance with the financial covenants under our revolving credit facility and term loan.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paid dividends totaling $14.5 million ($0.5625 per share) in the first nine months of fiscal 2021, compared to $13.8 million ($0.5250 per share) in the comparable prior-year period. During the first nine months of fiscal 2021, we repurchased 852,029 shares under our authorized share repurchase program, for a total cost of $20.7 million. In the first nine months of fiscal 2020, we repurchased 531,997 shares under the share repurchase program, for a total cost of $20.0 million. Since the inception of the share repurchase program in 2004, we have purchased a total of 6,806,941 shares, at a total cost of $195.1 million. We currently have remaining authority to repurchase an additional 1,443,059 shares under this program. We will continue to evaluate making future share repurchases, considering our cash flow, debt levels and market conditions, including the continuing effects of the COVID-19 pandemic, in the context of all our capital allocation options ensuring that we maximize the long-term value for our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Financing Activities. </w:t>
      </w:r>
      <w:r>
        <w:rPr>
          <w:rFonts w:ascii="Times New Roman" w:cs="Times New Roman" w:eastAsia="Times New Roman" w:hAnsi="Times New Roman"/>
          <w:sz w:val="18"/>
          <w:szCs w:val="18"/>
          <w:color w:val="auto"/>
        </w:rPr>
        <w:t>The following summarizes our significant contractual obligations that impact our liquidity as of November 28,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Payments Due by Fiscal Period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4" w:lineRule="exact"/>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2022</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4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6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1"/>
                <w:szCs w:val="11"/>
                <w:color w:val="auto"/>
              </w:rPr>
            </w:pPr>
          </w:p>
        </w:tc>
        <w:tc>
          <w:tcPr>
            <w:tcW w:w="8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 2021</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168,463</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(undiscounted)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66,857</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207,541</w:t>
            </w:r>
          </w:p>
        </w:tc>
        <w:tc>
          <w:tcPr>
            <w:tcW w:w="0" w:type="dxa"/>
            <w:vAlign w:val="bottom"/>
          </w:tcPr>
          <w:p>
            <w:pPr>
              <w:spacing w:after="0"/>
              <w:rPr>
                <w:sz w:val="1"/>
                <w:szCs w:val="1"/>
                <w:color w:val="auto"/>
              </w:rPr>
            </w:pPr>
          </w:p>
        </w:tc>
      </w:tr>
      <w:tr>
        <w:trPr>
          <w:trHeight w:val="223"/>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cash obligations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163,227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442,861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make contributions of $0.7 million to our defined-benefit pension plans in fiscal 2021, which will equal or exceed our minimum funding requirements.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28, 2020, we had reserves of $4.3 million for unrecognized tax benefits. We expect approximately $0.4 million of the unrecognized tax benefits to lapse during the next 12 months. We are unable to reasonably estimate in which future periods the remaining unrecognized tax benefits will ultimately be settled.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required, in the ordinary course of business, to provide surety or performance bonds that commit payments to our customers for any non-performance. At November 28, 2020, $1.1 billion of these types of bonds were outstanding, of which $527.8 million is in our backlog. These bonds do not have stated expiration dates. We have never been required to make payments under surety or performance bonds with respect to our existing businesses.</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are taking advantage of the option to defer remittance of the employer portion of Social Security tax as provided in the Coronavirus, Aid, Relief and Economic Security Act ("CARES Act"), and estimate that this deferral will allow us to retain approximately $13 million in cash during calendar year 2020 that would have otherwise been remitted to the federal government. At the end of the third quarter of fiscal 2021, we had deferred tax payments of $11.8 million, which are included within other non-current liabilities on our consolidated balance sheets. The deferred tax payments will be repaid equally in calendar years 2021 and 2022. The CARES Act, along with other foreign government initiatives, also provides for job retention programs, which have allowed some of our businesses to receive payroll tax credits or subsidies during calendar year 2020.</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COVID-19 Consideration. </w:t>
      </w:r>
      <w:r>
        <w:rPr>
          <w:rFonts w:ascii="Times New Roman" w:cs="Times New Roman" w:eastAsia="Times New Roman" w:hAnsi="Times New Roman"/>
          <w:sz w:val="18"/>
          <w:szCs w:val="18"/>
          <w:color w:val="auto"/>
        </w:rPr>
        <w:t>While we believe we have adequate sources of liquidity to continue to fund our business for at least the next 12 months,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to which the ongoing COVID -19 pandemic may impact our results of operations or liquidity is uncertain. To date, we have experienced some delays in commercial construction projects and orders due to COVID-19. While the construction and construction-related industries are considered an "essential business or service" in most jurisdictions in which we operate, the uncertain economic environment has resulted in order delays and there have been</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instances of site closures and project delays. Increased social distancing and health-related precautions are required on many work sites, which have caused and may continue to cause additional project delays and additional costs to be incurred. Within the LSO segment, after being closed for most of the first and second quarters, we resumed normal operations at the segment's two manufacturing locations and most of our customer's retail locations continue to operate after being required to close earlier this year. We expect this global pandemic to continue to have an impact on our revenue and our results of operations, the size and duration of which we are currently unable to predict. At this time, we do not expect that the impact from the coronavirus pandemic will have a significant effect on our liquidity. As demonstrated so far this fiscal year, we have taken steps to increase available cash on hand including, but not limited to, active working capital management and targeted reductions in discretionary operating expenses and capital expenditures. Given the continuously evolving developments with respect to this pandemic, we cannot reasonably estimate the magnitude of the impact to our results of operations, liquidity or financial position. To the extent that our customers and suppliers are adversely impacted by the COVID-19 pandemic, this could reduce the availability, or result in delays, of materials or supplies, or delays in customer payments, which in turn could materially interrupt our business operations, thereby negatively affecting our results of operations, and/or impact our liquidity.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 that have or are reasonably likely to have a current or future effect 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condition, changes in financial condition, revenues or expenses, results of operations, liquidity, capital expenditures, or capital resources that is material to investors.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with respect to our related party transactions set forth in our Annual Report on Form 10-K for the fiscal year ended February 29, 2020.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No material changes have occurred in the disclosure of our critical accounting policies set forth in our Annual Report on Form 10-K for the fiscal year ended February 29, 2020, other than as described in our Current Report on Form 10-Q for the fiscal quarter ended May 30, 2020 and as noted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 impairment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historically evaluated goodwill for impairment annually at our year-end, or more frequently if events or changes in circumstances indicate the carrying value of the goodwill may not be recoverable. In the third quarter of fiscal 2021, we changed the date of our annual goodwill impairment testing from our year-end to the first day in our fiscal fourth quarter. This change results in better alignment of the annual impairment testing with our strategic and annual planning processes. This change was determined to not be material and had no impact on our current or historical consolidated financial statements.</w:t>
      </w:r>
    </w:p>
    <w:p>
      <w:pPr>
        <w:spacing w:after="0" w:line="214" w:lineRule="exact"/>
        <w:rPr>
          <w:sz w:val="20"/>
          <w:szCs w:val="20"/>
          <w:color w:val="auto"/>
        </w:rPr>
      </w:pPr>
    </w:p>
    <w:p>
      <w:pPr>
        <w:jc w:val="both"/>
        <w:ind w:right="460"/>
        <w:spacing w:after="0" w:line="250" w:lineRule="auto"/>
        <w:rPr>
          <w:sz w:val="20"/>
          <w:szCs w:val="20"/>
          <w:color w:val="auto"/>
        </w:rPr>
      </w:pPr>
      <w:r>
        <w:rPr>
          <w:rFonts w:ascii="Times New Roman" w:cs="Times New Roman" w:eastAsia="Times New Roman" w:hAnsi="Times New Roman"/>
          <w:sz w:val="18"/>
          <w:szCs w:val="18"/>
          <w:color w:val="auto"/>
        </w:rPr>
        <w:t>During the first quarter of fiscal 2021, we identified qualitative indicators of impairment, including a significant decline in our stock price and market capitalization, along with concerns resulting from the COVID-19 pandemic at four of our nine identified reporting units. Therefore, we performed an interim goodwill impairment evaluation as of May 30, 2020.</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Based on the results of the interim quantitative goodwill impairment analysis, the estimated fair value of each reporting unit exceeded its carrying value and, therefore, goodwill impairment was not indicated as of May 30, 2020. However, the estimated fair value did not exceed carrying value by a significant margin at two reporting units within the Architectural Framing Systems segment, EFCO and Sotawall, which had goodwill balances of $90.4 million and $26.7 million, respectively, at May 30, 2020. We utilized a discount rate of 11.0 percent in determining the discounted cash flows for EFCO and a discount rate of 10.4 percent in determining the discounted cash flows for Sotawall. We utilized a long-term growth rate of 3.0 percent in our fair value analysis for all reporting units. If our discount rates were to increase by 100 basis points at Sotawall and EFCO, the fair value of these reporting units would fall below carrying value, which would indicate impairment of the goodwill. Additionally, this discounted cash flow analysis is dependent upon achieving forecasted levels of revenue and profitability. If revenue or profitability were to fall below forecasted levels, or if market conditions were to decline in a material or sustained manner, impairment could be indicated at these reporting units, and potentially at other reporting units.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third quarter, we combined two reporting units into one reporting unit, following certain structural and leadership changes at the Company, specifically within the Architectural Framing Systems segment. Within this segment, as a result of integration efforts that are ongoing, leadership over our Tubelite and Alumicor reporting units has been combined and functional leaders in areas such as operations, sales, marketing and general and administrative areas are responsible for allocating resources and reviewing results of the combined business. The goodwill of these individual reporting units was aggregated to the combined reporting unit. We evaluated goodwill on a qualitative basis prior to and subsequent to this change and have concluded that no adjustment to the carrying value of goodwill was necessary as a result of this change. In addition, no qualitative indicators of impairment were identified during the third quarter, and therefore, no interim quantitative goodwill impairment evaluation was performed.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Indefinite-lived intangible assets</w:t>
      </w:r>
    </w:p>
    <w:p>
      <w:pPr>
        <w:spacing w:after="0" w:line="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hold intangible assets for certain acquired trade names and trademarks which are determined to have indefinite useful lives. Similar to the change in goodwill measurement date discussed above, we historically evaluated the reasonableness of the useful life and tested indefinite-lived intangible assets for impairment annually at our year-end, or more frequently if events or changes in circumstances indicate that it is more likely than not that the asset is impaired. In the third quarter of fiscal 2021, we changed the date of our annual impairment testing from our year-end to the first day in our fiscal fourth quarter.</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the first quarter of fiscal 2021, we identified qualitative indicators of impairment, including deteriorating macroeconomic conditions resulting from the COVID-19 pandemic. Therefore, the Company performed a quantitative indefinite-lived intangible asset impairment evaluation as of May 30, 2020. If the carrying amount of an indefinite-lived intangible asset exceeds its fair value, an impairment loss is recognized in an amount equal to that excess. If an impairment loss is recognized, the adjusted carrying amount becomes the asset's new accounting basis.</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measured using the relief-from-royalty method. This method assumes the trade name or trademark has value to the extent that the owner is relieved of the obligation to pay royalties for the benefits received from the asset. This method requires us to estimate the future revenue from the related asset, the appropriate royalty rate, and the weighted average cost of capital. The assessment of fair value involves significant judgment and projections about future performance. In determining the discounted future revenue in our fair value analysis, we used discount rates that are appropriate with the risks and uncertainties inherent in the respective businesses in the range of 10.9 percent to 11.5 percent, royalty rates of 1.5 to 2.0 percent, and a long-term growth rate of 3.0 percent. Based on our analysis at May 30, 2020, the fair value of each of our trade names exceeded its carrying amount and impairment was not indicated.</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2021, no additional qualitative indicators of impairment were identified and therefore, no interim quantitative indefinite-lived intangible asset impairment evaluation was completed. We continue to conclude that the useful life of our indefinite-lived intangible assets is appropriate. If future revenue were to fall below forecasted levels or if market conditions were to decline in a material or sustained manner, due to COVID-19 or otherwise, impairment could be indicated on one or more of our indefinite-lived intangible assets.</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material changes have occurred to the disclosures of quantitative and qualitative market risk set forth in our Annual Report on Form 10-K for the fiscal year ended February 29, 2020.</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jc w:val="both"/>
        <w:ind w:left="1300" w:hanging="644"/>
        <w:spacing w:after="0" w:line="254" w:lineRule="auto"/>
        <w:tabs>
          <w:tab w:leader="none" w:pos="12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8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controls: There was no change in the Company’s internal control over financial reporting that occurred during the fiscal quarter ended November 28, 2020, that has materially affected, or is reasonably likely to materially affect, the Company’s internal control over financial reporting.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or additions to our risk factors discussed in our Annual Report on Form 10-K for the fiscal year ended February 29, 2020, except as noted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novel coronavirus (COVID-19) pandemic, efforts to mitigate the pandemic, and the related weakening economic conditions, have impacted our</w:t>
      </w:r>
    </w:p>
    <w:p>
      <w:pPr>
        <w:sectPr>
          <w:pgSz w:w="11900" w:h="16838" w:orient="portrait"/>
          <w:cols w:equalWidth="0" w:num="1">
            <w:col w:w="11240"/>
          </w:cols>
          <w:pgMar w:left="320" w:top="121" w:right="339" w:bottom="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business and could have a significant negative impact on our operations, liquidity, financial condition and financial results</w:t>
      </w:r>
    </w:p>
    <w:p>
      <w:pPr>
        <w:sectPr>
          <w:pgSz w:w="11900" w:h="16838" w:orient="portrait"/>
          <w:cols w:equalWidth="0" w:num="1">
            <w:col w:w="11240"/>
          </w:cols>
          <w:pgMar w:left="320" w:top="121" w:right="339" w:bottom="0" w:gutter="0" w:footer="0" w:header="0"/>
          <w:type w:val="continuous"/>
        </w:sectPr>
      </w:pPr>
    </w:p>
    <w:bookmarkStart w:id="27" w:name="page28"/>
    <w:bookmarkEnd w:id="27"/>
    <w:p>
      <w:pPr>
        <w:jc w:val="both"/>
        <w:spacing w:after="0" w:line="253" w:lineRule="auto"/>
        <w:rPr>
          <w:sz w:val="20"/>
          <w:szCs w:val="20"/>
          <w:color w:val="auto"/>
        </w:rPr>
      </w:pPr>
      <w:r>
        <w:rPr>
          <w:rFonts w:ascii="Times New Roman" w:cs="Times New Roman" w:eastAsia="Times New Roman" w:hAnsi="Times New Roman"/>
          <w:sz w:val="18"/>
          <w:szCs w:val="18"/>
          <w:color w:val="auto"/>
        </w:rPr>
        <w:t>In the last quarter of our fiscal 2020, a novel strain of coronavirus, COVID-19, started to impact the global economic environment causing extreme volatility and uncertainty in global markets. In March 2020, the World Health Organization declared COVID-19 to be a global pandemic and we started to see certain impacts to our business. This contagious disease outbreak, which continues to spread, and the related adverse public health developments, and government orders to "stay in place" have adversely affected work forces, economies and financial markets globally. Quarantines and "stay in place" orders, the timing and length of containment and eradication solutions, travel restrictions, absenteeism by infected workers, labor shortages or other disruptions to our supply chain or our customers, have adversely impacted our sales and operating results and have resulted in some project delays. In addition, the pandemic has contributed to an economic downturn that could affect the ability of our customers to obtain financing for projects and therefore impact demand for our products and services. Order lead times have been and could continue to be extended or delayed and our pricing or pricing of suppliers for needed materials could increase. Some materials, products or services critical to our operations may become unavailable if the regional or global spread were significant enough to prevent alternative sourcing.</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we have experienced some delays in commercial construction projects and orders due to COVID-19. While the construction and construction-related industries are considered an "essential business or service" in most jurisdictions in which we operate, site closures or project delays have occurred and increased social distancing and health-related precautions are required on many work sites, which may cause additional project delays and additional costs to be incurred. Within the LSO segment, we also experienced the temporary closure of many of our customer's retail locations and we temporarily shut down our factories in this segment to comply with government "stay in place" orders. We may see additional temporary closures, which may lead to a future temporary shutdown of our LSO segment factories. We reopened our factories in the LSO segment during the second half of our second quarter.</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global pandemic has had, and we expect it to continue to have, an impact on our revenue and our results of operations, the size and duration of which we are currently unable to predict. The global outbreak of COVID-19 continues to evolve. The extent to which COVID-19 will impact our business will depend on future developments, which are highly uncertain and cannot be predicted with confidence, such as the ultimate severity and spread of the disease, the duration or future outbreak surges, travel restrictions and social distancing requirements in the United States and other countries, business closures or business disruptions and the effectiveness of actions taken in the United States and other countries to contain and treat the disease.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continuously evolving developments with respect to this pandemic, we cannot reasonably estimate the magnitude of the impact to our results of operations, liquidity or financial position. To the extent that our customers and suppliers are adversely impacted by the coronavirus outbreak, this could reduce the availability, or result in delays, of materials or supplies, or delays in customer payments, which in turn could materially interrupt our business operations, thereby negatively affecting our results of operations, and/or impact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made by the Company of its own stock during the third quarter of fiscal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 Plans</w:t>
            </w:r>
          </w:p>
        </w:tc>
        <w:tc>
          <w:tcPr>
            <w:tcW w:w="0" w:type="dxa"/>
            <w:vAlign w:val="bottom"/>
          </w:tcPr>
          <w:p>
            <w:pPr>
              <w:spacing w:after="0"/>
              <w:rPr>
                <w:sz w:val="1"/>
                <w:szCs w:val="1"/>
                <w:color w:val="auto"/>
              </w:rPr>
            </w:pPr>
          </w:p>
        </w:tc>
      </w:tr>
      <w:tr>
        <w:trPr>
          <w:trHeight w:val="189"/>
        </w:trPr>
        <w:tc>
          <w:tcPr>
            <w:tcW w:w="440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(b)</w:t>
            </w:r>
          </w:p>
        </w:tc>
        <w:tc>
          <w:tcPr>
            <w:tcW w:w="0" w:type="dxa"/>
            <w:vAlign w:val="bottom"/>
          </w:tcPr>
          <w:p>
            <w:pPr>
              <w:spacing w:after="0"/>
              <w:rPr>
                <w:sz w:val="1"/>
                <w:szCs w:val="1"/>
                <w:color w:val="auto"/>
              </w:rPr>
            </w:pPr>
          </w:p>
        </w:tc>
      </w:tr>
      <w:tr>
        <w:trPr>
          <w:trHeight w:val="223"/>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30, 2020 to September 26, 2020</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2,063,596</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27, 2020 to October 24, 2020</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412,214</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1,651,382</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25, 2020 to November 28,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208,323</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1,443,059</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642,150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620,537</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1,443,059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60" w:hanging="652"/>
        <w:spacing w:after="0" w:line="253" w:lineRule="auto"/>
        <w:tabs>
          <w:tab w:leader="none" w:pos="6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660" w:hanging="652"/>
        <w:spacing w:after="0" w:line="249" w:lineRule="auto"/>
        <w:tabs>
          <w:tab w:leader="none" w:pos="6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and January 14, 2020; and by 2,000,000 shares, announced on October 3, 2018. The repurchase program does not have an expiration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4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122"/>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5"/>
        </w:trPr>
        <w:tc>
          <w:tcPr>
            <w:tcW w:w="680" w:type="dxa"/>
            <w:vAlign w:val="bottom"/>
            <w:shd w:val="clear" w:color="auto" w:fill="CCEEFF"/>
          </w:tcPr>
          <w:p>
            <w:pPr>
              <w:ind w:left="20"/>
              <w:spacing w:after="0" w:line="176" w:lineRule="exact"/>
              <w:rPr>
                <w:rFonts w:ascii="Times New Roman" w:cs="Times New Roman" w:eastAsia="Times New Roman" w:hAnsi="Times New Roman"/>
                <w:sz w:val="18"/>
                <w:szCs w:val="18"/>
                <w:color w:val="auto"/>
              </w:rPr>
            </w:pPr>
            <w:hyperlink r:id="rId41">
              <w:r>
                <w:rPr>
                  <w:rFonts w:ascii="Times New Roman" w:cs="Times New Roman" w:eastAsia="Times New Roman" w:hAnsi="Times New Roman"/>
                  <w:sz w:val="18"/>
                  <w:szCs w:val="18"/>
                  <w:color w:val="auto"/>
                </w:rPr>
                <w:t>3.1</w:t>
              </w:r>
            </w:hyperlink>
          </w:p>
        </w:tc>
        <w:tc>
          <w:tcPr>
            <w:tcW w:w="760" w:type="dxa"/>
            <w:vAlign w:val="bottom"/>
            <w:shd w:val="clear" w:color="auto" w:fill="CCEEFF"/>
          </w:tcPr>
          <w:p>
            <w:pPr>
              <w:spacing w:after="0"/>
              <w:rPr>
                <w:sz w:val="15"/>
                <w:szCs w:val="15"/>
                <w:color w:val="auto"/>
              </w:rPr>
            </w:pPr>
          </w:p>
        </w:tc>
        <w:tc>
          <w:tcPr>
            <w:tcW w:w="9780" w:type="dxa"/>
            <w:vAlign w:val="bottom"/>
            <w:gridSpan w:val="12"/>
            <w:shd w:val="clear" w:color="auto" w:fill="CCEEFF"/>
          </w:tcPr>
          <w:p>
            <w:pPr>
              <w:spacing w:after="0" w:line="176" w:lineRule="exact"/>
              <w:rPr>
                <w:rFonts w:ascii="Times New Roman" w:cs="Times New Roman" w:eastAsia="Times New Roman" w:hAnsi="Times New Roman"/>
                <w:sz w:val="18"/>
                <w:szCs w:val="18"/>
                <w:color w:val="auto"/>
              </w:rPr>
            </w:pPr>
            <w:hyperlink r:id="rId41">
              <w:r>
                <w:rPr>
                  <w:rFonts w:ascii="Times New Roman" w:cs="Times New Roman" w:eastAsia="Times New Roman" w:hAnsi="Times New Roman"/>
                  <w:sz w:val="18"/>
                  <w:szCs w:val="18"/>
                  <w:color w:val="auto"/>
                </w:rPr>
                <w:t>Restated Articles of Incorporation. (Incorporated by reference to Exhibit 3.1 to Registrant's Annual Report on Form 10-K for the year-</w:t>
              </w:r>
            </w:hyperlink>
          </w:p>
        </w:tc>
      </w:tr>
      <w:tr>
        <w:trPr>
          <w:trHeight w:val="230"/>
        </w:trPr>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780" w:type="dxa"/>
            <w:vAlign w:val="bottom"/>
            <w:gridSpan w:val="12"/>
            <w:shd w:val="clear" w:color="auto" w:fill="CCEEFF"/>
          </w:tcPr>
          <w:p>
            <w:pPr>
              <w:spacing w:after="0"/>
              <w:rPr>
                <w:rFonts w:ascii="Times New Roman" w:cs="Times New Roman" w:eastAsia="Times New Roman" w:hAnsi="Times New Roman"/>
                <w:sz w:val="18"/>
                <w:szCs w:val="18"/>
                <w:color w:val="auto"/>
              </w:rPr>
            </w:pPr>
            <w:hyperlink r:id="rId41">
              <w:r>
                <w:rPr>
                  <w:rFonts w:ascii="Times New Roman" w:cs="Times New Roman" w:eastAsia="Times New Roman" w:hAnsi="Times New Roman"/>
                  <w:sz w:val="18"/>
                  <w:szCs w:val="18"/>
                  <w:color w:val="auto"/>
                </w:rPr>
                <w:t>ended February 28, 2004.)</w:t>
              </w:r>
            </w:hyperlink>
          </w:p>
        </w:tc>
      </w:tr>
      <w:tr>
        <w:trPr>
          <w:trHeight w:val="175"/>
        </w:trPr>
        <w:tc>
          <w:tcPr>
            <w:tcW w:w="680" w:type="dxa"/>
            <w:vAlign w:val="bottom"/>
          </w:tcPr>
          <w:p>
            <w:pPr>
              <w:ind w:left="20"/>
              <w:spacing w:after="0" w:line="176" w:lineRule="exact"/>
              <w:rPr>
                <w:rFonts w:ascii="Times New Roman" w:cs="Times New Roman" w:eastAsia="Times New Roman" w:hAnsi="Times New Roman"/>
                <w:sz w:val="18"/>
                <w:szCs w:val="18"/>
                <w:color w:val="auto"/>
              </w:rPr>
            </w:pPr>
            <w:hyperlink r:id="rId42">
              <w:r>
                <w:rPr>
                  <w:rFonts w:ascii="Times New Roman" w:cs="Times New Roman" w:eastAsia="Times New Roman" w:hAnsi="Times New Roman"/>
                  <w:sz w:val="18"/>
                  <w:szCs w:val="18"/>
                  <w:color w:val="auto"/>
                </w:rPr>
                <w:t>3.2</w:t>
              </w:r>
            </w:hyperlink>
          </w:p>
        </w:tc>
        <w:tc>
          <w:tcPr>
            <w:tcW w:w="760" w:type="dxa"/>
            <w:vAlign w:val="bottom"/>
          </w:tcPr>
          <w:p>
            <w:pPr>
              <w:spacing w:after="0"/>
              <w:rPr>
                <w:sz w:val="15"/>
                <w:szCs w:val="15"/>
                <w:color w:val="auto"/>
              </w:rPr>
            </w:pPr>
          </w:p>
        </w:tc>
        <w:tc>
          <w:tcPr>
            <w:tcW w:w="9780" w:type="dxa"/>
            <w:vAlign w:val="bottom"/>
            <w:gridSpan w:val="12"/>
          </w:tcPr>
          <w:p>
            <w:pPr>
              <w:spacing w:after="0" w:line="176" w:lineRule="exact"/>
              <w:rPr>
                <w:rFonts w:ascii="Times New Roman" w:cs="Times New Roman" w:eastAsia="Times New Roman" w:hAnsi="Times New Roman"/>
                <w:sz w:val="18"/>
                <w:szCs w:val="18"/>
                <w:color w:val="auto"/>
              </w:rPr>
            </w:pPr>
            <w:hyperlink r:id="rId42">
              <w:r>
                <w:rPr>
                  <w:rFonts w:ascii="Times New Roman" w:cs="Times New Roman" w:eastAsia="Times New Roman" w:hAnsi="Times New Roman"/>
                  <w:sz w:val="18"/>
                  <w:szCs w:val="18"/>
                  <w:color w:val="auto"/>
                </w:rPr>
                <w:t>Articles of Amendment to Restated Articles of Incorporation. (Incorporated by reference to Exhibit 3.1 to Registrant's Current Report</w:t>
              </w:r>
            </w:hyperlink>
          </w:p>
        </w:tc>
      </w:tr>
      <w:tr>
        <w:trPr>
          <w:trHeight w:val="230"/>
        </w:trPr>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80" w:type="dxa"/>
            <w:vAlign w:val="bottom"/>
            <w:gridSpan w:val="12"/>
          </w:tcPr>
          <w:p>
            <w:pPr>
              <w:spacing w:after="0"/>
              <w:rPr>
                <w:rFonts w:ascii="Times New Roman" w:cs="Times New Roman" w:eastAsia="Times New Roman" w:hAnsi="Times New Roman"/>
                <w:sz w:val="18"/>
                <w:szCs w:val="18"/>
                <w:color w:val="auto"/>
              </w:rPr>
            </w:pPr>
            <w:hyperlink r:id="rId42">
              <w:r>
                <w:rPr>
                  <w:rFonts w:ascii="Times New Roman" w:cs="Times New Roman" w:eastAsia="Times New Roman" w:hAnsi="Times New Roman"/>
                  <w:sz w:val="18"/>
                  <w:szCs w:val="18"/>
                  <w:color w:val="auto"/>
                </w:rPr>
                <w:t>on Form 8-K filed on January 16, 2020.)</w:t>
              </w:r>
            </w:hyperlink>
          </w:p>
        </w:tc>
      </w:tr>
      <w:tr>
        <w:trPr>
          <w:trHeight w:val="175"/>
        </w:trPr>
        <w:tc>
          <w:tcPr>
            <w:tcW w:w="680" w:type="dxa"/>
            <w:vAlign w:val="bottom"/>
            <w:shd w:val="clear" w:color="auto" w:fill="CCEEFF"/>
          </w:tcPr>
          <w:p>
            <w:pPr>
              <w:ind w:left="20"/>
              <w:spacing w:after="0" w:line="176" w:lineRule="exact"/>
              <w:rPr>
                <w:rFonts w:ascii="Times New Roman" w:cs="Times New Roman" w:eastAsia="Times New Roman" w:hAnsi="Times New Roman"/>
                <w:sz w:val="18"/>
                <w:szCs w:val="18"/>
                <w:color w:val="auto"/>
              </w:rPr>
            </w:pPr>
            <w:hyperlink r:id="rId43">
              <w:r>
                <w:rPr>
                  <w:rFonts w:ascii="Times New Roman" w:cs="Times New Roman" w:eastAsia="Times New Roman" w:hAnsi="Times New Roman"/>
                  <w:sz w:val="18"/>
                  <w:szCs w:val="18"/>
                  <w:color w:val="auto"/>
                </w:rPr>
                <w:t>3.3</w:t>
              </w:r>
            </w:hyperlink>
          </w:p>
        </w:tc>
        <w:tc>
          <w:tcPr>
            <w:tcW w:w="760" w:type="dxa"/>
            <w:vAlign w:val="bottom"/>
            <w:shd w:val="clear" w:color="auto" w:fill="CCEEFF"/>
          </w:tcPr>
          <w:p>
            <w:pPr>
              <w:spacing w:after="0"/>
              <w:rPr>
                <w:sz w:val="15"/>
                <w:szCs w:val="15"/>
                <w:color w:val="auto"/>
              </w:rPr>
            </w:pPr>
          </w:p>
        </w:tc>
        <w:tc>
          <w:tcPr>
            <w:tcW w:w="9780" w:type="dxa"/>
            <w:vAlign w:val="bottom"/>
            <w:gridSpan w:val="12"/>
            <w:shd w:val="clear" w:color="auto" w:fill="CCEEFF"/>
          </w:tcPr>
          <w:p>
            <w:pPr>
              <w:spacing w:after="0" w:line="176" w:lineRule="exact"/>
              <w:rPr>
                <w:rFonts w:ascii="Times New Roman" w:cs="Times New Roman" w:eastAsia="Times New Roman" w:hAnsi="Times New Roman"/>
                <w:sz w:val="18"/>
                <w:szCs w:val="18"/>
                <w:color w:val="auto"/>
              </w:rPr>
            </w:pPr>
            <w:hyperlink r:id="rId43">
              <w:r>
                <w:rPr>
                  <w:rFonts w:ascii="Times New Roman" w:cs="Times New Roman" w:eastAsia="Times New Roman" w:hAnsi="Times New Roman"/>
                  <w:sz w:val="18"/>
                  <w:szCs w:val="18"/>
                  <w:color w:val="auto"/>
                </w:rPr>
                <w:t>Amended and Restated Bylaws of Apogee Enterprises, Inc. (Incorporated by reference to Exhibit 3.1 to Registrant's Current Report on</w:t>
              </w:r>
            </w:hyperlink>
          </w:p>
        </w:tc>
      </w:tr>
      <w:tr>
        <w:trPr>
          <w:trHeight w:val="230"/>
        </w:trPr>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780" w:type="dxa"/>
            <w:vAlign w:val="bottom"/>
            <w:gridSpan w:val="12"/>
            <w:shd w:val="clear" w:color="auto" w:fill="CCEEFF"/>
          </w:tcPr>
          <w:p>
            <w:pPr>
              <w:spacing w:after="0"/>
              <w:rPr>
                <w:rFonts w:ascii="Times New Roman" w:cs="Times New Roman" w:eastAsia="Times New Roman" w:hAnsi="Times New Roman"/>
                <w:sz w:val="18"/>
                <w:szCs w:val="18"/>
                <w:color w:val="auto"/>
              </w:rPr>
            </w:pPr>
            <w:hyperlink r:id="rId43">
              <w:r>
                <w:rPr>
                  <w:rFonts w:ascii="Times New Roman" w:cs="Times New Roman" w:eastAsia="Times New Roman" w:hAnsi="Times New Roman"/>
                  <w:sz w:val="18"/>
                  <w:szCs w:val="18"/>
                  <w:color w:val="auto"/>
                </w:rPr>
                <w:t>Form 8-K filed on July 3, 2018.)</w:t>
              </w:r>
            </w:hyperlink>
          </w:p>
        </w:tc>
      </w:tr>
      <w:tr>
        <w:trPr>
          <w:trHeight w:val="189"/>
        </w:trPr>
        <w:tc>
          <w:tcPr>
            <w:tcW w:w="680" w:type="dxa"/>
            <w:vAlign w:val="bottom"/>
          </w:tcPr>
          <w:p>
            <w:pPr>
              <w:ind w:left="20"/>
              <w:spacing w:after="0" w:line="189" w:lineRule="exact"/>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10.1</w:t>
              </w:r>
            </w:hyperlink>
          </w:p>
        </w:tc>
        <w:tc>
          <w:tcPr>
            <w:tcW w:w="760" w:type="dxa"/>
            <w:vAlign w:val="bottom"/>
          </w:tcPr>
          <w:p>
            <w:pPr>
              <w:spacing w:after="0"/>
              <w:rPr>
                <w:sz w:val="16"/>
                <w:szCs w:val="16"/>
                <w:color w:val="auto"/>
              </w:rPr>
            </w:pPr>
          </w:p>
        </w:tc>
        <w:tc>
          <w:tcPr>
            <w:tcW w:w="9780" w:type="dxa"/>
            <w:vAlign w:val="bottom"/>
            <w:gridSpan w:val="12"/>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u w:val="single" w:color="auto"/>
                  <w:color w:val="0000FF"/>
                </w:rPr>
                <w:t>Transition Agreement between Apogee Enterprises, Inc. and Joseph F. Puishys, dated September 15,</w:t>
              </w:r>
              <w:r>
                <w:rPr>
                  <w:rFonts w:ascii="Times New Roman" w:cs="Times New Roman" w:eastAsia="Times New Roman" w:hAnsi="Times New Roman"/>
                  <w:sz w:val="18"/>
                  <w:szCs w:val="18"/>
                  <w:color w:val="0000FF"/>
                </w:rPr>
                <w:t xml:space="preserve"> 2020. (Incorporated by reference</w:t>
              </w:r>
            </w:hyperlink>
          </w:p>
        </w:tc>
      </w:tr>
      <w:tr>
        <w:trPr>
          <w:trHeight w:val="156"/>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300" w:type="dxa"/>
            <w:vAlign w:val="bottom"/>
            <w:gridSpan w:val="3"/>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 xml:space="preserve">to Exhibit 10.1 to </w:t>
              </w:r>
              <w:r>
                <w:rPr>
                  <w:rFonts w:ascii="Times New Roman" w:cs="Times New Roman" w:eastAsia="Times New Roman" w:hAnsi="Times New Roman"/>
                  <w:sz w:val="18"/>
                  <w:szCs w:val="18"/>
                  <w:u w:val="single" w:color="auto"/>
                  <w:color w:val="0000FF"/>
                </w:rPr>
                <w:t>the Registrant’s Current Report on Form 8-K filed on September 17, 2020)</w:t>
              </w:r>
            </w:hyperlink>
          </w:p>
        </w:tc>
        <w:tc>
          <w:tcPr>
            <w:tcW w:w="10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shd w:val="clear" w:color="auto" w:fill="CCEEFF"/>
          </w:tcPr>
          <w:p>
            <w:pPr>
              <w:ind w:left="20"/>
              <w:spacing w:after="0" w:line="189" w:lineRule="exact"/>
              <w:rPr>
                <w:rFonts w:ascii="Times New Roman" w:cs="Times New Roman" w:eastAsia="Times New Roman" w:hAnsi="Times New Roman"/>
                <w:sz w:val="18"/>
                <w:szCs w:val="18"/>
                <w:u w:val="single" w:color="auto"/>
                <w:color w:val="0000FF"/>
              </w:rPr>
            </w:pPr>
            <w:hyperlink r:id="rId45">
              <w:r>
                <w:rPr>
                  <w:rFonts w:ascii="Times New Roman" w:cs="Times New Roman" w:eastAsia="Times New Roman" w:hAnsi="Times New Roman"/>
                  <w:sz w:val="18"/>
                  <w:szCs w:val="18"/>
                  <w:u w:val="single" w:color="auto"/>
                  <w:color w:val="0000FF"/>
                </w:rPr>
                <w:t>10.2</w:t>
              </w:r>
            </w:hyperlink>
          </w:p>
        </w:tc>
        <w:tc>
          <w:tcPr>
            <w:tcW w:w="760" w:type="dxa"/>
            <w:vAlign w:val="bottom"/>
            <w:shd w:val="clear" w:color="auto" w:fill="CCEEFF"/>
          </w:tcPr>
          <w:p>
            <w:pPr>
              <w:spacing w:after="0"/>
              <w:rPr>
                <w:sz w:val="16"/>
                <w:szCs w:val="16"/>
                <w:color w:val="auto"/>
              </w:rPr>
            </w:pPr>
          </w:p>
        </w:tc>
        <w:tc>
          <w:tcPr>
            <w:tcW w:w="978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Amendment No. 2 to Third Amended and Restated Credit Agreement dated as of November 6, 2020, by and among Apogee</w:t>
              </w:r>
            </w:hyperlink>
          </w:p>
        </w:tc>
      </w:tr>
      <w:tr>
        <w:trPr>
          <w:trHeight w:val="169"/>
        </w:trPr>
        <w:tc>
          <w:tcPr>
            <w:tcW w:w="6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7"/>
            <w:shd w:val="clear" w:color="auto" w:fill="CCEEFF"/>
          </w:tcPr>
          <w:p>
            <w:pPr>
              <w:spacing w:after="0" w:line="169" w:lineRule="exact"/>
              <w:rPr>
                <w:rFonts w:ascii="Times New Roman" w:cs="Times New Roman" w:eastAsia="Times New Roman" w:hAnsi="Times New Roman"/>
                <w:sz w:val="18"/>
                <w:szCs w:val="18"/>
                <w:u w:val="single" w:color="auto"/>
                <w:color w:val="0000FF"/>
                <w:w w:val="98"/>
              </w:rPr>
            </w:pPr>
            <w:hyperlink r:id="rId45">
              <w:r>
                <w:rPr>
                  <w:rFonts w:ascii="Times New Roman" w:cs="Times New Roman" w:eastAsia="Times New Roman" w:hAnsi="Times New Roman"/>
                  <w:sz w:val="18"/>
                  <w:szCs w:val="18"/>
                  <w:u w:val="single" w:color="auto"/>
                  <w:color w:val="0000FF"/>
                  <w:w w:val="98"/>
                </w:rPr>
                <w:t>Enterprises, Inc., as the Borrower, the Lenders referred to therein, Wells Fargo Bank, National Association, as Administrative</w:t>
              </w:r>
            </w:hyperlink>
          </w:p>
        </w:tc>
        <w:tc>
          <w:tcPr>
            <w:tcW w:w="840" w:type="dxa"/>
            <w:vAlign w:val="bottom"/>
            <w:tcBorders>
              <w:top w:val="single" w:sz="8" w:color="CCEEFF"/>
            </w:tcBorders>
            <w:gridSpan w:val="5"/>
            <w:shd w:val="clear" w:color="auto" w:fill="CCEEFF"/>
          </w:tcPr>
          <w:p>
            <w:pPr>
              <w:ind w:left="140"/>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Agent,</w:t>
              </w:r>
            </w:hyperlink>
          </w:p>
        </w:tc>
      </w:tr>
      <w:tr>
        <w:trPr>
          <w:trHeight w:val="169"/>
        </w:trPr>
        <w:tc>
          <w:tcPr>
            <w:tcW w:w="6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9380" w:type="dxa"/>
            <w:vAlign w:val="bottom"/>
            <w:tcBorders>
              <w:top w:val="single" w:sz="8" w:color="CCEEFF"/>
            </w:tcBorders>
            <w:gridSpan w:val="8"/>
            <w:shd w:val="clear" w:color="auto" w:fill="CCEEFF"/>
          </w:tcPr>
          <w:p>
            <w:pPr>
              <w:spacing w:after="0" w:line="169" w:lineRule="exact"/>
              <w:rPr>
                <w:rFonts w:ascii="Times New Roman" w:cs="Times New Roman" w:eastAsia="Times New Roman" w:hAnsi="Times New Roman"/>
                <w:sz w:val="18"/>
                <w:szCs w:val="18"/>
                <w:color w:val="0000FF"/>
                <w:w w:val="98"/>
              </w:rPr>
            </w:pPr>
            <w:hyperlink r:id="rId45">
              <w:r>
                <w:rPr>
                  <w:rFonts w:ascii="Times New Roman" w:cs="Times New Roman" w:eastAsia="Times New Roman" w:hAnsi="Times New Roman"/>
                  <w:sz w:val="18"/>
                  <w:szCs w:val="18"/>
                  <w:color w:val="0000FF"/>
                  <w:w w:val="98"/>
                </w:rPr>
                <w:t>Swingline Lender and Issuing Lender, and U.S. Bank National Association, as Syndication Agent and Issuing Lender. (Incorporated</w:t>
              </w:r>
            </w:hyperlink>
          </w:p>
        </w:tc>
        <w:tc>
          <w:tcPr>
            <w:tcW w:w="180" w:type="dxa"/>
            <w:vAlign w:val="bottom"/>
            <w:tcBorders>
              <w:top w:val="single" w:sz="8" w:color="0000FF"/>
            </w:tcBorders>
            <w:shd w:val="clear" w:color="auto" w:fill="CCEEFF"/>
          </w:tcPr>
          <w:p>
            <w:pPr>
              <w:spacing w:after="0"/>
              <w:rPr>
                <w:sz w:val="14"/>
                <w:szCs w:val="14"/>
                <w:color w:val="auto"/>
              </w:rPr>
            </w:pPr>
          </w:p>
        </w:tc>
        <w:tc>
          <w:tcPr>
            <w:tcW w:w="220" w:type="dxa"/>
            <w:vAlign w:val="bottom"/>
            <w:tcBorders>
              <w:top w:val="single" w:sz="8" w:color="CCEEFF"/>
            </w:tcBorders>
            <w:gridSpan w:val="3"/>
            <w:shd w:val="clear" w:color="auto" w:fill="CCEEFF"/>
          </w:tcPr>
          <w:p>
            <w:pPr>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by</w:t>
              </w:r>
            </w:hyperlink>
          </w:p>
        </w:tc>
      </w:tr>
      <w:tr>
        <w:trPr>
          <w:trHeight w:val="203"/>
        </w:trPr>
        <w:tc>
          <w:tcPr>
            <w:tcW w:w="6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38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reference to Exhibit 10.1 to the Registrant’s Current Report on Form 8-K filed on November 10, 2020)</w:t>
              </w:r>
            </w:hyperlink>
          </w:p>
        </w:tc>
        <w:tc>
          <w:tcPr>
            <w:tcW w:w="11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0000FF"/>
              <w:bottom w:val="single" w:sz="8" w:color="CCEEFF"/>
            </w:tcBorders>
            <w:gridSpan w:val="4"/>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r>
      <w:tr>
        <w:trPr>
          <w:trHeight w:val="230"/>
        </w:trPr>
        <w:tc>
          <w:tcPr>
            <w:tcW w:w="680" w:type="dxa"/>
            <w:vAlign w:val="bottom"/>
          </w:tcPr>
          <w:p>
            <w:pPr>
              <w:ind w:lef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31.1</w:t>
              </w:r>
            </w:hyperlink>
          </w:p>
        </w:tc>
        <w:tc>
          <w:tcPr>
            <w:tcW w:w="760" w:type="dxa"/>
            <w:vAlign w:val="bottom"/>
          </w:tcPr>
          <w:p>
            <w:pPr>
              <w:spacing w:after="0"/>
              <w:rPr>
                <w:sz w:val="19"/>
                <w:szCs w:val="19"/>
                <w:color w:val="auto"/>
              </w:rPr>
            </w:pPr>
          </w:p>
        </w:tc>
        <w:tc>
          <w:tcPr>
            <w:tcW w:w="9780" w:type="dxa"/>
            <w:vAlign w:val="bottom"/>
            <w:gridSpan w:val="12"/>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Certification of Chief Executive Officer pursuant to Rule 13a-14(a) under the Securities Exchange Act of 1934.</w:t>
              </w:r>
            </w:hyperlink>
          </w:p>
        </w:tc>
      </w:tr>
      <w:tr>
        <w:trPr>
          <w:trHeight w:val="230"/>
        </w:trPr>
        <w:tc>
          <w:tcPr>
            <w:tcW w:w="680" w:type="dxa"/>
            <w:vAlign w:val="bottom"/>
            <w:shd w:val="clear" w:color="auto" w:fill="CCEEFF"/>
          </w:tcPr>
          <w:p>
            <w:pPr>
              <w:ind w:left="2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31.2</w:t>
              </w:r>
            </w:hyperlink>
          </w:p>
        </w:tc>
        <w:tc>
          <w:tcPr>
            <w:tcW w:w="760" w:type="dxa"/>
            <w:vAlign w:val="bottom"/>
            <w:shd w:val="clear" w:color="auto" w:fill="CCEEFF"/>
          </w:tcPr>
          <w:p>
            <w:pPr>
              <w:spacing w:after="0"/>
              <w:rPr>
                <w:sz w:val="19"/>
                <w:szCs w:val="19"/>
                <w:color w:val="auto"/>
              </w:rPr>
            </w:pPr>
          </w:p>
        </w:tc>
        <w:tc>
          <w:tcPr>
            <w:tcW w:w="9780" w:type="dxa"/>
            <w:vAlign w:val="bottom"/>
            <w:gridSpan w:val="12"/>
            <w:shd w:val="clear" w:color="auto" w:fill="CCEEFF"/>
          </w:tcPr>
          <w:p>
            <w:pPr>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Certification of Chief Financial Officer pursuant to Rule 13a-14(a) under the Securities Exchange Act of 1934.</w:t>
              </w:r>
            </w:hyperlink>
          </w:p>
        </w:tc>
      </w:tr>
      <w:tr>
        <w:trPr>
          <w:trHeight w:val="175"/>
        </w:trPr>
        <w:tc>
          <w:tcPr>
            <w:tcW w:w="680" w:type="dxa"/>
            <w:vAlign w:val="bottom"/>
          </w:tcPr>
          <w:p>
            <w:pPr>
              <w:ind w:left="20"/>
              <w:spacing w:after="0" w:line="176" w:lineRule="exact"/>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32.1</w:t>
              </w:r>
            </w:hyperlink>
          </w:p>
        </w:tc>
        <w:tc>
          <w:tcPr>
            <w:tcW w:w="760" w:type="dxa"/>
            <w:vAlign w:val="bottom"/>
          </w:tcPr>
          <w:p>
            <w:pPr>
              <w:spacing w:after="0"/>
              <w:rPr>
                <w:sz w:val="15"/>
                <w:szCs w:val="15"/>
                <w:color w:val="auto"/>
              </w:rPr>
            </w:pPr>
          </w:p>
        </w:tc>
        <w:tc>
          <w:tcPr>
            <w:tcW w:w="9780" w:type="dxa"/>
            <w:vAlign w:val="bottom"/>
            <w:gridSpan w:val="12"/>
          </w:tcPr>
          <w:p>
            <w:pPr>
              <w:spacing w:after="0" w:line="176" w:lineRule="exact"/>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hyperlink>
          </w:p>
        </w:tc>
      </w:tr>
      <w:tr>
        <w:trPr>
          <w:trHeight w:val="229"/>
        </w:trPr>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780" w:type="dxa"/>
            <w:vAlign w:val="bottom"/>
            <w:gridSpan w:val="12"/>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Act of 2002.</w:t>
              </w:r>
            </w:hyperlink>
          </w:p>
        </w:tc>
      </w:tr>
      <w:tr>
        <w:trPr>
          <w:trHeight w:val="176"/>
        </w:trPr>
        <w:tc>
          <w:tcPr>
            <w:tcW w:w="680" w:type="dxa"/>
            <w:vAlign w:val="bottom"/>
            <w:shd w:val="clear" w:color="auto" w:fill="CCEEFF"/>
          </w:tcPr>
          <w:p>
            <w:pPr>
              <w:ind w:left="20"/>
              <w:spacing w:after="0" w:line="176" w:lineRule="exact"/>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32.2</w:t>
              </w:r>
            </w:hyperlink>
          </w:p>
        </w:tc>
        <w:tc>
          <w:tcPr>
            <w:tcW w:w="760" w:type="dxa"/>
            <w:vAlign w:val="bottom"/>
            <w:shd w:val="clear" w:color="auto" w:fill="CCEEFF"/>
          </w:tcPr>
          <w:p>
            <w:pPr>
              <w:spacing w:after="0"/>
              <w:rPr>
                <w:sz w:val="15"/>
                <w:szCs w:val="15"/>
                <w:color w:val="auto"/>
              </w:rPr>
            </w:pPr>
          </w:p>
        </w:tc>
        <w:tc>
          <w:tcPr>
            <w:tcW w:w="9780" w:type="dxa"/>
            <w:vAlign w:val="bottom"/>
            <w:gridSpan w:val="12"/>
            <w:shd w:val="clear" w:color="auto" w:fill="CCEEFF"/>
          </w:tcPr>
          <w:p>
            <w:pPr>
              <w:spacing w:after="0" w:line="176" w:lineRule="exact"/>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hyperlink>
          </w:p>
        </w:tc>
      </w:tr>
      <w:tr>
        <w:trPr>
          <w:trHeight w:val="229"/>
        </w:trPr>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780" w:type="dxa"/>
            <w:vAlign w:val="bottom"/>
            <w:gridSpan w:val="12"/>
            <w:shd w:val="clear" w:color="auto" w:fill="CCEEFF"/>
          </w:tcPr>
          <w:p>
            <w:pPr>
              <w:spacing w:after="0"/>
              <w:rPr>
                <w:rFonts w:ascii="Times New Roman" w:cs="Times New Roman" w:eastAsia="Times New Roman" w:hAnsi="Times New Roman"/>
                <w:sz w:val="18"/>
                <w:szCs w:val="18"/>
                <w:color w:val="auto"/>
              </w:rPr>
            </w:pPr>
            <w:hyperlink w:anchor="page34">
              <w:r>
                <w:rPr>
                  <w:rFonts w:ascii="Times New Roman" w:cs="Times New Roman" w:eastAsia="Times New Roman" w:hAnsi="Times New Roman"/>
                  <w:sz w:val="18"/>
                  <w:szCs w:val="18"/>
                  <w:color w:val="auto"/>
                </w:rPr>
                <w:t>Act of 2002.</w:t>
              </w:r>
            </w:hyperlink>
          </w:p>
        </w:tc>
      </w:tr>
    </w:tbl>
    <w:p>
      <w:pPr>
        <w:ind w:left="1440" w:right="80" w:hanging="1414"/>
        <w:spacing w:after="0" w:line="225"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Apogee Enterprises, Inc.’s Quarterly Report on Form 10-Q for the quarter ended November 28, 2020, formatted in iXBRL (Inline Extensible Business Reporting Language): (i) the Consolidated Balance Sheets as of November 28, 2020 and February 29, 2020, (ii) the Consolidated Results of Operations for the three- and nine-months ended November 28, 2020 and November 30, 2019, (iii) the Consolidated Statements of Comprehensive Earnings for the three- and nine-months ended November 28, 2020 and November 30, 2019, (iv) the Consolidated Statements of Cash Flows for the nine-months ended November 28, 2020 and November 30, 2019, (v) the Consolidated Statements of Shareholders' Equity for the nine-months ended November 28, 2020 and November 30, 2019, and (vi) Notes to Consolidated Financial Statements.</w:t>
      </w:r>
    </w:p>
    <w:p>
      <w:pPr>
        <w:spacing w:after="0" w:line="14" w:lineRule="exact"/>
        <w:rPr>
          <w:sz w:val="20"/>
          <w:szCs w:val="20"/>
          <w:color w:val="auto"/>
        </w:rPr>
      </w:pPr>
    </w:p>
    <w:p>
      <w:pPr>
        <w:ind w:left="1440" w:hanging="1414"/>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1517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APOGEE ENTERPRISES, INC.</w:t>
      </w:r>
    </w:p>
    <w:p>
      <w:pPr>
        <w:spacing w:after="0" w:line="293" w:lineRule="exact"/>
        <w:rPr>
          <w:sz w:val="20"/>
          <w:szCs w:val="20"/>
          <w:color w:val="auto"/>
        </w:rPr>
      </w:pPr>
    </w:p>
    <w:p>
      <w:pPr>
        <w:ind w:left="20"/>
        <w:spacing w:after="0"/>
        <w:tabs>
          <w:tab w:leader="none" w:pos="6060" w:val="left"/>
        </w:tabs>
        <w:rPr>
          <w:sz w:val="20"/>
          <w:szCs w:val="20"/>
          <w:color w:val="auto"/>
        </w:rPr>
      </w:pPr>
      <w:r>
        <w:rPr>
          <w:rFonts w:ascii="Times New Roman" w:cs="Times New Roman" w:eastAsia="Times New Roman" w:hAnsi="Times New Roman"/>
          <w:sz w:val="18"/>
          <w:szCs w:val="18"/>
          <w:color w:val="auto"/>
        </w:rPr>
        <w:t>Date: January 7, 2021</w:t>
      </w:r>
      <w:r>
        <w:rPr>
          <w:sz w:val="20"/>
          <w:szCs w:val="20"/>
          <w:color w:val="auto"/>
        </w:rPr>
        <w:tab/>
      </w:r>
      <w:r>
        <w:rPr>
          <w:rFonts w:ascii="Times New Roman" w:cs="Times New Roman" w:eastAsia="Times New Roman" w:hAnsi="Times New Roman"/>
          <w:sz w:val="17"/>
          <w:szCs w:val="17"/>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14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Ty R. Silberhorn</w:t>
      </w:r>
    </w:p>
    <w:p>
      <w:pPr>
        <w:ind w:left="6540"/>
        <w:spacing w:after="0" w:line="203" w:lineRule="auto"/>
        <w:rPr>
          <w:sz w:val="20"/>
          <w:szCs w:val="20"/>
          <w:color w:val="auto"/>
        </w:rPr>
      </w:pPr>
      <w:r>
        <w:rPr>
          <w:rFonts w:ascii="Times New Roman" w:cs="Times New Roman" w:eastAsia="Times New Roman" w:hAnsi="Times New Roman"/>
          <w:sz w:val="18"/>
          <w:szCs w:val="18"/>
          <w:color w:val="auto"/>
        </w:rPr>
        <w:t>President and Chief</w:t>
      </w:r>
    </w:p>
    <w:p>
      <w:pPr>
        <w:ind w:left="6540"/>
        <w:spacing w:after="0" w:line="203" w:lineRule="auto"/>
        <w:rPr>
          <w:sz w:val="20"/>
          <w:szCs w:val="20"/>
          <w:color w:val="auto"/>
        </w:rPr>
      </w:pPr>
      <w:r>
        <w:rPr>
          <w:rFonts w:ascii="Times New Roman" w:cs="Times New Roman" w:eastAsia="Times New Roman" w:hAnsi="Times New Roman"/>
          <w:sz w:val="18"/>
          <w:szCs w:val="18"/>
          <w:color w:val="auto"/>
        </w:rPr>
        <w:t>Executive Officer</w:t>
      </w:r>
    </w:p>
    <w:p>
      <w:pPr>
        <w:spacing w:after="0" w:line="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1" w:lineRule="exact"/>
        <w:rPr>
          <w:sz w:val="20"/>
          <w:szCs w:val="20"/>
          <w:color w:val="auto"/>
        </w:rPr>
      </w:pPr>
    </w:p>
    <w:p>
      <w:pPr>
        <w:ind w:left="20"/>
        <w:spacing w:after="0"/>
        <w:tabs>
          <w:tab w:leader="none" w:pos="6060" w:val="left"/>
        </w:tabs>
        <w:rPr>
          <w:sz w:val="20"/>
          <w:szCs w:val="20"/>
          <w:color w:val="auto"/>
        </w:rPr>
      </w:pPr>
      <w:r>
        <w:rPr>
          <w:rFonts w:ascii="Times New Roman" w:cs="Times New Roman" w:eastAsia="Times New Roman" w:hAnsi="Times New Roman"/>
          <w:sz w:val="18"/>
          <w:szCs w:val="18"/>
          <w:color w:val="auto"/>
        </w:rPr>
        <w:t>Date: January 7, 2021</w:t>
      </w:r>
      <w:r>
        <w:rPr>
          <w:sz w:val="20"/>
          <w:szCs w:val="20"/>
          <w:color w:val="auto"/>
        </w:rPr>
        <w:tab/>
      </w:r>
      <w:r>
        <w:rPr>
          <w:rFonts w:ascii="Times New Roman" w:cs="Times New Roman" w:eastAsia="Times New Roman" w:hAnsi="Times New Roman"/>
          <w:sz w:val="17"/>
          <w:szCs w:val="17"/>
          <w:color w:val="auto"/>
        </w:rPr>
        <w:t>By: /s/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17145</wp:posOffset>
            </wp:positionV>
            <wp:extent cx="3214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Nisheet Gupta</w:t>
      </w:r>
    </w:p>
    <w:p>
      <w:pPr>
        <w:ind w:left="654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6540"/>
        <w:spacing w:after="0" w:line="203" w:lineRule="auto"/>
        <w:rPr>
          <w:sz w:val="20"/>
          <w:szCs w:val="20"/>
          <w:color w:val="auto"/>
        </w:rPr>
      </w:pPr>
      <w:r>
        <w:rPr>
          <w:rFonts w:ascii="Times New Roman" w:cs="Times New Roman" w:eastAsia="Times New Roman" w:hAnsi="Times New Roman"/>
          <w:sz w:val="18"/>
          <w:szCs w:val="18"/>
          <w:color w:val="auto"/>
        </w:rPr>
        <w:t>Chief Financial Officer (Principal Financial and</w:t>
      </w:r>
    </w:p>
    <w:p>
      <w:pPr>
        <w:spacing w:after="0" w:line="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21"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20" w:hanging="652"/>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40" w:hanging="652"/>
        <w:spacing w:after="0" w:line="266" w:lineRule="auto"/>
        <w:tabs>
          <w:tab w:leader="none" w:pos="19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2280" w:right="120" w:hanging="652"/>
        <w:spacing w:after="0" w:line="266" w:lineRule="auto"/>
        <w:tabs>
          <w:tab w:leader="none" w:pos="195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140" w:hanging="652"/>
        <w:spacing w:after="0" w:line="282" w:lineRule="auto"/>
        <w:tabs>
          <w:tab w:leader="none" w:pos="196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2021</w:t>
      </w:r>
    </w:p>
    <w:p>
      <w:pPr>
        <w:spacing w:after="0" w:line="158"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43180</wp:posOffset>
            </wp:positionV>
            <wp:extent cx="27774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Ty R. Silberhorn</w:t>
      </w:r>
    </w:p>
    <w:p>
      <w:pPr>
        <w:ind w:left="69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91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Apogee Enterprises, Inc.;</w:t>
      </w:r>
    </w:p>
    <w:p>
      <w:pPr>
        <w:spacing w:after="0" w:line="117"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98" w:lineRule="exact"/>
        <w:rPr>
          <w:rFonts w:ascii="Times New Roman" w:cs="Times New Roman" w:eastAsia="Times New Roman" w:hAnsi="Times New Roman"/>
          <w:sz w:val="17"/>
          <w:szCs w:val="17"/>
          <w:color w:val="auto"/>
        </w:rPr>
      </w:pPr>
    </w:p>
    <w:p>
      <w:pPr>
        <w:ind w:left="2280" w:right="20" w:hanging="652"/>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2280" w:right="440" w:hanging="652"/>
        <w:spacing w:after="0" w:line="289" w:lineRule="auto"/>
        <w:tabs>
          <w:tab w:leader="none" w:pos="226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jc w:val="both"/>
        <w:ind w:left="2280" w:right="20" w:hanging="652"/>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280" w:right="60" w:hanging="652"/>
        <w:spacing w:after="0" w:line="266" w:lineRule="auto"/>
        <w:tabs>
          <w:tab w:leader="none" w:pos="22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2280" w:right="280" w:hanging="652"/>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280" w:right="680" w:hanging="652"/>
        <w:spacing w:after="0" w:line="282" w:lineRule="auto"/>
        <w:tabs>
          <w:tab w:leader="none" w:pos="22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2021</w:t>
      </w:r>
    </w:p>
    <w:p>
      <w:pPr>
        <w:spacing w:after="0" w:line="3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Nisheet Gupta</w:t>
      </w:r>
    </w:p>
    <w:p>
      <w:pPr>
        <w:ind w:left="684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28, 2020 as filed with the Securities and Exchange Commission (the “Report”), I, Ty R. Silberhorn, Chief Executive Officer of the Company, certify, pursuant to 18 U.S.C.</w:t>
      </w:r>
    </w:p>
    <w:p>
      <w:pPr>
        <w:ind w:left="140" w:hanging="132"/>
        <w:spacing w:after="0"/>
        <w:tabs>
          <w:tab w:leader="none" w:pos="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 based on my knowledge:</w:t>
      </w:r>
    </w:p>
    <w:p>
      <w:pPr>
        <w:spacing w:after="0" w:line="1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 R. Silberhorn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7, 2021</w:t>
      </w:r>
    </w:p>
    <w:p>
      <w:pPr>
        <w:sectPr>
          <w:pgSz w:w="11900" w:h="16838" w:orient="portrait"/>
          <w:cols w:equalWidth="0" w:num="1">
            <w:col w:w="11240"/>
          </w:cols>
          <w:pgMar w:left="320" w:top="88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Apogee Enterprises, Inc. (the “Company”) on Form 10-Q for the period ended November 28, 2020 as filed with the Securities and Exchange Commission (the “Report”), I, Nisheet Gupta, Chief Financial Officer of the Company, certify, pursuant to 18 U.S.C. § 1350, as adopted pursuant to § 906 of the Sarbanes-Oxley Act of 2002, that based on my knowledge:</w:t>
      </w:r>
    </w:p>
    <w:p>
      <w:pPr>
        <w:spacing w:after="0" w:line="122"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774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Nisheet Gupta</w:t>
      </w:r>
    </w:p>
    <w:p>
      <w:pPr>
        <w:ind w:left="20"/>
        <w:spacing w:after="0" w:line="203" w:lineRule="auto"/>
        <w:rPr>
          <w:sz w:val="20"/>
          <w:szCs w:val="20"/>
          <w:color w:val="auto"/>
        </w:rPr>
      </w:pPr>
      <w:r>
        <w:rPr>
          <w:rFonts w:ascii="Times New Roman" w:cs="Times New Roman" w:eastAsia="Times New Roman" w:hAnsi="Times New Roman"/>
          <w:sz w:val="18"/>
          <w:szCs w:val="18"/>
          <w:color w:val="auto"/>
        </w:rPr>
        <w:t>Executive Vice President and</w:t>
      </w: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7, 2021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5"/>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
      <w:numFmt w:val="bullet"/>
      <w:start w:val="1"/>
    </w:lvl>
    <w:lvl w:ilvl="1">
      <w:lvlJc w:val="left"/>
      <w:lvlText w:val="(%2)"/>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41" Type="http://schemas.openxmlformats.org/officeDocument/2006/relationships/hyperlink" Target="http://www.sec.gov/Archives/edgar/data/6845/000119312504079352/dex31.htm" TargetMode="External"/><Relationship Id="rId42" Type="http://schemas.openxmlformats.org/officeDocument/2006/relationships/hyperlink" Target="http://www.sec.gov/Archives/edgar/data/6845/000119312520008887/d874518dex31.htm" TargetMode="External"/><Relationship Id="rId43" Type="http://schemas.openxmlformats.org/officeDocument/2006/relationships/hyperlink" Target="http://www.sec.gov/Archives/edgar/data/6845/000119312518212380/d688800dex31.htm" TargetMode="External"/><Relationship Id="rId44" Type="http://schemas.openxmlformats.org/officeDocument/2006/relationships/hyperlink" Target="http://www.sec.gov/Archives/edgar/data/6845/000119312520247376/d23632dex101.htm" TargetMode="External"/><Relationship Id="rId45" Type="http://schemas.openxmlformats.org/officeDocument/2006/relationships/hyperlink" Target="http://www.sec.gov/Archives/edgar/data/6845/000119312520289554/d9340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2021-01-07T13:50:26Z</dcterms:created>
  <dcterms:modified xsi:type="dcterms:W3CDTF">2021-01-07T13:50:26Z</dcterms:modified>
</cp:coreProperties>
</file>