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 2018</w:t>
      </w:r>
    </w:p>
    <w:p>
      <w:pPr>
        <w:spacing w:after="0" w:line="270" w:lineRule="exact"/>
        <w:rPr>
          <w:sz w:val="24"/>
          <w:szCs w:val="24"/>
          <w:color w:val="auto"/>
        </w:rPr>
      </w:pPr>
    </w:p>
    <w:p>
      <w:pPr>
        <w:ind w:left="720" w:right="30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90"/>
              </w:rPr>
              <w:t>Commission File Number: 0-6365</w:t>
            </w:r>
          </w:p>
        </w:tc>
        <w:tc>
          <w:tcPr>
            <w:tcW w:w="1300" w:type="dxa"/>
            <w:vAlign w:val="bottom"/>
          </w:tcPr>
          <w:p>
            <w:pPr>
              <w:spacing w:after="0"/>
              <w:rPr>
                <w:sz w:val="20"/>
                <w:szCs w:val="20"/>
                <w:color w:val="auto"/>
              </w:rPr>
            </w:pPr>
          </w:p>
        </w:tc>
      </w:tr>
      <w:tr>
        <w:trPr>
          <w:trHeight w:val="270"/>
        </w:trPr>
        <w:tc>
          <w:tcPr>
            <w:tcW w:w="6440" w:type="dxa"/>
            <w:vAlign w:val="bottom"/>
          </w:tcPr>
          <w:p>
            <w:pPr>
              <w:jc w:val="center"/>
              <w:ind w:left="188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3"/>
                <w:szCs w:val="23"/>
                <w:color w:val="auto"/>
              </w:rPr>
            </w:pPr>
          </w:p>
        </w:tc>
      </w:tr>
      <w:tr>
        <w:trPr>
          <w:trHeight w:val="576"/>
        </w:trPr>
        <w:tc>
          <w:tcPr>
            <w:tcW w:w="7740" w:type="dxa"/>
            <w:vAlign w:val="bottom"/>
            <w:gridSpan w:val="2"/>
          </w:tcPr>
          <w:p>
            <w:pPr>
              <w:jc w:val="center"/>
              <w:ind w:left="623"/>
              <w:spacing w:after="0"/>
              <w:rPr>
                <w:sz w:val="20"/>
                <w:szCs w:val="20"/>
                <w:color w:val="auto"/>
              </w:rPr>
            </w:pPr>
            <w:r>
              <w:rPr>
                <w:rFonts w:ascii="Arial" w:cs="Arial" w:eastAsia="Arial" w:hAnsi="Arial"/>
                <w:sz w:val="43"/>
                <w:szCs w:val="43"/>
                <w:b w:val="1"/>
                <w:bCs w:val="1"/>
                <w:color w:val="auto"/>
                <w:w w:val="99"/>
              </w:rPr>
              <w:t>APOGEE ENTERPRISES, INC.</w:t>
            </w:r>
          </w:p>
        </w:tc>
      </w:tr>
      <w:tr>
        <w:trPr>
          <w:trHeight w:val="220"/>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9"/>
                <w:szCs w:val="19"/>
                <w:color w:val="auto"/>
              </w:rPr>
            </w:pPr>
          </w:p>
        </w:tc>
      </w:tr>
      <w:tr>
        <w:trPr>
          <w:trHeight w:val="230"/>
        </w:trPr>
        <w:tc>
          <w:tcPr>
            <w:tcW w:w="6440" w:type="dxa"/>
            <w:vAlign w:val="bottom"/>
          </w:tcPr>
          <w:p>
            <w:pPr>
              <w:jc w:val="center"/>
              <w:ind w:left="196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0"/>
                <w:szCs w:val="20"/>
                <w:color w:val="auto"/>
              </w:rPr>
            </w:pPr>
          </w:p>
        </w:tc>
      </w:tr>
      <w:tr>
        <w:trPr>
          <w:trHeight w:val="37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2"/>
              </w:rPr>
              <w:t>Minnesota</w:t>
            </w:r>
          </w:p>
        </w:tc>
        <w:tc>
          <w:tcPr>
            <w:tcW w:w="1300" w:type="dxa"/>
            <w:vAlign w:val="bottom"/>
          </w:tcPr>
          <w:p>
            <w:pPr>
              <w:jc w:val="right"/>
              <w:ind w:right="21"/>
              <w:spacing w:after="0"/>
              <w:rPr>
                <w:sz w:val="20"/>
                <w:szCs w:val="20"/>
                <w:color w:val="auto"/>
              </w:rPr>
            </w:pPr>
            <w:r>
              <w:rPr>
                <w:rFonts w:ascii="Arial" w:cs="Arial" w:eastAsia="Arial" w:hAnsi="Arial"/>
                <w:sz w:val="18"/>
                <w:szCs w:val="18"/>
                <w:b w:val="1"/>
                <w:bCs w:val="1"/>
                <w:color w:val="auto"/>
              </w:rPr>
              <w:t>41-0919654</w:t>
            </w:r>
          </w:p>
        </w:tc>
      </w:tr>
      <w:tr>
        <w:trPr>
          <w:trHeight w:val="184"/>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jc w:val="center"/>
              <w:ind w:left="161"/>
              <w:spacing w:after="0"/>
              <w:rPr>
                <w:sz w:val="20"/>
                <w:szCs w:val="20"/>
                <w:color w:val="auto"/>
              </w:rPr>
            </w:pPr>
            <w:r>
              <w:rPr>
                <w:rFonts w:ascii="Arial" w:cs="Arial" w:eastAsia="Arial" w:hAnsi="Arial"/>
                <w:sz w:val="14"/>
                <w:szCs w:val="14"/>
                <w:color w:val="auto"/>
                <w:w w:val="95"/>
              </w:rPr>
              <w:t>(I.R.S. Employer</w:t>
            </w:r>
          </w:p>
        </w:tc>
      </w:tr>
      <w:tr>
        <w:trPr>
          <w:trHeight w:val="182"/>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9"/>
              </w:rPr>
              <w:t>Identification No.)</w:t>
            </w:r>
          </w:p>
        </w:tc>
      </w:tr>
      <w:tr>
        <w:trPr>
          <w:trHeight w:val="35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87"/>
              </w:rPr>
              <w:t>4400 West 78</w:t>
            </w:r>
            <w:r>
              <w:rPr>
                <w:rFonts w:ascii="Arial" w:cs="Arial" w:eastAsia="Arial" w:hAnsi="Arial"/>
                <w:sz w:val="25"/>
                <w:szCs w:val="25"/>
                <w:b w:val="1"/>
                <w:bCs w:val="1"/>
                <w:color w:val="auto"/>
                <w:w w:val="87"/>
                <w:vertAlign w:val="superscript"/>
              </w:rPr>
              <w:t>th</w:t>
            </w:r>
            <w:r>
              <w:rPr>
                <w:rFonts w:ascii="Arial" w:cs="Arial" w:eastAsia="Arial" w:hAnsi="Arial"/>
                <w:sz w:val="18"/>
                <w:szCs w:val="18"/>
                <w:b w:val="1"/>
                <w:bCs w:val="1"/>
                <w:color w:val="auto"/>
                <w:w w:val="87"/>
              </w:rPr>
              <w:t xml:space="preserve"> Street – Suite 520,</w:t>
            </w:r>
          </w:p>
        </w:tc>
        <w:tc>
          <w:tcPr>
            <w:tcW w:w="1300" w:type="dxa"/>
            <w:vAlign w:val="bottom"/>
          </w:tcPr>
          <w:p>
            <w:pPr>
              <w:spacing w:after="0"/>
              <w:rPr>
                <w:sz w:val="24"/>
                <w:szCs w:val="24"/>
                <w:color w:val="auto"/>
              </w:rPr>
            </w:pPr>
          </w:p>
        </w:tc>
      </w:tr>
      <w:tr>
        <w:trPr>
          <w:trHeight w:val="234"/>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4"/>
              </w:rPr>
              <w:t>Minneapolis, MN</w:t>
            </w:r>
          </w:p>
        </w:tc>
        <w:tc>
          <w:tcPr>
            <w:tcW w:w="1300" w:type="dxa"/>
            <w:vAlign w:val="bottom"/>
          </w:tcPr>
          <w:p>
            <w:pPr>
              <w:jc w:val="right"/>
              <w:ind w:right="221"/>
              <w:spacing w:after="0"/>
              <w:rPr>
                <w:sz w:val="20"/>
                <w:szCs w:val="20"/>
                <w:color w:val="auto"/>
              </w:rPr>
            </w:pPr>
            <w:r>
              <w:rPr>
                <w:rFonts w:ascii="Arial" w:cs="Arial" w:eastAsia="Arial" w:hAnsi="Arial"/>
                <w:sz w:val="18"/>
                <w:szCs w:val="18"/>
                <w:b w:val="1"/>
                <w:bCs w:val="1"/>
                <w:color w:val="auto"/>
              </w:rPr>
              <w:t>55435</w:t>
            </w:r>
          </w:p>
        </w:tc>
      </w:tr>
      <w:tr>
        <w:trPr>
          <w:trHeight w:val="218"/>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6"/>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sect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60" w:type="dxa"/>
            <w:vAlign w:val="bottom"/>
          </w:tcPr>
          <w:p>
            <w:pPr>
              <w:ind w:left="500"/>
              <w:spacing w:after="0"/>
              <w:rPr>
                <w:sz w:val="20"/>
                <w:szCs w:val="20"/>
                <w:color w:val="auto"/>
              </w:rPr>
            </w:pPr>
            <w:r>
              <w:rPr>
                <w:rFonts w:ascii="Arial" w:cs="Arial" w:eastAsia="Arial" w:hAnsi="Arial"/>
                <w:sz w:val="18"/>
                <w:szCs w:val="18"/>
                <w:color w:val="auto"/>
              </w:rPr>
              <w:t>x</w:t>
            </w:r>
          </w:p>
        </w:tc>
        <w:tc>
          <w:tcPr>
            <w:tcW w:w="2600" w:type="dxa"/>
            <w:vAlign w:val="bottom"/>
          </w:tcPr>
          <w:p>
            <w:pPr>
              <w:ind w:left="64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60" w:type="dxa"/>
            <w:vAlign w:val="bottom"/>
          </w:tcPr>
          <w:p>
            <w:pPr>
              <w:ind w:left="500"/>
              <w:spacing w:after="0"/>
              <w:rPr>
                <w:sz w:val="20"/>
                <w:szCs w:val="20"/>
                <w:color w:val="auto"/>
              </w:rPr>
            </w:pPr>
            <w:r>
              <w:rPr>
                <w:rFonts w:ascii="Arial" w:cs="Arial" w:eastAsia="Arial" w:hAnsi="Arial"/>
                <w:sz w:val="18"/>
                <w:szCs w:val="18"/>
                <w:color w:val="auto"/>
              </w:rPr>
              <w:t>o (Do not check if a smaller reporting company)</w:t>
            </w:r>
          </w:p>
        </w:tc>
        <w:tc>
          <w:tcPr>
            <w:tcW w:w="2600" w:type="dxa"/>
            <w:vAlign w:val="bottom"/>
          </w:tcPr>
          <w:p>
            <w:pPr>
              <w:ind w:left="640"/>
              <w:spacing w:after="0"/>
              <w:rPr>
                <w:sz w:val="20"/>
                <w:szCs w:val="20"/>
                <w:color w:val="auto"/>
              </w:rPr>
            </w:pPr>
            <w:r>
              <w:rPr>
                <w:rFonts w:ascii="Arial" w:cs="Arial" w:eastAsia="Arial" w:hAnsi="Arial"/>
                <w:sz w:val="18"/>
                <w:szCs w:val="18"/>
                <w:color w:val="auto"/>
                <w:w w:val="90"/>
              </w:rPr>
              <w:t>Smaller reporting company</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60" w:type="dxa"/>
            <w:vAlign w:val="bottom"/>
          </w:tcPr>
          <w:p>
            <w:pPr>
              <w:ind w:left="500"/>
              <w:spacing w:after="0"/>
              <w:rPr>
                <w:sz w:val="20"/>
                <w:szCs w:val="20"/>
                <w:color w:val="auto"/>
              </w:rPr>
            </w:pPr>
            <w:r>
              <w:rPr>
                <w:rFonts w:ascii="Arial" w:cs="Arial" w:eastAsia="Arial" w:hAnsi="Arial"/>
                <w:sz w:val="18"/>
                <w:szCs w:val="18"/>
                <w:color w:val="auto"/>
              </w:rPr>
              <w:t>o</w:t>
            </w:r>
          </w:p>
        </w:tc>
        <w:tc>
          <w:tcPr>
            <w:tcW w:w="2600" w:type="dxa"/>
            <w:vAlign w:val="bottom"/>
          </w:tcPr>
          <w:p>
            <w:pPr>
              <w:spacing w:after="0"/>
              <w:rPr>
                <w:sz w:val="24"/>
                <w:szCs w:val="24"/>
                <w:color w:val="auto"/>
              </w:rPr>
            </w:pPr>
          </w:p>
        </w:tc>
      </w:tr>
    </w:tbl>
    <w:p>
      <w:pPr>
        <w:spacing w:after="0" w:line="40"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460" w:space="320"/>
            <w:col w:w="640"/>
          </w:cols>
          <w:pgMar w:left="240" w:top="801" w:right="239" w:bottom="1440" w:gutter="0" w:footer="0" w:header="0"/>
          <w:type w:val="continuous"/>
        </w:sectPr>
      </w:pPr>
    </w:p>
    <w:bookmarkStart w:id="1" w:name="page2"/>
    <w:bookmarkEnd w:id="1"/>
    <w:p>
      <w:pPr>
        <w:ind w:right="839"/>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 As of July 11, 2018, 28,271,461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3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5">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08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82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836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9"/>
        </w:trPr>
        <w:tc>
          <w:tcPr>
            <w:tcW w:w="8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 2018</w:t>
            </w:r>
          </w:p>
        </w:tc>
        <w:tc>
          <w:tcPr>
            <w:tcW w:w="220" w:type="dxa"/>
            <w:vAlign w:val="bottom"/>
          </w:tcPr>
          <w:p>
            <w:pPr>
              <w:spacing w:after="0"/>
              <w:rPr>
                <w:sz w:val="24"/>
                <w:szCs w:val="24"/>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Short-term available for sale securities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211,852</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77,299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80,908</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4,120</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Refundable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2,040</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17,576</w:t>
            </w: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344,150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336,278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304,063</w:t>
            </w: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Available for sale securities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8,630</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180,956</w:t>
            </w: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167,349</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25,044</w:t>
            </w: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1,035,315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1,022,320</w:t>
            </w:r>
          </w:p>
        </w:tc>
      </w:tr>
      <w:tr>
        <w:trPr>
          <w:trHeight w:val="67"/>
        </w:trPr>
        <w:tc>
          <w:tcPr>
            <w:tcW w:w="1280" w:type="dxa"/>
            <w:vAlign w:val="bottom"/>
            <w:tcBorders>
              <w:bottom w:val="single" w:sz="8" w:color="CCEEFF"/>
            </w:tcBorders>
            <w:gridSpan w:val="2"/>
          </w:tcPr>
          <w:p>
            <w:pPr>
              <w:spacing w:after="0"/>
              <w:rPr>
                <w:sz w:val="5"/>
                <w:szCs w:val="5"/>
                <w:color w:val="auto"/>
              </w:rPr>
            </w:pPr>
          </w:p>
        </w:tc>
        <w:tc>
          <w:tcPr>
            <w:tcW w:w="69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68,416</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36,646</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self-insurance reserves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10,933</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12,461</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79,696</w:t>
            </w: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204,823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208,152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215,860</w:t>
            </w: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Long-term self-insurance reserves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16,307</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70,646</w:t>
            </w: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gridSpan w:val="4"/>
          </w:tcPr>
          <w:p>
            <w:pPr>
              <w:ind w:left="380"/>
              <w:spacing w:after="0"/>
              <w:rPr>
                <w:sz w:val="20"/>
                <w:szCs w:val="20"/>
                <w:color w:val="auto"/>
              </w:rPr>
            </w:pPr>
            <w:r>
              <w:rPr>
                <w:rFonts w:ascii="Arial" w:cs="Arial" w:eastAsia="Arial" w:hAnsi="Arial"/>
                <w:sz w:val="18"/>
                <w:szCs w:val="18"/>
                <w:color w:val="auto"/>
                <w:w w:val="94"/>
              </w:rPr>
              <w:t>Common stock of $0.33-1/3 par value; authorized 50,000,000 shares; issued and outstanding 28,225,767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and 28,158,042 respectively</w:t>
            </w:r>
          </w:p>
        </w:tc>
        <w:tc>
          <w:tcPr>
            <w:tcW w:w="2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9,386</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152,763</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386,518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373,259</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Deferred compensation obligations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922</w:t>
            </w: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w:t>
            </w: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524,587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511,355</w:t>
            </w: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1,035,315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1,022,320</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2,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 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272,307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255,801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202,013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70,294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46,188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28,851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28,861</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June 2,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 2017</w:t>
            </w:r>
          </w:p>
        </w:tc>
        <w:tc>
          <w:tcPr>
            <w:tcW w:w="100" w:type="dxa"/>
            <w:vAlign w:val="bottom"/>
            <w:tcBorders>
              <w:bottom w:val="single" w:sz="8" w:color="CCEEFF"/>
            </w:tcBorders>
          </w:tcPr>
          <w:p>
            <w:pPr>
              <w:spacing w:after="0"/>
              <w:rPr>
                <w:sz w:val="22"/>
                <w:szCs w:val="22"/>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16,104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gain on marketable securities, net of $2 and $33 of tax expense,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380"/>
              <w:spacing w:after="0"/>
              <w:rPr>
                <w:sz w:val="20"/>
                <w:szCs w:val="20"/>
                <w:color w:val="auto"/>
              </w:rPr>
            </w:pPr>
            <w:r>
              <w:rPr>
                <w:rFonts w:ascii="Arial" w:cs="Arial" w:eastAsia="Arial" w:hAnsi="Arial"/>
                <w:sz w:val="18"/>
                <w:szCs w:val="18"/>
                <w:color w:val="auto"/>
              </w:rPr>
              <w:t>Unrealized loss on foreign currency hedge, net of $92 and $0 of tax benefit, respectively</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June 2, 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June 3, 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16,104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11,423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2,540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(30,736)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5,109</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Refundable and accrued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4,867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1,742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Borrowings on 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Payments on line of credit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withheld for taxes, net of stock issued to employees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25,655</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4,201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Trust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Obligation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Cumulative effect adjustment (see Note 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(see Note 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15,373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Unrealized gain on marketable securities, net of $2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r>
      <w:tr>
        <w:trPr>
          <w:trHeight w:val="163"/>
        </w:trPr>
        <w:tc>
          <w:tcPr>
            <w:tcW w:w="3340" w:type="dxa"/>
            <w:vAlign w:val="bottom"/>
            <w:gridSpan w:val="2"/>
          </w:tcPr>
          <w:p>
            <w:pPr>
              <w:ind w:left="40"/>
              <w:spacing w:after="0"/>
              <w:rPr>
                <w:sz w:val="20"/>
                <w:szCs w:val="20"/>
                <w:color w:val="auto"/>
              </w:rPr>
            </w:pPr>
            <w:r>
              <w:rPr>
                <w:rFonts w:ascii="Arial" w:cs="Arial" w:eastAsia="Arial" w:hAnsi="Arial"/>
                <w:sz w:val="14"/>
                <w:szCs w:val="14"/>
                <w:color w:val="auto"/>
                <w:w w:val="92"/>
              </w:rPr>
              <w:t>Unrealized loss on foreign currency hedge, net of $92 tax</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2, 2018</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154,261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386,518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(25,601)</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4, 2017</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150,111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341,996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(31,090)</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16,104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Unrealized gain on marketable securities, net of $33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(718)</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June 3, 2017</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28,788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9,596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152,107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351,872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(31,746)</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3, 2018. We use the same accounting policies in preparing quarterly and annual financial statements. All adjustments necessary for a fair presentation of quarterly operating results are reflected herein and are of a normal, recurring nature. The results of operations for the three-month period ended June 2, 2018 are not necessarily indicative of the results to be expected for the full year.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consolidated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update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accounting policies are included in Note 1 "Summary of Significant Accounting Policies and Related Data" of our Annual Report on Form 10-K for the year ended March 3, 2018. On March 4,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as a result, made updates to our significant accounting policy for revenue recognition.</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current period, approximately 46 percent of our total revenue is recognized at the time products are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have three businesses which operate under long-term, fixed-price contracts, representing approximately 34 percent of our total revenue in the current period. This includes one business which changed revenue recognition practices due to the adoption of the new guidance, moving from recognizing revenue at shipment to an over-time method of revenue recognition.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and are therefore accounted for as part of the existing contract. The effect of a contract modification on the transaction price and our measure of progress is recognized as an adjustment to revenue, generally on a cumulative catch-up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Finally, we have one business, making up approximately 20 percent of our total revenue in the current period,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Previously, this business recognized revenue at the time of shipment.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outlined within the new accounting guidance, we elected several practical expedients in our transition to ASC 606:</w:t>
      </w:r>
    </w:p>
    <w:p>
      <w:pPr>
        <w:spacing w:after="0" w:line="23"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account for shipping and handling activities that occur after control of the related goods transfers to the customer as fulfillment activities, instead of assessing such activities as performance obligations.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exclude from the transaction price all sales taxes related to revenue producing transactions collected from the customer for a government authority.</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adjusted contract price for a significant financing component, as we expect the period between when our goods and services are transferred to the customer and when the customer pays for those goods and services to be less than a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adopted the new guidance in ASC 606 using the modified retrospective transition method applied to those contracts which were not complete as of March 4, 2018. Prior period amounts were not adjusted and therefore continue to be reported in accordance with the accounting guidance and our accounting policies in effect for those periods.</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Representing the cumulative effect of adopting ASC 606, we recorded a $3.0 million increase to the opening balance of retained earnings as of March 4, 2018. For the quarter ending June 2, 2018, the application of the new accounting guidance had the following impact on our consolidated financial statements: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3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92"/>
        </w:trPr>
        <w:tc>
          <w:tcPr>
            <w:tcW w:w="4700" w:type="dxa"/>
            <w:vAlign w:val="bottom"/>
            <w:gridSpan w:val="4"/>
          </w:tcPr>
          <w:p>
            <w:pPr>
              <w:ind w:left="40"/>
              <w:spacing w:after="0"/>
              <w:rPr>
                <w:sz w:val="20"/>
                <w:szCs w:val="20"/>
                <w:color w:val="auto"/>
              </w:rPr>
            </w:pPr>
            <w:r>
              <w:rPr>
                <w:rFonts w:ascii="Arial" w:cs="Arial" w:eastAsia="Arial" w:hAnsi="Arial"/>
                <w:sz w:val="13"/>
                <w:szCs w:val="13"/>
                <w:i w:val="1"/>
                <w:iCs w:val="1"/>
                <w:color w:val="auto"/>
              </w:rPr>
              <w:t>In thousands</w:t>
            </w: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02"/>
        </w:trPr>
        <w:tc>
          <w:tcPr>
            <w:tcW w:w="4700" w:type="dxa"/>
            <w:vAlign w:val="bottom"/>
            <w:tcBorders>
              <w:top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results of operations</w:t>
            </w:r>
          </w:p>
        </w:tc>
        <w:tc>
          <w:tcPr>
            <w:tcW w:w="3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38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336,531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327,251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248,657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ind w:left="180"/>
              <w:spacing w:after="0"/>
              <w:rPr>
                <w:sz w:val="20"/>
                <w:szCs w:val="20"/>
                <w:color w:val="auto"/>
              </w:rPr>
            </w:pPr>
            <w:r>
              <w:rPr>
                <w:rFonts w:ascii="Arial" w:cs="Arial" w:eastAsia="Arial" w:hAnsi="Arial"/>
                <w:sz w:val="18"/>
                <w:szCs w:val="18"/>
                <w:color w:val="auto"/>
              </w:rPr>
              <w:t>Gross profit</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ind w:left="180"/>
              <w:spacing w:after="0"/>
              <w:rPr>
                <w:sz w:val="20"/>
                <w:szCs w:val="20"/>
                <w:color w:val="auto"/>
              </w:rPr>
            </w:pPr>
            <w:r>
              <w:rPr>
                <w:rFonts w:ascii="Arial" w:cs="Arial" w:eastAsia="Arial" w:hAnsi="Arial"/>
                <w:sz w:val="18"/>
                <w:szCs w:val="18"/>
                <w:color w:val="auto"/>
              </w:rPr>
              <w:t>Operating income</w:t>
            </w:r>
          </w:p>
        </w:tc>
        <w:tc>
          <w:tcPr>
            <w:tcW w:w="354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Income tax expense</w:t>
            </w:r>
          </w:p>
        </w:tc>
        <w:tc>
          <w:tcPr>
            <w:tcW w:w="38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w:t>
            </w: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3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Inventories</w:t>
            </w:r>
          </w:p>
        </w:tc>
        <w:tc>
          <w:tcPr>
            <w:tcW w:w="38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77,299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86,655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Costs and earnings on contracts in excess of billings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15,265</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Billings on contracts in excess of costs and earnings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24,381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73,297</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Retained earnings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386,518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384,876</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20" w:type="dxa"/>
            <w:vAlign w:val="bottom"/>
          </w:tcPr>
          <w:p>
            <w:pPr>
              <w:jc w:val="right"/>
              <w:ind w:right="22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above are primarily a result of the transition of certain of our businesses from recognizing revenue at the time of shipment to over-time methods of revenue recognition.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adopted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and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this quarter. Both standards provide guidance for presentation of certain topics within the statement of cash flows, including presenting restricted cash within cash and cash equivalents, and they have been applied retrospectively for comparability across all periods. The adoption of these standards did not have a significant impact on our consolidated statements of cash flows.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Finally, we elected to early adopt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in the current quarter. This standard permits a company to reclassify the disproportionate income tax effects of the 2017 Tax Cuts and Jobs Act on items within accumulated other comprehensive income ("AOCI") to retained earnings. The FASB refers to these amounts as “stranded tax effects.” As a result of this adoption, we reclassified income tax effects of $0.7 million resulting from tax reform from AOCI to retained earnings following a portfolio approach. These stranded tax effects are derived from the deferred tax balances on our pension obligations as a result of the lower U.S. federal corporate tax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provides for comprehensive changes to lease accounting. The new standard requires that a lessee recognize a lease obligation liability and a right-to-use asset for virtually all leases of property, plant and equipment, subsequently amortized over the lease term. The new standard is effective for fiscal years beginning after December 15, 2018, our fiscal year 2020. The adoption of this standard will result in reflecting assets and liabilities for the value of our leased property and equipment on our consolidated balance sheet, but we do not currently expect this guidance to have a significant impact on our consolidated results of operations. In January 2018, the FASB issued a proposed accounting standard update to the guidance that would allow an entity the option to adopt the guidance on a modified retrospective basis. Under the modified retrospective approach, an entity would recognize a cumulative effect adjustment of initially applying the guidance to the opening balance of retained earnings in the period of adoption. We are monitoring the status of the proposal. We have started the process of gathering and analyzing our lease contracts and are in the process of evaluating changes to our business processes, systems and controls needed to support recognition and disclosure under this new standard.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and determined that there were no subsequent events that required recognition or disclosure in the consolidated financial statements.</w:t>
      </w:r>
    </w:p>
    <w:p>
      <w:pPr>
        <w:spacing w:after="0" w:line="18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EFCO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12, 2017, we acquired 100 percent of the stock of EFCO Corporation, a privately held U.S. manufacturer of architectural aluminum window, curtainwall, storefront and entrance systems for commercial construction projects, for $192 million in cash. The acquisition was funded through our committed revolving credit facility, with $7.5 million of the purchase price payable in equal installments over the subsequent three years. EFCO's results of operations have been included in our consolidated financial statements and within the Architectural Framing Systems segment since the date of acquisition. Those results include $65.3 million of sales and break-even operating income in the current period.</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assets and liabilities of EFCO were recorded in our consolidated balance sheet as of the acquisition date, at their respective fair values. Fair value is estimated based on one or a combination of income, cost and/or market approaches, as determined based on the nature of the asset or liability, and the level of inputs available. With respect to assets and liabilities, the determination of fair value requires management to make subjective judgments as to projections of future operating performance, the appropriate discount rate to apply, long-term growth rates, etc. (i.e. - unobservable inputs classified as Level 3 inputs under the fair value hierarchy described in Note 5), which affect the amounts recorded in the purchase price allocation. The excess of the consideration transferred over the fair value of the identifiable assets, net of liabilities, is recorded as goodwill, which is indicative of the expected continued growth and development of EFCO. The purchase price allocation that follows is based on these estimated fair values of assets acquired and liabilities assumed, which was finalized in the current quarter: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44,641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90,429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71,500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Long-term liabilities acquired, 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190,349</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 reflect the following:</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5"/>
              </w:rPr>
              <w:t>Estimated fair value</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34,800</w:t>
            </w:r>
          </w:p>
        </w:tc>
        <w:tc>
          <w:tcPr>
            <w:tcW w:w="158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15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certain unaudited pro forma consolidated data for the combined company for the first quarter of fiscal 2019 and 2018, as if the EFCO acquisition had been consummated pursuant to its same terms at the beginning of the fiscal year preceding the acquisition date.</w:t>
      </w:r>
    </w:p>
    <w:p>
      <w:pPr>
        <w:spacing w:after="0" w:line="15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2, 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June 3, 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341,686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17,445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0.62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0.61</w:t>
            </w:r>
          </w:p>
        </w:tc>
      </w:tr>
      <w:tr>
        <w:trPr>
          <w:trHeight w:val="27"/>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provided this unaudited pro forma information for comparative purposes only. This information does not necessarily reflect what the combined results of operations actually would have been had the acquisitions occurred at the beginning of fiscal year 2017. The information does not reflect the effect of any synergies or integration costs that will result from the acquisition.</w:t>
      </w:r>
    </w:p>
    <w:p>
      <w:pPr>
        <w:spacing w:after="0" w:line="17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r>
      <w:tr>
        <w:trPr>
          <w:trHeight w:val="250"/>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156,867</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179,664</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336,531</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Construction contracts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15,436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26,545</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contracts - retainage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receivables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2,887</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receivables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213,382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185,543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211,852</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our businesses which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June 2, 2018</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7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67,289</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780" w:type="dxa"/>
            <w:vAlign w:val="bottom"/>
          </w:tcPr>
          <w:p>
            <w:pPr>
              <w:jc w:val="right"/>
              <w:ind w:right="196"/>
              <w:spacing w:after="0"/>
              <w:rPr>
                <w:sz w:val="20"/>
                <w:szCs w:val="20"/>
                <w:color w:val="auto"/>
              </w:rPr>
            </w:pPr>
            <w:r>
              <w:rPr>
                <w:rFonts w:ascii="Arial" w:cs="Arial" w:eastAsia="Arial" w:hAnsi="Arial"/>
                <w:sz w:val="18"/>
                <w:szCs w:val="18"/>
                <w:color w:val="auto"/>
              </w:rPr>
              <w:t>31,462</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20,120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contract assets was due to additional businesses recognizing revenue in advance of billings, as a result of changing accounting policies for revenue recognition upon adoption of ASC 606. The increase in contract liabilities was due to timing of project activity within our businesses that operate under long-term contracts.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fiscal 2019, we recognized revenue of $9.1 million related to contract liabilities at March 4, 2018 and revenue of $2.3 million related to performance obligations satisfied in previous periods due to changes in contract estimates.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June 2, 2018, the transaction price associated with unsatisfied performance obligations is approximately $714.4 million. The performance obligations are expected to be satisfied, and the corresponding revenue to be recognized, over the following estimated time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448,500</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232,000</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33,850</w:t>
            </w:r>
          </w:p>
        </w:tc>
      </w:tr>
      <w:tr>
        <w:trPr>
          <w:trHeight w:val="257"/>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714,350</w:t>
            </w: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920" w:firstLine="8"/>
        <w:spacing w:after="0" w:line="506"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2, 2018</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35,049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17,406</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77,299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80,908</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 2018</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26,422</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7,659</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22,163</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79,696</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2, 2018</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March 3, 2018</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Retirement plan obligations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9,635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34,656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34,211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72,645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Financial Instruments</w:t>
            </w: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8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0" w:type="dxa"/>
            <w:vAlign w:val="bottom"/>
            <w:gridSpan w:val="6"/>
          </w:tcPr>
          <w:p>
            <w:pPr>
              <w:spacing w:after="0"/>
              <w:rPr>
                <w:sz w:val="20"/>
                <w:szCs w:val="20"/>
                <w:color w:val="auto"/>
              </w:rPr>
            </w:pPr>
            <w:r>
              <w:rPr>
                <w:rFonts w:ascii="Arial" w:cs="Arial" w:eastAsia="Arial" w:hAnsi="Arial"/>
                <w:sz w:val="18"/>
                <w:szCs w:val="18"/>
                <w:color w:val="auto"/>
                <w:w w:val="99"/>
              </w:rPr>
              <w:t>We hold the following available-for-sale marketable securities, made up of municipal and corporate bonds: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380" w:type="dxa"/>
            <w:vAlign w:val="bottom"/>
          </w:tcPr>
          <w:p>
            <w:pPr>
              <w:spacing w:after="0"/>
              <w:rPr>
                <w:sz w:val="24"/>
                <w:szCs w:val="2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Gross Unrealized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38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580" w:type="dxa"/>
            <w:vAlign w:val="bottom"/>
            <w:gridSpan w:val="2"/>
            <w:vMerge w:val="continue"/>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3"/>
          </w:tcPr>
          <w:p>
            <w:pPr>
              <w:ind w:left="48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 2018</w:t>
            </w: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March 3, 2018</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9,183</w:t>
            </w:r>
          </w:p>
        </w:tc>
        <w:tc>
          <w:tcPr>
            <w:tcW w:w="1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9,053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wholly-owned insurance subsidiary, Prism Assurance, Ltd. (Prism), which holds these municipal and corporate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municipal bonds at June 2, 2018,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6,980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10 years through 15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240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15,132</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Other Observable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2)</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2,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Municipal and corporate bonds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short-term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 2018</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securities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Mutual funds were measured at fair value based on quoted prices for identical assets in active markets. Municipal and corporate bonds were measured at fair value based on market prices from recent trades of similar securities and are classified as short-term or long-term based on maturity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instruments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periodically enter into forward purchase foreign currency contracts, generally with an original maturity date of less than one year, to hedge foreign currency exchange rate risk. As of June 2, 2018, we held foreign exchange forward contracts with a U.S. dollar notional value of $23.4 million, with the objective of reducing the exposure to fluctuations in the Canadian dollar and the Euro. The fair value of these contracts was a net liability of $0.2 million as of June 2, 2018.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Architectural</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Architectural Glass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Architectural</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Large-Scale</w:t>
            </w:r>
          </w:p>
        </w:tc>
        <w:tc>
          <w:tcPr>
            <w:tcW w:w="30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Framing Systems</w:t>
            </w: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Optical</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4,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84,162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June 2,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149,382</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187,034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June 2, 2018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100,433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Debt issue costs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11,352</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112,975</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48,989</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161,964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March 3, 2018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102,483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issue costs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37,181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118,271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49,078</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212,974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167,349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definite-lived intangible assets was $4.8 million and $3.4 million for the three-month periods ended June 2, 2018 and June 3, 2017, respectively. The amortization expense associated with debt issue costs is included in interest expense while the remainder is in selling, general and administrative expenses in the consolidated results of operations. At June 2, 2018, the estimated future amortization expense for definite-lived intangible assets was: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 Fiscal</w:t>
            </w:r>
          </w:p>
        </w:tc>
        <w:tc>
          <w:tcPr>
            <w:tcW w:w="2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2020</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2021</w:t>
            </w:r>
          </w:p>
        </w:tc>
        <w:tc>
          <w:tcPr>
            <w:tcW w:w="22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2022</w:t>
            </w:r>
          </w:p>
        </w:tc>
        <w:tc>
          <w:tcPr>
            <w:tcW w:w="240" w:type="dxa"/>
            <w:vAlign w:val="bottom"/>
          </w:tcPr>
          <w:p>
            <w:pPr>
              <w:spacing w:after="0"/>
              <w:rPr>
                <w:sz w:val="13"/>
                <w:szCs w:val="13"/>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Fiscal 2023</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8,190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8,177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8,171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8,014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 committed revolving credit facility with maximum borrowings of up to $335.0 million, maturing in November 2021. Outstanding borrowings under our committed revolving credit facility were $193.0 million, as of June 2, 2018, and $195.0 million, as of March 3, 2018. Under this facility, we are subject to two financial covenants that require us to stay below a maximum debt-to-EBITDA ratio and maintain a minimum ratio of interest expense-to-EBITDA. Both ratios are computed quarterly, with</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calculated on a rolling four-quarter basis. At June 2, 2018, we were in compliance with both financial covenants. Additionally, at June 2, 2018, we had a total of $23.5 million of ongoing letters of credit related to industrial revenue bonds and construction contracts that expire in fiscal 2019 and reduce availability of funds under our committed credit facility.</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June 2, 2018, our debt also included $20.4 million of industrial revenue bonds that mature in fiscal years 2021 through 2043 and $0.4 million of long-term debt in Canada. The fair value of the industrial revenue bonds approximated carrying value at June 2, 2018, due to the variable interest rates on these instruments. All debt would be classified as Level 2 within the fair value hierarchy described in Note 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maintain two Canadian revolving demand credit facilities totaling $12.0 million Canadian dollars. As of June 2, 2018, $0.7 million was outstanding under these facilities, and no borrowings were outstanding as of March 3, 2018. Borrowings under these facilities are made available at the sole discretion of the lenders and are payable on demand. The Company classifies any outstanding balances under these demand facilities as long-term debt, as outstanding amounts can be refinanced through our committed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$1.8 million and $0.5 million for the three months ended June 2, 2018 and June 3, 2017, respectively.</w:t>
      </w:r>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Operating lease commitments. </w:t>
      </w:r>
      <w:r>
        <w:rPr>
          <w:rFonts w:ascii="Arial" w:cs="Arial" w:eastAsia="Arial" w:hAnsi="Arial"/>
          <w:sz w:val="18"/>
          <w:szCs w:val="18"/>
          <w:color w:val="auto"/>
        </w:rPr>
        <w:t>As of June 2, 2018, the Company was obligated under non-cancelable operating leases for buildings and equipment.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leases provide for increased rental payments based upon increases in real estate taxes or operating costs. Future minimum rental payments under non-cancelable operating leases 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Remainder of</w:t>
            </w: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2022</w:t>
            </w:r>
          </w:p>
        </w:tc>
        <w:tc>
          <w:tcPr>
            <w:tcW w:w="18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2023</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4"/>
                <w:szCs w:val="14"/>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2019</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11,290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13,021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9,847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7,663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6,771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17,389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Bond commitments. </w:t>
      </w:r>
      <w:r>
        <w:rPr>
          <w:rFonts w:ascii="Arial" w:cs="Arial" w:eastAsia="Arial" w:hAnsi="Arial"/>
          <w:sz w:val="18"/>
          <w:szCs w:val="18"/>
          <w:color w:val="auto"/>
        </w:rPr>
        <w:t>In the ordinary course of business, predominantly in our Architectural Services and Architectural Framing Systems segments,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provide surety or performance bonds that commit payments to our customers for any non-performance. At June 2, 2018, $238.7 million of our backlog was bonded by performance bonds with a face value of $535.0 million. Performance bonds do not have stated expiration dates, as we are generally released from the bonds upon completion of the contract. We have never been required to make any payments related to these performance bonds with respect to any of our current portfolio of businesses.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We reserve estimated exposures on known claims, as well as on a portion of anticipated claims, for product warranty and rework cost,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 2018</w:t>
            </w:r>
          </w:p>
        </w:tc>
        <w:tc>
          <w:tcPr>
            <w:tcW w:w="280" w:type="dxa"/>
            <w:vAlign w:val="bottom"/>
          </w:tcPr>
          <w:p>
            <w:pPr>
              <w:spacing w:after="0"/>
              <w:rPr>
                <w:sz w:val="22"/>
                <w:szCs w:val="22"/>
                <w:color w:val="auto"/>
              </w:rPr>
            </w:pPr>
          </w:p>
        </w:tc>
        <w:tc>
          <w:tcPr>
            <w:tcW w:w="132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accruals</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1,240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22,200</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Letters of credit. </w:t>
      </w:r>
      <w:r>
        <w:rPr>
          <w:rFonts w:ascii="Arial" w:cs="Arial" w:eastAsia="Arial" w:hAnsi="Arial"/>
          <w:sz w:val="18"/>
          <w:szCs w:val="18"/>
          <w:color w:val="auto"/>
        </w:rPr>
        <w:t>At June 2, 2018, we had $23.5 million of ongoing letters of credit, all of which have been issued under our committed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as discussed in Note 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obligations. </w:t>
      </w:r>
      <w:r>
        <w:rPr>
          <w:rFonts w:ascii="Arial" w:cs="Arial" w:eastAsia="Arial" w:hAnsi="Arial"/>
          <w:sz w:val="18"/>
          <w:szCs w:val="18"/>
          <w:color w:val="auto"/>
        </w:rPr>
        <w:t>Purchase obligations for raw material commitments and capital expenditures totaled $186.4 million as of June 2, 2018.</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We are a party to various legal proceedings incidental to our normal operating activities. In particular, like others in the construction supply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industry, our businesses are routinely involved in various disputes and claims arising out of construction projects, sometimes involving significant monetary damages or product replacement. We are also subject to litigation arising out of general liability, employment practices, workers' compensation and automobile claims. Although it is very difficult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accurately predict the outcome of such proceedings, facts currently available indicate that no such claims will result in losses that would have a material adverse effect on our results of operations, cash flows or financial condition.</w:t>
      </w:r>
    </w:p>
    <w:p>
      <w:pPr>
        <w:spacing w:after="0" w:line="16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share-based compensation expense included in the results of operations was $1.5 million for the three-month period ended June 2, 2018 and $1.4 million for the three-month period ended June 3,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three-month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(29,560)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June 2,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3.2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3,570,133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proceeds from the exercise of stock options were $0.2 million and $0.8 million for the three months ended June 2, 2018 and June 3, 2017, respectively. The aggregate intrinsic value of securities exercised (the amount by which the stock price on the date of exercise exceeded the stock price of the award on the date of grant) was $0.6 million during the three months ended June 2, 2018 and $4.8 million during the prior-year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for the current three-month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Nonvested shares and units</w:t>
            </w:r>
          </w:p>
        </w:tc>
        <w:tc>
          <w:tcPr>
            <w:tcW w:w="120" w:type="dxa"/>
            <w:vAlign w:val="bottom"/>
            <w:vMerge w:val="restart"/>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3"/>
              </w:rPr>
              <w:t>Number of Shares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3, 2018</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266,180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88,103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2, 2018</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251,662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2, 2018, there was $9.0 million of total unrecognized compensation cost related to nonvested share and nonvested share unit awards, which is expected to be recognized over a weighted average period of approximately 23 months. The total fair value of shares vested during the three months ended June 2, 2018 was $4.2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June 2,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8"/>
              </w:rPr>
              <w:t>June 3, 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2015, or state and local income tax examinations for years prior to fiscal 2011. The Company is not currently under U.S. federal examination for years subsequent to fiscal year 2014, and there is very limited audit activity of the Company’s income tax returns in U.S. state jurisdictions or international jurisdictions.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at June 2, 2018 and March 3, 2018 was approximately $5.3 million and $5.1 million, respectively. Penalties and interest related to unrecognized tax benefits are recorded in income tax expense. The total liability for unrecognized tax benefits is expected to decrease by approximately $0.6 million during the next 12 months due to lapsing of statutes.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Tax Cuts and Jobs Act (the Act) was enacted in December 2017. Among other provisions, the Act created a new tax on certain foreign sourced earnings under the Global Intangible Low-Taxed Income (“GILTI”) provision. Companies are allowed to make an accounting policy election of either treating taxes due on future U.S. inclusions in taxable income related to GILTI as a current-period expense when incurred or factoring such amounts into the measurement of deferred taxes. We have completed our analysis of the GILTI provisions and are making an accounting policy election to recognize the tax expense on future U.S. inclusions of GILTI income, if any, as a current period expense when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earnings per share – weighted average common shares outstanding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effect of nonvested share grants and assumed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Diluted earnings per share – weighted average common shares and potential common shares outstanding</w:t>
      </w:r>
    </w:p>
    <w:p>
      <w:pPr>
        <w:spacing w:after="0" w:line="75" w:lineRule="exact"/>
        <w:rPr>
          <w:sz w:val="20"/>
          <w:szCs w:val="20"/>
          <w:color w:val="auto"/>
        </w:rPr>
      </w:pPr>
    </w:p>
    <w:p>
      <w:pPr>
        <w:ind w:left="200" w:right="80" w:hanging="161"/>
        <w:spacing w:after="0" w:line="277" w:lineRule="auto"/>
        <w:rPr>
          <w:sz w:val="20"/>
          <w:szCs w:val="20"/>
          <w:color w:val="auto"/>
        </w:rPr>
      </w:pPr>
      <w:r>
        <w:rPr>
          <w:rFonts w:ascii="Arial" w:cs="Arial" w:eastAsia="Arial" w:hAnsi="Arial"/>
          <w:sz w:val="18"/>
          <w:szCs w:val="18"/>
          <w:color w:val="auto"/>
        </w:rPr>
        <w:t>Stock awards excluded from the calculation of earnings per share because the effect was anti-dilutive (award price greater than average market price of the shares)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June 2, 2018</w:t>
      </w:r>
      <w:r>
        <w:rPr>
          <w:sz w:val="20"/>
          <w:szCs w:val="20"/>
          <w:color w:val="auto"/>
        </w:rPr>
        <w:tab/>
      </w:r>
      <w:r>
        <w:rPr>
          <w:rFonts w:ascii="Arial" w:cs="Arial" w:eastAsia="Arial" w:hAnsi="Arial"/>
          <w:sz w:val="12"/>
          <w:szCs w:val="12"/>
          <w:b w:val="1"/>
          <w:bCs w:val="1"/>
          <w:color w:val="auto"/>
        </w:rPr>
        <w:t>June 3, 2017</w:t>
      </w:r>
    </w:p>
    <w:p>
      <w:pPr>
        <w:spacing w:after="0" w:line="63"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28,189</w:t>
      </w:r>
      <w:r>
        <w:rPr>
          <w:sz w:val="20"/>
          <w:szCs w:val="20"/>
          <w:color w:val="auto"/>
        </w:rPr>
        <w:tab/>
      </w:r>
      <w:r>
        <w:rPr>
          <w:rFonts w:ascii="Arial" w:cs="Arial" w:eastAsia="Arial" w:hAnsi="Arial"/>
          <w:sz w:val="18"/>
          <w:szCs w:val="18"/>
          <w:color w:val="auto"/>
        </w:rPr>
        <w:t>28,851</w:t>
      </w:r>
    </w:p>
    <w:p>
      <w:pPr>
        <w:spacing w:after="0" w:line="63" w:lineRule="exact"/>
        <w:rPr>
          <w:sz w:val="20"/>
          <w:szCs w:val="20"/>
          <w:color w:val="auto"/>
        </w:rPr>
      </w:pPr>
    </w:p>
    <w:p>
      <w:pPr>
        <w:ind w:left="2080" w:hanging="1449"/>
        <w:spacing w:after="0"/>
        <w:tabs>
          <w:tab w:leader="none" w:pos="2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10</w:t>
      </w:r>
    </w:p>
    <w:p>
      <w:pPr>
        <w:spacing w:after="0" w:line="9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28,437</w:t>
      </w:r>
      <w:r>
        <w:rPr>
          <w:rFonts w:ascii="Arial" w:cs="Arial" w:eastAsia="Arial" w:hAnsi="Arial"/>
          <w:sz w:val="16"/>
          <w:szCs w:val="16"/>
          <w:color w:val="auto"/>
        </w:rPr>
        <w:t>28,861</w:t>
      </w:r>
    </w:p>
    <w:p>
      <w:pPr>
        <w:spacing w:after="0" w:line="103" w:lineRule="exact"/>
        <w:rPr>
          <w:rFonts w:ascii="Arial" w:cs="Arial" w:eastAsia="Arial" w:hAnsi="Arial"/>
          <w:sz w:val="16"/>
          <w:szCs w:val="16"/>
          <w:color w:val="auto"/>
        </w:rPr>
      </w:pPr>
    </w:p>
    <w:p>
      <w:pPr>
        <w:ind w:left="2080" w:hanging="1449"/>
        <w:spacing w:after="0"/>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-147320</wp:posOffset>
            </wp:positionV>
            <wp:extent cx="1655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60" w:lineRule="exact"/>
        <w:rPr>
          <w:sz w:val="20"/>
          <w:szCs w:val="20"/>
          <w:color w:val="auto"/>
        </w:rPr>
      </w:pPr>
    </w:p>
    <w:p>
      <w:pPr>
        <w:sectPr>
          <w:pgSz w:w="11900" w:h="16838" w:orient="portrait"/>
          <w:cols w:equalWidth="0" w:num="2">
            <w:col w:w="8340" w:space="720"/>
            <w:col w:w="2360"/>
          </w:cols>
          <w:pgMar w:left="240" w:top="125"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June 2,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June 3, 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179,037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110,492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97,735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70,727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50,150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336,531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272,307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7"/>
        </w:trPr>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3, 2018.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3, 2018.</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3, 2018 and the consolidated financial statements, including the notes to consolidated financial statements, included therein.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First Quarter of Fiscal 2019 Compared to First Quarter of Fiscal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net sales increased 23.6 percent, or $64.2 million, for the first quarter ended June 2, 2018 compared to the prior year period, due to the addition of EFCO, acquired in June 2017, within the Architectural Framing Systems segment, and strong sales within the Architectural Services segment, partially offset by a timing-related sales decline in the Architectural Glass segment. Approximately 3.4 percent of the increase in net sales in the current year compared to the prior year was due to the change in revenue recognition policies as a result of the adoption of ASC 606, as described in Note 1 to the Consolidated Financial Statements.</w:t>
      </w: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relationship between various components of operations, as a percentage of net sales,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Gross profit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Earnings before income taxes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earnings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23495</wp:posOffset>
            </wp:positionV>
            <wp:extent cx="1903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b w:val="1"/>
          <w:bCs w:val="1"/>
          <w:color w:val="auto"/>
        </w:rPr>
        <w:t>June 2, 2018</w:t>
      </w:r>
      <w:r>
        <w:rPr>
          <w:sz w:val="20"/>
          <w:szCs w:val="20"/>
          <w:color w:val="auto"/>
        </w:rPr>
        <w:tab/>
      </w:r>
      <w:r>
        <w:rPr>
          <w:rFonts w:ascii="Arial" w:cs="Arial" w:eastAsia="Arial" w:hAnsi="Arial"/>
          <w:sz w:val="12"/>
          <w:szCs w:val="12"/>
          <w:b w:val="1"/>
          <w:bCs w:val="1"/>
          <w:color w:val="auto"/>
        </w:rPr>
        <w:t>June 3, 2017</w:t>
      </w:r>
    </w:p>
    <w:p>
      <w:pPr>
        <w:spacing w:after="0" w:line="63" w:lineRule="exact"/>
        <w:rPr>
          <w:sz w:val="20"/>
          <w:szCs w:val="20"/>
          <w:color w:val="auto"/>
        </w:rPr>
      </w:pPr>
    </w:p>
    <w:p>
      <w:pPr>
        <w:jc w:val="right"/>
        <w:ind w:right="40"/>
        <w:spacing w:after="0"/>
        <w:tabs>
          <w:tab w:leader="none" w:pos="540" w:val="left"/>
        </w:tabs>
        <w:rPr>
          <w:sz w:val="20"/>
          <w:szCs w:val="20"/>
          <w:color w:val="auto"/>
        </w:rPr>
      </w:pPr>
      <w:r>
        <w:rPr>
          <w:rFonts w:ascii="Arial" w:cs="Arial" w:eastAsia="Arial" w:hAnsi="Arial"/>
          <w:sz w:val="18"/>
          <w:szCs w:val="18"/>
          <w:color w:val="auto"/>
        </w:rPr>
        <w:t>100.0 %</w:t>
      </w:r>
      <w:r>
        <w:rPr>
          <w:sz w:val="20"/>
          <w:szCs w:val="20"/>
          <w:color w:val="auto"/>
        </w:rPr>
        <w:tab/>
      </w:r>
      <w:r>
        <w:rPr>
          <w:rFonts w:ascii="Arial" w:cs="Arial" w:eastAsia="Arial" w:hAnsi="Arial"/>
          <w:sz w:val="16"/>
          <w:szCs w:val="16"/>
          <w:color w:val="auto"/>
        </w:rPr>
        <w:t>100.0%</w:t>
      </w:r>
    </w:p>
    <w:p>
      <w:pPr>
        <w:spacing w:after="0" w:line="6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color w:val="auto"/>
        </w:rPr>
        <w:t>76.0</w:t>
      </w:r>
      <w:r>
        <w:rPr>
          <w:sz w:val="20"/>
          <w:szCs w:val="20"/>
          <w:color w:val="auto"/>
        </w:rPr>
        <w:tab/>
      </w:r>
      <w:r>
        <w:rPr>
          <w:rFonts w:ascii="Arial" w:cs="Arial" w:eastAsia="Arial" w:hAnsi="Arial"/>
          <w:sz w:val="16"/>
          <w:szCs w:val="16"/>
          <w:color w:val="auto"/>
        </w:rPr>
        <w:t>74.2</w:t>
      </w:r>
    </w:p>
    <w:p>
      <w:pPr>
        <w:spacing w:after="0" w:line="77"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color w:val="auto"/>
        </w:rPr>
        <w:t>25.8</w:t>
      </w:r>
    </w:p>
    <w:p>
      <w:pPr>
        <w:spacing w:after="0" w:line="6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17.0</w:t>
      </w:r>
    </w:p>
    <w:p>
      <w:pPr>
        <w:spacing w:after="0" w:line="7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8.8</w:t>
      </w:r>
    </w:p>
    <w:p>
      <w:pPr>
        <w:spacing w:after="0" w:line="63"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7"/>
          <w:szCs w:val="17"/>
          <w:color w:val="auto"/>
        </w:rPr>
        <w:t>8.8</w:t>
      </w:r>
    </w:p>
    <w:p>
      <w:pPr>
        <w:spacing w:after="0" w:line="63"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2.9</w:t>
      </w:r>
    </w:p>
    <w:p>
      <w:pPr>
        <w:spacing w:after="0" w:line="77"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8"/>
          <w:szCs w:val="18"/>
          <w:color w:val="auto"/>
        </w:rPr>
        <w:t>4.5 %</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48895</wp:posOffset>
            </wp:positionV>
            <wp:extent cx="1903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4"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24.1 %</w:t>
      </w:r>
      <w:r>
        <w:rPr>
          <w:sz w:val="20"/>
          <w:szCs w:val="20"/>
          <w:color w:val="auto"/>
        </w:rPr>
        <w:tab/>
      </w:r>
      <w:r>
        <w:rPr>
          <w:rFonts w:ascii="Arial" w:cs="Arial" w:eastAsia="Arial" w:hAnsi="Arial"/>
          <w:sz w:val="16"/>
          <w:szCs w:val="16"/>
          <w:color w:val="auto"/>
        </w:rPr>
        <w:t>32.9%</w:t>
      </w:r>
    </w:p>
    <w:p>
      <w:pPr>
        <w:spacing w:after="0" w:line="200" w:lineRule="exact"/>
        <w:rPr>
          <w:sz w:val="20"/>
          <w:szCs w:val="20"/>
          <w:color w:val="auto"/>
        </w:rPr>
      </w:pPr>
    </w:p>
    <w:p>
      <w:pPr>
        <w:sectPr>
          <w:pgSz w:w="11900" w:h="16838" w:orient="portrait"/>
          <w:cols w:equalWidth="0" w:num="2">
            <w:col w:w="8040" w:space="720"/>
            <w:col w:w="2660"/>
          </w:cols>
          <w:pgMar w:left="240" w:top="125" w:right="239" w:bottom="1440" w:gutter="0" w:footer="0" w:header="0"/>
          <w:type w:val="continuous"/>
        </w:sectPr>
      </w:pP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55" w:lineRule="auto"/>
        <w:rPr>
          <w:sz w:val="20"/>
          <w:szCs w:val="20"/>
          <w:color w:val="auto"/>
        </w:rPr>
      </w:pPr>
      <w:r>
        <w:rPr>
          <w:rFonts w:ascii="Arial" w:cs="Arial" w:eastAsia="Arial" w:hAnsi="Arial"/>
          <w:sz w:val="18"/>
          <w:szCs w:val="18"/>
          <w:color w:val="auto"/>
        </w:rPr>
        <w:t>Gross profit as a percent of sales was 24.0 percent for the three-month period ended June 2, 2018, compared to 25.8 percent for the three-month period ended June 3, 2017. Gross profit as a percent of sales declined from the prior-year primarily due to the inclusion of the lower gross margin EFCO business and reduced volume leverage in the Architectural Glass segment.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SG&amp;A expenses as a percent of sales increased to 17.5 percent in the three-month period ended June 2, 2018, compared to 17.0 percent in the prior year three-month period, primarily due to increased selling costs from the inclusion of EFCO.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in the first quarter of fiscal 2018 was 24.1 percent, compared to 32.9 percent in the same period last year, primarily driven by the provisions of the Tax Cuts and Jobs Act, enacted in December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June 2, 2018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3, 2017</w:t>
            </w:r>
          </w:p>
        </w:tc>
        <w:tc>
          <w:tcPr>
            <w:tcW w:w="120" w:type="dxa"/>
            <w:vAlign w:val="bottom"/>
            <w:vMerge w:val="restart"/>
          </w:tcPr>
          <w:p>
            <w:pPr>
              <w:spacing w:after="0"/>
              <w:rPr>
                <w:sz w:val="13"/>
                <w:szCs w:val="13"/>
                <w:color w:val="auto"/>
              </w:rPr>
            </w:pPr>
          </w:p>
        </w:tc>
        <w:tc>
          <w:tcPr>
            <w:tcW w:w="98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179,037</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110,492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12,339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11,964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Architectural Framing Systems net sales increased $68.5 million, or 62.0 percent, for the three-month period ended June 2, 2018 compared to the prior year period. The addition of the net sales of EFCO provided the large majority of the increase, with additional growth driven by geographic expansion and new product sales by businesses existing prior to recent acquisitions. This growth was partially offset by a year-over-year decline in Canadian curtainwall sales, due to timing of project activity.</w:t>
      </w:r>
    </w:p>
    <w:p>
      <w:pPr>
        <w:spacing w:after="0" w:line="7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declined 390 basis points for the current quarter compared to the same period in the prior year, resulting from the inclusion of EFCO at lower operating margins and reduced operating leverage on lower Canadian curtainwall sales, partially offset by operating improvements in our businesses existing prior to recent acquisitions.</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Backlog in this segment, as of June 2, 2018, was approximately $400 million, compared to approximately $378 million at fiscal 2018 year-end.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June 2, 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June 3, 2017</w:t>
            </w:r>
          </w:p>
        </w:tc>
        <w:tc>
          <w:tcPr>
            <w:tcW w:w="100" w:type="dxa"/>
            <w:vAlign w:val="bottom"/>
            <w:vMerge w:val="restart"/>
          </w:tcPr>
          <w:p>
            <w:pPr>
              <w:spacing w:after="0"/>
              <w:rPr>
                <w:sz w:val="13"/>
                <w:szCs w:val="13"/>
                <w:color w:val="auto"/>
              </w:rPr>
            </w:pPr>
          </w:p>
        </w:tc>
        <w:tc>
          <w:tcPr>
            <w:tcW w:w="10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76,925</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97,735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9,322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Net sales declined $20.8 million, or 21.3 percent, from the the prior year period, due to changes in the timing of customer orders. Operating margin declined 740 basis points for the three-month period of the current year, compared to the prior year, due to lower volumes.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r>
      <w:tr>
        <w:trPr>
          <w:trHeight w:val="152"/>
        </w:trPr>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June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w:t>
            </w:r>
          </w:p>
        </w:tc>
        <w:tc>
          <w:tcPr>
            <w:tcW w:w="98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70,727</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50,150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5,155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7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Architectural Services net sales increased $20.6 million, or 41.0 percent, over the prior year, primarily due to year-on-year timing of project activity. Operating margin increased 570 basis points for the three-month period of the current year compared to the prior year, due to volume leverage and strong operating performance.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June 2, 2018, backlog in this segment grew to approximately $439 million, compared to approximately $426 million at fiscal 2018 year-end.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2, 2018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June 3, 2017</w:t>
            </w:r>
          </w:p>
        </w:tc>
        <w:tc>
          <w:tcPr>
            <w:tcW w:w="100" w:type="dxa"/>
            <w:vAlign w:val="bottom"/>
            <w:vMerge w:val="restart"/>
          </w:tcPr>
          <w:p>
            <w:pPr>
              <w:spacing w:after="0"/>
              <w:rPr>
                <w:sz w:val="13"/>
                <w:szCs w:val="13"/>
                <w:color w:val="auto"/>
              </w:rPr>
            </w:pPr>
          </w:p>
        </w:tc>
        <w:tc>
          <w:tcPr>
            <w:tcW w:w="10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6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20,761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4,050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LSO net sales increased $2.2 million, or 11.6 percent, for the three-month period ended June 2, 2018, over the prior year, as a result of strong core picture framing demand, product mix and growth in new markets. Operating margin increased 220 basis points for the three-month period of the current year compared to the prior year, driven by volume leverage and favorable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 2018</w:t>
            </w:r>
          </w:p>
        </w:tc>
        <w:tc>
          <w:tcPr>
            <w:tcW w:w="280" w:type="dxa"/>
            <w:vAlign w:val="bottom"/>
          </w:tcPr>
          <w:p>
            <w:pPr>
              <w:spacing w:after="0"/>
              <w:rPr>
                <w:sz w:val="22"/>
                <w:szCs w:val="22"/>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3, 2017</w:t>
            </w:r>
          </w:p>
        </w:tc>
      </w:tr>
      <w:tr>
        <w:trPr>
          <w:trHeight w:val="250"/>
        </w:trPr>
        <w:tc>
          <w:tcPr>
            <w:tcW w:w="8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25,343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5,912</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sales (purchases)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37,000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Payments on debt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(31,000)</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r>
      <w:tr>
        <w:trPr>
          <w:trHeight w:val="27"/>
        </w:trPr>
        <w:tc>
          <w:tcPr>
            <w:tcW w:w="128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$25.3 million for the first three months of fiscal 2019, increasing $19.4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prior-year period, as a result of timing of working capital payments.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$16.2 million the first three months of fiscal 2019, primarily due to capital expenditures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marketable securities, while in the first three months of the prior year, net cash used by investing activities of $8.0 million was driven by capital expenditures. We estimate fiscal 2019 capital expenditures to be $60 to $65 million, as we continue to primarily invest in productivity and capacity to capture new geographic and market segments.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review our portfolio of businesses and their assets in comparison to our internal strategic and performance objectives. As part of this review, we may take actions to adjust capacity, pursue geographic expansion, further invest in, fully divest or sell parts of our current businesses and/or acquire other businesses.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At June 2, 2018, we had outstanding borrowings under our credit facility of $193 million. As defined within our amended committed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credit facility, we are required to comply with two financial covenants. These financial covenants require us to stay below a maximum leverage ratio and to maintain a minimum interest coverage ratio. At June 2, 2018, we were in compliance with both financial covenants.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paid dividends totaling $4.4 million ($0.1575 per share) in the first three months of fiscal 2019. We did not repurchase shares under our authorized share repurchase program during the first three months of fiscal 2019 or fiscal 2018. We have repurchased a total of 4,009,932 shares, at a cost of $106.0 million, since the fiscal 2004 inception of this program. We currently have remaining authority to repurchase an additional 1,240,068 shares under this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June 2,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Payments Due by Fiscal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Remainder of</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2022</w:t>
            </w:r>
          </w:p>
        </w:tc>
        <w:tc>
          <w:tcPr>
            <w:tcW w:w="18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2023</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2019</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214,661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Operating leases (undiscounted)</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65,981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133,636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186,361</w:t>
            </w:r>
          </w:p>
        </w:tc>
        <w:tc>
          <w:tcPr>
            <w:tcW w:w="0" w:type="dxa"/>
            <w:vAlign w:val="bottom"/>
          </w:tcPr>
          <w:p>
            <w:pPr>
              <w:spacing w:after="0"/>
              <w:rPr>
                <w:sz w:val="1"/>
                <w:szCs w:val="1"/>
                <w:color w:val="auto"/>
              </w:rPr>
            </w:pPr>
          </w:p>
        </w:tc>
      </w:tr>
      <w:tr>
        <w:trPr>
          <w:trHeight w:val="237"/>
        </w:trPr>
        <w:tc>
          <w:tcPr>
            <w:tcW w:w="2740" w:type="dxa"/>
            <w:vAlign w:val="bottom"/>
          </w:tcPr>
          <w:p>
            <w:pPr>
              <w:ind w:left="280"/>
              <w:spacing w:after="0"/>
              <w:rPr>
                <w:sz w:val="20"/>
                <w:szCs w:val="20"/>
                <w:color w:val="auto"/>
              </w:rPr>
            </w:pPr>
            <w:r>
              <w:rPr>
                <w:rFonts w:ascii="Arial" w:cs="Arial" w:eastAsia="Arial" w:hAnsi="Arial"/>
                <w:sz w:val="18"/>
                <w:szCs w:val="18"/>
                <w:color w:val="auto"/>
              </w:rPr>
              <w:t>Total cash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145,047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63,407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16,598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204,728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29,389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467,003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 the use of certain assets through operating leases, such as warehouses, vehicles, forklifts, office equipment, hardware, software and some manufacturing equipment. While many of these operating leases have termination penalties, we consider the risk related to termination penalties to be minimal.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$1.0 million to our defined-benefit pension plans in fiscal 2019, which will equal or exceed our minimum funding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2, 2018, we had reserves of $5.3 million and $1.3 million for unrecognized tax benefits and environmental liabilities, respectively. We currently expect approximately $0.6 million of the unrecognized tax benefits to lapse during the next 12 months. We are unable to reasonably estimate in which future periods the remaining unrecognized tax benefits and environmental liabilities will ultimately be settled.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2, 2018, we had a total of $23.5 million of ongoing letters of credit related to industrial revenue bonds and construction contracts that expire in fiscal 2019 and reduce availability of funds under our committed credit facility.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the above standby letters of credit, we are required, in the ordinary course of business, to provide surety or performance bonds that commit payments to our customers for any non-performance by us. At June 2, 2018, $238.7 million of our backlog was bonded by performance bonds with a face value of $535.0 million. Performance bonds do not have stated expiration dates, as we are generally released from the bonds upon completion of the contract. We have never been required to make any payments related to these performance bonds with respect to any of our current portfolio of businesses.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analyze non-GAAP measures for adjusted net earnings, adjusted earnings per diluted common share and adjusted operating income. These measures are used by management to evaluate the Company's financial performance on a more consistent basis and improve comparability of results from period to period, because they exclude certain amounts that management does not consider to be part of the Company's core operating results. Examples of items excluded to arrive at these adjusted measures may include the impact of acquisition-related costs, amortization of short-lived acquired intangibles associated with backlog and non-recurring restructuring costs. These non-GAAP measures should be viewed in addition to, and not as an alternative to, the reported financial results of the Company prepared in accordance with GAAP. The non-GAAP measures presented below may differ from similar measures used by other companies.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earnings to adjusted net earnings and earnings per diluted common share to adjusted earnings per diluted common share.</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2, 2018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June 3, 2017</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Amortization of short-lived acquired intangibles</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2,054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690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17,551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311"/>
        </w:trPr>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per diluted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Amortization of short-lived acquired intangibles</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690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earnings per diluted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8" w:lineRule="exact"/>
        <w:rPr>
          <w:sz w:val="20"/>
          <w:szCs w:val="20"/>
          <w:color w:val="auto"/>
        </w:rPr>
      </w:pPr>
    </w:p>
    <w:p>
      <w:pPr>
        <w:ind w:left="220" w:hanging="138"/>
        <w:spacing w:after="0"/>
        <w:tabs>
          <w:tab w:leader="none" w:pos="220" w:val="left"/>
        </w:tabs>
        <w:numPr>
          <w:ilvl w:val="0"/>
          <w:numId w:val="15"/>
        </w:numPr>
        <w:rPr>
          <w:rFonts w:ascii="Arial" w:cs="Arial" w:eastAsia="Arial" w:hAnsi="Arial"/>
          <w:sz w:val="8"/>
          <w:szCs w:val="8"/>
          <w:color w:val="auto"/>
        </w:rPr>
      </w:pPr>
      <w:r>
        <w:rPr>
          <w:rFonts w:ascii="Arial" w:cs="Arial" w:eastAsia="Arial" w:hAnsi="Arial"/>
          <w:sz w:val="13"/>
          <w:szCs w:val="13"/>
          <w:color w:val="auto"/>
        </w:rPr>
        <w:t>Income tax impact on adjustments was calculated using our effective income tax rates of 24.1% for the quarter ended June 2, 2018 and of 32.9% for the quarter ended June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-90805</wp:posOffset>
            </wp:positionV>
            <wp:extent cx="1938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(loss) to adjusted operating income (loss).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00" w:type="dxa"/>
            <w:vAlign w:val="bottom"/>
            <w:vMerge w:val="restart"/>
          </w:tcPr>
          <w:p>
            <w:pPr>
              <w:spacing w:after="0"/>
              <w:rPr>
                <w:sz w:val="13"/>
                <w:szCs w:val="13"/>
                <w:color w:val="auto"/>
              </w:rPr>
            </w:pPr>
          </w:p>
        </w:tc>
        <w:tc>
          <w:tcPr>
            <w:tcW w:w="13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Operating margin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Operating income</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20" w:type="dxa"/>
            <w:vAlign w:val="bottom"/>
            <w:vMerge w:val="restart"/>
          </w:tcPr>
          <w:p>
            <w:pPr>
              <w:spacing w:after="0"/>
              <w:rPr>
                <w:sz w:val="13"/>
                <w:szCs w:val="13"/>
                <w:color w:val="auto"/>
              </w:rPr>
            </w:pPr>
          </w:p>
        </w:tc>
        <w:tc>
          <w:tcPr>
            <w:tcW w:w="1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Operating margin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2, 2018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21,995</w:t>
            </w:r>
          </w:p>
        </w:tc>
        <w:tc>
          <w:tcPr>
            <w:tcW w:w="12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15,209</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24,865</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 2017</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24,106</w:t>
            </w:r>
          </w:p>
        </w:tc>
        <w:tc>
          <w:tcPr>
            <w:tcW w:w="12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w w:val="97"/>
              </w:rPr>
              <w:t>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320" w:type="dxa"/>
            <w:vAlign w:val="bottom"/>
          </w:tcPr>
          <w:p>
            <w:pPr>
              <w:ind w:left="90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26,840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7"/>
              </w:rPr>
              <w:t>9.9%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statements are based on our current expectations for full-year fiscal 2019 results. These statements are forward-looking, and actual results may differ materially. We are currently expecting:</w:t>
      </w:r>
    </w:p>
    <w:p>
      <w:pPr>
        <w:spacing w:after="0" w:line="76"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growth of approximately 10 percent over fiscal 2018.</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 of 8.9 percent to 9.4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per diluted share of $3.35 to $3.55.</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operating margin of 9.2 to 9.7 percent and adjusted earnings per diluted share of $3.48 to $3.68</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of $60 to $65 million.</w:t>
      </w:r>
    </w:p>
    <w:p>
      <w:pPr>
        <w:spacing w:after="0" w:line="113" w:lineRule="exact"/>
        <w:rPr>
          <w:sz w:val="20"/>
          <w:szCs w:val="20"/>
          <w:color w:val="auto"/>
        </w:rPr>
      </w:pPr>
    </w:p>
    <w:p>
      <w:pPr>
        <w:jc w:val="both"/>
        <w:ind w:left="640"/>
        <w:spacing w:after="0" w:line="27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Adjusted operating margin and adjusted earnings per diluted share exclude the impact of amortization of short-lived acquired intangible assets associated with the acquired backlog of Sotawall and EFCO of $3.8 million (after tax, $0.13 per diluted share). These non-GAAP measures are used by management to evaluate the Company's historical and prospective financial performance, measure operational profitability on a more consistent basis, and provide enhanced transparency to the investment community. These non-GAAP measures should be viewed in addition to, and not as an alternative to, the financial results of the company prepared in accordance with GAAP.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3, 2018.</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3,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84"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spacing w:after="0" w:line="4"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June 2, 2018, that has materially affected, or is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also subject to litigation arising out of employment practices, workers compensation, general liability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3, 2018.</w:t>
      </w:r>
    </w:p>
    <w:p>
      <w:pPr>
        <w:sectPr>
          <w:pgSz w:w="11900" w:h="16838" w:orient="portrait"/>
          <w:cols w:equalWidth="0" w:num="1">
            <w:col w:w="11420"/>
          </w:cols>
          <w:pgMar w:left="240" w:top="125" w:right="239" w:bottom="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made by the Company of its own stock during the first quarter of fiscal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Number</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Announced Plans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4, 2018 to March 31, 2018</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April 1, 2018 to April 28, 2018</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29, 2018 to June 2, 2018</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37"/>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40,864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surrendered to us by plan participants to satisfy stock-for-stock option exercises or withholding tax obligations related to share-based compensation. We did not purchase any shares pursuant to our publicly announced repurchase program during the fiscal quarter.</w:t>
      </w:r>
    </w:p>
    <w:p>
      <w:pPr>
        <w:jc w:val="both"/>
        <w:ind w:left="660" w:hanging="652"/>
        <w:spacing w:after="0" w:line="248"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fiscal 2004, the Board of Directors authorized the repurchase of 1,500,000 shares of Company stock, announced on April 10, 2003. Subsequently, the Board of Directors increased the authorization by 750,000 shares, announced on January 24, 2008; and by 1,000,000 shares on each of the announcement dates of October 8, 2008, January 13, 2016 and January 9, 2018. The repurchase program does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720" w:type="dxa"/>
            <w:vAlign w:val="bottom"/>
            <w:gridSpan w:val="8"/>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340" w:type="dxa"/>
            <w:vAlign w:val="bottom"/>
            <w:gridSpan w:val="3"/>
          </w:tcPr>
          <w:p>
            <w:pPr>
              <w:ind w:left="40"/>
              <w:spacing w:after="0"/>
              <w:rPr>
                <w:rFonts w:ascii="Arial" w:cs="Arial" w:eastAsia="Arial" w:hAnsi="Arial"/>
                <w:sz w:val="18"/>
                <w:szCs w:val="18"/>
                <w:color w:val="0000FF"/>
              </w:rPr>
            </w:pPr>
            <w:hyperlink r:id="rId2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Amended and Restated Bylaws of Apogee Enterprises, Inc. Incorporated by reference to Exhibit 3.1 to Registrant's Current Report 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Form 8-K filed on July 3, 2018.</w:t>
              </w:r>
            </w:hyperlink>
          </w:p>
        </w:tc>
        <w:tc>
          <w:tcPr>
            <w:tcW w:w="756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r:id="rId2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CEO Cash-Based Performance Award Agreement under the Apogee Enterprises, Inc. 2009 Stock Incentive Plan, as amended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and restated (2011). Incorporated by reference to Exhibit 10.1 to Registrant's Current Report on Form 8-K filed on July 3, 2018.</w:t>
              </w:r>
            </w:hyperlink>
          </w:p>
        </w:tc>
        <w:tc>
          <w:tcPr>
            <w:tcW w:w="660" w:type="dxa"/>
            <w:vAlign w:val="bottom"/>
            <w:tcBorders>
              <w:top w:val="single" w:sz="8" w:color="0000FF"/>
            </w:tcBorders>
            <w:gridSpan w:val="2"/>
          </w:tcPr>
          <w:p>
            <w:pPr>
              <w:spacing w:after="0"/>
              <w:rPr>
                <w:sz w:val="17"/>
                <w:szCs w:val="17"/>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r:id="rId2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Fourth Amendment to the Apogee Enterprises, Inc. 2011 Deferred Compensation Plan, dated June 28, 2018. Incorporated by reference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to Exhibit 10.2 to Registrant's Current Report on Form 8-K filed on July 3, 2018.</w:t>
              </w:r>
            </w:hyperlink>
          </w:p>
        </w:tc>
        <w:tc>
          <w:tcPr>
            <w:tcW w:w="402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gridSpan w:val="3"/>
            <w:shd w:val="clear" w:color="auto" w:fill="0000FF"/>
          </w:tcPr>
          <w:p>
            <w:pPr>
              <w:spacing w:after="0" w:line="20" w:lineRule="exact"/>
              <w:rPr>
                <w:sz w:val="1"/>
                <w:szCs w:val="1"/>
                <w:color w:val="auto"/>
              </w:rPr>
            </w:pPr>
          </w:p>
        </w:tc>
        <w:tc>
          <w:tcPr>
            <w:tcW w:w="18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Act of 2002.</w:t>
              </w:r>
            </w:hyperlink>
          </w:p>
        </w:tc>
        <w:tc>
          <w:tcPr>
            <w:tcW w:w="20" w:type="dxa"/>
            <w:vAlign w:val="bottom"/>
          </w:tcPr>
          <w:p>
            <w:pPr>
              <w:spacing w:after="0"/>
              <w:rPr>
                <w:sz w:val="17"/>
                <w:szCs w:val="17"/>
                <w:color w:val="auto"/>
              </w:rPr>
            </w:pPr>
          </w:p>
        </w:tc>
      </w:tr>
      <w:tr>
        <w:trPr>
          <w:trHeight w:val="20"/>
        </w:trPr>
        <w:tc>
          <w:tcPr>
            <w:tcW w:w="3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60" w:type="dxa"/>
            <w:vAlign w:val="bottom"/>
            <w:gridSpan w:val="4"/>
          </w:tcPr>
          <w:p>
            <w:pPr>
              <w:ind w:left="40"/>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gridSpan w:val="7"/>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Act of 2002.</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520" w:hanging="1485"/>
        <w:spacing w:after="0" w:line="293"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materials from Apogee Enterprises, Inc.’s Quarterly Report on Form 10-Q for the quarter ended June 2, 2018 are furnished herewith, formatted in XBRL (Extensible Business Reporting Language): (i) the Consolidated Balance Sheets as of June 2, 2018 and March 3, 2018, (ii) the Consolidated Results of Operations for the three months ended June 2, 2018 and June 3, 2017, (iii) the Consolidated Statements of Comprehensive Earnings for the three months ended June 2, 2018 and June 3, 2017, (iv) the Consolidated Statements of Cash Flows for the three months ended June 2, 2018 and June 3, 2017, (v) the Consolidated Statements of Shareholders' Equity for the three months ended June 2, 2018 and June 3, 2017, and (vi) Notes to 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July 12, 2018</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July 12, 2018</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125"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2018</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12, 2018</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June 2, 2018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12, 2018</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June 2, 2018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12,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248"/>
    </w:lvl>
  </w:abstractNum>
  <w:abstractNum w:abstractNumId="12">
    <w:nsid w:val="431BD7B7"/>
    <w:multiLevelType w:val="hybridMultilevel"/>
    <w:lvl w:ilvl="0">
      <w:lvlJc w:val="left"/>
      <w:lvlText w:val="%1"/>
      <w:numFmt w:val="decimal"/>
      <w:start w:val="147"/>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24" Type="http://schemas.openxmlformats.org/officeDocument/2006/relationships/hyperlink" Target="http://www.sec.gov/Archives/edgar/data/6845/000119312518212380/d688800dex31.htm" TargetMode="External"/><Relationship Id="rId25" Type="http://schemas.openxmlformats.org/officeDocument/2006/relationships/hyperlink" Target="http://www.sec.gov/Archives/edgar/data/6845/000119312518212380/d688800dex101.htm" TargetMode="External"/><Relationship Id="rId26" Type="http://schemas.openxmlformats.org/officeDocument/2006/relationships/hyperlink" Target="http://www.sec.gov/Archives/edgar/data/6845/000119312518212380/d68880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2019-12-28T21:26:42Z</dcterms:created>
  <dcterms:modified xsi:type="dcterms:W3CDTF">2019-12-28T21:26:42Z</dcterms:modified>
</cp:coreProperties>
</file>