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5"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ind w:left="520" w:hanging="494"/>
        <w:spacing w:after="0" w:line="195" w:lineRule="auto"/>
        <w:tabs>
          <w:tab w:leader="none" w:pos="5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May 27, 2023</w:t>
      </w:r>
    </w:p>
    <w:p>
      <w:pPr>
        <w:ind w:left="500" w:hanging="474"/>
        <w:spacing w:after="0" w:line="204" w:lineRule="auto"/>
        <w:tabs>
          <w:tab w:leader="none" w:pos="5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39" w:lineRule="exact"/>
        <w:rPr>
          <w:sz w:val="24"/>
          <w:szCs w:val="24"/>
          <w:color w:val="auto"/>
        </w:rPr>
      </w:pPr>
    </w:p>
    <w:p>
      <w:pPr>
        <w:ind w:left="39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0-6365</w:t>
      </w:r>
    </w:p>
    <w:p>
      <w:pPr>
        <w:spacing w:after="0" w:line="5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APOGEE ENTERPRISES,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5"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21" w:lineRule="exact"/>
        <w:rPr>
          <w:sz w:val="24"/>
          <w:szCs w:val="24"/>
          <w:color w:val="auto"/>
        </w:rPr>
      </w:pPr>
    </w:p>
    <w:p>
      <w:pPr>
        <w:ind w:left="1860"/>
        <w:spacing w:after="0"/>
        <w:tabs>
          <w:tab w:leader="none" w:pos="8840" w:val="left"/>
        </w:tabs>
        <w:rPr>
          <w:sz w:val="20"/>
          <w:szCs w:val="20"/>
          <w:color w:val="auto"/>
        </w:rPr>
      </w:pPr>
      <w:r>
        <w:rPr>
          <w:rFonts w:ascii="Arial" w:cs="Arial" w:eastAsia="Arial" w:hAnsi="Arial"/>
          <w:sz w:val="17"/>
          <w:szCs w:val="17"/>
          <w:b w:val="1"/>
          <w:bCs w:val="1"/>
          <w:color w:val="auto"/>
        </w:rPr>
        <w:t>Minnesota</w:t>
      </w:r>
      <w:r>
        <w:rPr>
          <w:sz w:val="20"/>
          <w:szCs w:val="20"/>
          <w:color w:val="auto"/>
        </w:rPr>
        <w:tab/>
      </w:r>
      <w:r>
        <w:rPr>
          <w:rFonts w:ascii="Arial" w:cs="Arial" w:eastAsia="Arial" w:hAnsi="Arial"/>
          <w:sz w:val="17"/>
          <w:szCs w:val="17"/>
          <w:b w:val="1"/>
          <w:bCs w:val="1"/>
          <w:color w:val="auto"/>
        </w:rPr>
        <w:t>41-0919654</w:t>
      </w:r>
    </w:p>
    <w:p>
      <w:pPr>
        <w:spacing w:after="0" w:line="37" w:lineRule="exact"/>
        <w:rPr>
          <w:sz w:val="24"/>
          <w:szCs w:val="24"/>
          <w:color w:val="auto"/>
        </w:rPr>
      </w:pPr>
    </w:p>
    <w:p>
      <w:pPr>
        <w:ind w:left="520"/>
        <w:spacing w:after="0"/>
        <w:tabs>
          <w:tab w:leader="none" w:pos="820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3"/>
          <w:szCs w:val="13"/>
          <w:color w:val="auto"/>
        </w:rPr>
        <w:t>(I.R.S. Employer Identification No.)</w:t>
      </w:r>
    </w:p>
    <w:p>
      <w:pPr>
        <w:spacing w:after="0" w:line="79" w:lineRule="exact"/>
        <w:rPr>
          <w:sz w:val="24"/>
          <w:szCs w:val="24"/>
          <w:color w:val="auto"/>
        </w:rPr>
      </w:pPr>
    </w:p>
    <w:p>
      <w:pPr>
        <w:ind w:left="1080"/>
        <w:spacing w:after="0"/>
        <w:tabs>
          <w:tab w:leader="none" w:pos="4720" w:val="left"/>
          <w:tab w:leader="none" w:pos="6140" w:val="left"/>
          <w:tab w:leader="none" w:pos="9040" w:val="left"/>
        </w:tabs>
        <w:rPr>
          <w:sz w:val="20"/>
          <w:szCs w:val="20"/>
          <w:color w:val="auto"/>
        </w:rPr>
      </w:pPr>
      <w:r>
        <w:rPr>
          <w:rFonts w:ascii="Arial" w:cs="Arial" w:eastAsia="Arial" w:hAnsi="Arial"/>
          <w:sz w:val="17"/>
          <w:szCs w:val="17"/>
          <w:b w:val="1"/>
          <w:bCs w:val="1"/>
          <w:color w:val="auto"/>
        </w:rPr>
        <w:t>4400 West 78th Street, Suite 520</w:t>
      </w:r>
      <w:r>
        <w:rPr>
          <w:sz w:val="20"/>
          <w:szCs w:val="20"/>
          <w:color w:val="auto"/>
        </w:rPr>
        <w:tab/>
      </w:r>
      <w:r>
        <w:rPr>
          <w:rFonts w:ascii="Arial" w:cs="Arial" w:eastAsia="Arial" w:hAnsi="Arial"/>
          <w:sz w:val="17"/>
          <w:szCs w:val="17"/>
          <w:b w:val="1"/>
          <w:bCs w:val="1"/>
          <w:color w:val="auto"/>
        </w:rPr>
        <w:t>Minneapolis</w:t>
      </w:r>
      <w:r>
        <w:rPr>
          <w:sz w:val="20"/>
          <w:szCs w:val="20"/>
          <w:color w:val="auto"/>
        </w:rPr>
        <w:tab/>
      </w:r>
      <w:r>
        <w:rPr>
          <w:rFonts w:ascii="Arial" w:cs="Arial" w:eastAsia="Arial" w:hAnsi="Arial"/>
          <w:sz w:val="17"/>
          <w:szCs w:val="17"/>
          <w:b w:val="1"/>
          <w:bCs w:val="1"/>
          <w:color w:val="auto"/>
        </w:rPr>
        <w:t>Minnesota</w:t>
      </w:r>
      <w:r>
        <w:rPr>
          <w:sz w:val="20"/>
          <w:szCs w:val="20"/>
          <w:color w:val="auto"/>
        </w:rPr>
        <w:tab/>
      </w:r>
      <w:r>
        <w:rPr>
          <w:rFonts w:ascii="Arial" w:cs="Arial" w:eastAsia="Arial" w:hAnsi="Arial"/>
          <w:sz w:val="15"/>
          <w:szCs w:val="15"/>
          <w:b w:val="1"/>
          <w:bCs w:val="1"/>
          <w:color w:val="auto"/>
        </w:rPr>
        <w:t>55435</w:t>
      </w:r>
    </w:p>
    <w:p>
      <w:pPr>
        <w:spacing w:after="0" w:line="37" w:lineRule="exact"/>
        <w:rPr>
          <w:sz w:val="24"/>
          <w:szCs w:val="24"/>
          <w:color w:val="auto"/>
        </w:rPr>
      </w:pPr>
    </w:p>
    <w:p>
      <w:pPr>
        <w:ind w:left="1100"/>
        <w:spacing w:after="0"/>
        <w:tabs>
          <w:tab w:leader="none" w:pos="894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3"/>
          <w:szCs w:val="13"/>
          <w:color w:val="auto"/>
        </w:rPr>
        <w:t>(Zip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(952) 835-1874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7"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p>
      <w:pPr>
        <w:ind w:left="1460"/>
        <w:spacing w:after="0"/>
        <w:tabs>
          <w:tab w:leader="none" w:pos="4880" w:val="left"/>
          <w:tab w:leader="none" w:pos="73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7" w:lineRule="exact"/>
        <w:rPr>
          <w:sz w:val="24"/>
          <w:szCs w:val="24"/>
          <w:color w:val="auto"/>
        </w:rPr>
      </w:pPr>
    </w:p>
    <w:p>
      <w:pPr>
        <w:ind w:left="500"/>
        <w:spacing w:after="0"/>
        <w:tabs>
          <w:tab w:leader="none" w:pos="5340" w:val="left"/>
          <w:tab w:leader="none" w:pos="7920" w:val="left"/>
        </w:tabs>
        <w:rPr>
          <w:sz w:val="20"/>
          <w:szCs w:val="20"/>
          <w:color w:val="auto"/>
        </w:rPr>
      </w:pPr>
      <w:r>
        <w:rPr>
          <w:rFonts w:ascii="Arial" w:cs="Arial" w:eastAsia="Arial" w:hAnsi="Arial"/>
          <w:sz w:val="18"/>
          <w:szCs w:val="18"/>
          <w:color w:val="auto"/>
        </w:rPr>
        <w:t>Common stock, par value $0.33 1/3 per share</w:t>
      </w:r>
      <w:r>
        <w:rPr>
          <w:sz w:val="20"/>
          <w:szCs w:val="20"/>
          <w:color w:val="auto"/>
        </w:rPr>
        <w:tab/>
      </w:r>
      <w:r>
        <w:rPr>
          <w:rFonts w:ascii="Arial" w:cs="Arial" w:eastAsia="Arial" w:hAnsi="Arial"/>
          <w:sz w:val="18"/>
          <w:szCs w:val="18"/>
          <w:color w:val="auto"/>
        </w:rPr>
        <w:t>APOG</w:t>
      </w:r>
      <w:r>
        <w:rPr>
          <w:sz w:val="20"/>
          <w:szCs w:val="20"/>
          <w:color w:val="auto"/>
        </w:rPr>
        <w:tab/>
      </w:r>
      <w:r>
        <w:rPr>
          <w:rFonts w:ascii="Arial" w:cs="Arial" w:eastAsia="Arial" w:hAnsi="Arial"/>
          <w:sz w:val="16"/>
          <w:szCs w:val="16"/>
          <w:color w:val="auto"/>
        </w:rPr>
        <w:t>The Nasdaq Stock Market LLC</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30"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9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4" w:right="339" w:bottom="1440" w:gutter="0" w:footer="0" w:header="0"/>
        </w:sectPr>
      </w:pPr>
    </w:p>
    <w:p>
      <w:pPr>
        <w:spacing w:after="0" w:line="18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480"/>
              <w:spacing w:after="0"/>
              <w:rPr>
                <w:sz w:val="20"/>
                <w:szCs w:val="20"/>
                <w:color w:val="auto"/>
              </w:rPr>
            </w:pPr>
            <w:r>
              <w:rPr>
                <w:rFonts w:ascii="Arial" w:cs="Arial" w:eastAsia="Arial" w:hAnsi="Arial"/>
                <w:sz w:val="18"/>
                <w:szCs w:val="18"/>
                <w:color w:val="auto"/>
              </w:rPr>
              <w:t>x</w:t>
            </w:r>
          </w:p>
        </w:tc>
        <w:tc>
          <w:tcPr>
            <w:tcW w:w="4220" w:type="dxa"/>
            <w:vAlign w:val="bottom"/>
          </w:tcPr>
          <w:p>
            <w:pPr>
              <w:ind w:left="2260"/>
              <w:spacing w:after="0"/>
              <w:rPr>
                <w:sz w:val="20"/>
                <w:szCs w:val="20"/>
                <w:color w:val="auto"/>
              </w:rPr>
            </w:pPr>
            <w:r>
              <w:rPr>
                <w:rFonts w:ascii="Arial" w:cs="Arial" w:eastAsia="Arial" w:hAnsi="Arial"/>
                <w:sz w:val="18"/>
                <w:szCs w:val="18"/>
                <w:color w:val="auto"/>
              </w:rPr>
              <w:t>Accelerated filer</w:t>
            </w:r>
          </w:p>
        </w:tc>
      </w:tr>
      <w:tr>
        <w:trPr>
          <w:trHeight w:val="297"/>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480"/>
              <w:spacing w:after="0"/>
              <w:rPr>
                <w:sz w:val="20"/>
                <w:szCs w:val="20"/>
                <w:color w:val="auto"/>
              </w:rPr>
            </w:pPr>
            <w:r>
              <w:rPr>
                <w:rFonts w:ascii="Arial" w:cs="Arial" w:eastAsia="Arial" w:hAnsi="Arial"/>
                <w:sz w:val="18"/>
                <w:szCs w:val="18"/>
                <w:color w:val="auto"/>
              </w:rPr>
              <w:t>o</w:t>
            </w:r>
          </w:p>
        </w:tc>
        <w:tc>
          <w:tcPr>
            <w:tcW w:w="4220" w:type="dxa"/>
            <w:vAlign w:val="bottom"/>
          </w:tcPr>
          <w:p>
            <w:pPr>
              <w:ind w:left="2260"/>
              <w:spacing w:after="0"/>
              <w:rPr>
                <w:sz w:val="20"/>
                <w:szCs w:val="20"/>
                <w:color w:val="auto"/>
              </w:rPr>
            </w:pPr>
            <w:r>
              <w:rPr>
                <w:rFonts w:ascii="Arial" w:cs="Arial" w:eastAsia="Arial" w:hAnsi="Arial"/>
                <w:sz w:val="18"/>
                <w:szCs w:val="18"/>
                <w:color w:val="auto"/>
                <w:w w:val="90"/>
              </w:rPr>
              <w:t>Smaller reporting company</w:t>
            </w:r>
          </w:p>
        </w:tc>
      </w:tr>
      <w:tr>
        <w:trPr>
          <w:trHeight w:val="299"/>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42"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14" w:right="339" w:bottom="1440" w:gutter="0" w:footer="0" w:header="0"/>
          <w:type w:val="continuous"/>
        </w:sectPr>
      </w:pPr>
    </w:p>
    <w:bookmarkStart w:id="1" w:name="page2"/>
    <w:bookmarkEnd w:id="1"/>
    <w:p>
      <w:pPr>
        <w:ind w:right="699"/>
        <w:spacing w:after="0" w:line="32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June 26, 2023, 22,077,600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5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060" w:type="dxa"/>
            <w:vAlign w:val="bottom"/>
            <w:gridSpan w:val="17"/>
          </w:tcPr>
          <w:p>
            <w:pPr>
              <w:spacing w:after="0"/>
              <w:rPr>
                <w:sz w:val="20"/>
                <w:szCs w:val="20"/>
                <w:color w:val="auto"/>
              </w:rPr>
            </w:pPr>
            <w:r>
              <w:rPr>
                <w:rFonts w:ascii="Arial" w:cs="Arial" w:eastAsia="Arial" w:hAnsi="Arial"/>
                <w:sz w:val="18"/>
                <w:szCs w:val="18"/>
                <w:b w:val="1"/>
                <w:bCs w:val="1"/>
                <w:color w:val="0000FF"/>
              </w:rPr>
              <w:t>Financial Information</w:t>
            </w:r>
          </w:p>
        </w:tc>
        <w:tc>
          <w:tcPr>
            <w:tcW w:w="2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6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Consolidated Balance Sheets</w:t>
            </w:r>
          </w:p>
        </w:tc>
        <w:tc>
          <w:tcPr>
            <w:tcW w:w="6600" w:type="dxa"/>
            <w:vAlign w:val="bottom"/>
            <w:gridSpan w:val="9"/>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4</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gridSpan w:val="9"/>
          </w:tcPr>
          <w:p>
            <w:pPr>
              <w:spacing w:after="0"/>
              <w:rPr>
                <w:sz w:val="20"/>
                <w:szCs w:val="20"/>
                <w:color w:val="auto"/>
              </w:rPr>
            </w:pPr>
            <w:r>
              <w:rPr>
                <w:rFonts w:ascii="Arial" w:cs="Arial" w:eastAsia="Arial" w:hAnsi="Arial"/>
                <w:sz w:val="18"/>
                <w:szCs w:val="18"/>
                <w:color w:val="0000FF"/>
                <w:w w:val="89"/>
              </w:rPr>
              <w:t>Consolidated Results of Operations</w:t>
            </w:r>
          </w:p>
        </w:tc>
        <w:tc>
          <w:tcPr>
            <w:tcW w:w="6500" w:type="dxa"/>
            <w:vAlign w:val="bottom"/>
            <w:gridSpan w:val="8"/>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5</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40" w:type="dxa"/>
            <w:vAlign w:val="bottom"/>
            <w:gridSpan w:val="13"/>
          </w:tcPr>
          <w:p>
            <w:pPr>
              <w:spacing w:after="0"/>
              <w:rPr>
                <w:sz w:val="20"/>
                <w:szCs w:val="20"/>
                <w:color w:val="auto"/>
              </w:rPr>
            </w:pPr>
            <w:r>
              <w:rPr>
                <w:rFonts w:ascii="Arial" w:cs="Arial" w:eastAsia="Arial" w:hAnsi="Arial"/>
                <w:sz w:val="18"/>
                <w:szCs w:val="18"/>
                <w:color w:val="0000FF"/>
                <w:w w:val="89"/>
              </w:rPr>
              <w:t>Consolidated Statements of Comprehensive Earnings</w:t>
            </w:r>
          </w:p>
        </w:tc>
        <w:tc>
          <w:tcPr>
            <w:tcW w:w="5220" w:type="dxa"/>
            <w:vAlign w:val="bottom"/>
            <w:gridSpan w:val="4"/>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40" w:type="dxa"/>
            <w:vAlign w:val="bottom"/>
            <w:gridSpan w:val="13"/>
          </w:tcPr>
          <w:p>
            <w:pPr>
              <w:spacing w:after="0"/>
              <w:rPr>
                <w:sz w:val="20"/>
                <w:szCs w:val="20"/>
                <w:color w:val="auto"/>
              </w:rPr>
            </w:pPr>
            <w:r>
              <w:rPr>
                <w:rFonts w:ascii="Arial" w:cs="Arial" w:eastAsia="Arial" w:hAnsi="Arial"/>
                <w:sz w:val="18"/>
                <w:szCs w:val="18"/>
                <w:color w:val="0000FF"/>
              </w:rPr>
              <w:t>Consolidated Statements of Cash Flows</w:t>
            </w:r>
          </w:p>
        </w:tc>
        <w:tc>
          <w:tcPr>
            <w:tcW w:w="5220" w:type="dxa"/>
            <w:vAlign w:val="bottom"/>
            <w:gridSpan w:val="4"/>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gridSpan w:val="12"/>
          </w:tcPr>
          <w:p>
            <w:pPr>
              <w:spacing w:after="0"/>
              <w:rPr>
                <w:sz w:val="20"/>
                <w:szCs w:val="20"/>
                <w:color w:val="auto"/>
              </w:rPr>
            </w:pPr>
            <w:r>
              <w:rPr>
                <w:rFonts w:ascii="Arial" w:cs="Arial" w:eastAsia="Arial" w:hAnsi="Arial"/>
                <w:sz w:val="18"/>
                <w:szCs w:val="18"/>
                <w:color w:val="0000FF"/>
                <w:w w:val="89"/>
              </w:rPr>
              <w:t>Consolidated Statements of Shareholders' Equity</w:t>
            </w:r>
          </w:p>
        </w:tc>
        <w:tc>
          <w:tcPr>
            <w:tcW w:w="5540" w:type="dxa"/>
            <w:vAlign w:val="bottom"/>
            <w:gridSpan w:val="5"/>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8</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520" w:type="dxa"/>
            <w:vAlign w:val="bottom"/>
            <w:gridSpan w:val="12"/>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5540" w:type="dxa"/>
            <w:vAlign w:val="bottom"/>
            <w:gridSpan w:val="5"/>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9</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19</w:t>
            </w:r>
          </w:p>
        </w:tc>
        <w:tc>
          <w:tcPr>
            <w:tcW w:w="4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26</w:t>
            </w:r>
          </w:p>
        </w:tc>
        <w:tc>
          <w:tcPr>
            <w:tcW w:w="4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6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26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3"/>
              </w:rPr>
              <w:t>Other Information</w:t>
            </w:r>
          </w:p>
        </w:tc>
        <w:tc>
          <w:tcPr>
            <w:tcW w:w="320" w:type="dxa"/>
            <w:vAlign w:val="bottom"/>
            <w:tcBorders>
              <w:top w:val="single" w:sz="8" w:color="0000FF"/>
            </w:tcBorders>
            <w:gridSpan w:val="2"/>
          </w:tcPr>
          <w:p>
            <w:pPr>
              <w:spacing w:after="0"/>
              <w:rPr>
                <w:sz w:val="22"/>
                <w:szCs w:val="22"/>
                <w:color w:val="auto"/>
              </w:rPr>
            </w:pPr>
          </w:p>
        </w:tc>
        <w:tc>
          <w:tcPr>
            <w:tcW w:w="7300" w:type="dxa"/>
            <w:vAlign w:val="bottom"/>
            <w:gridSpan w:val="11"/>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Legal Proceedings</w:t>
            </w:r>
          </w:p>
        </w:tc>
        <w:tc>
          <w:tcPr>
            <w:tcW w:w="7720" w:type="dxa"/>
            <w:vAlign w:val="bottom"/>
            <w:gridSpan w:val="14"/>
          </w:tcPr>
          <w:p>
            <w:pPr>
              <w:spacing w:after="0"/>
              <w:rPr>
                <w:sz w:val="24"/>
                <w:szCs w:val="24"/>
                <w:color w:val="auto"/>
              </w:rPr>
            </w:pPr>
          </w:p>
        </w:tc>
        <w:tc>
          <w:tcPr>
            <w:tcW w:w="60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26</w:t>
            </w:r>
          </w:p>
        </w:tc>
        <w:tc>
          <w:tcPr>
            <w:tcW w:w="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27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27</w:t>
            </w:r>
          </w:p>
        </w:tc>
        <w:tc>
          <w:tcPr>
            <w:tcW w:w="4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3740" w:type="dxa"/>
            <w:vAlign w:val="bottom"/>
            <w:tcBorders>
              <w:top w:val="single" w:sz="8" w:color="0000FF"/>
            </w:tcBorders>
            <w:gridSpan w:val="13"/>
          </w:tcPr>
          <w:p>
            <w:pPr>
              <w:spacing w:after="0"/>
              <w:rPr>
                <w:sz w:val="24"/>
                <w:szCs w:val="24"/>
                <w:color w:val="auto"/>
              </w:rPr>
            </w:pPr>
          </w:p>
        </w:tc>
        <w:tc>
          <w:tcPr>
            <w:tcW w:w="4720" w:type="dxa"/>
            <w:vAlign w:val="bottom"/>
            <w:gridSpan w:val="3"/>
          </w:tcPr>
          <w:p>
            <w:pPr>
              <w:spacing w:after="0"/>
              <w:rPr>
                <w:sz w:val="24"/>
                <w:szCs w:val="24"/>
                <w:color w:val="auto"/>
              </w:rPr>
            </w:pPr>
          </w:p>
        </w:tc>
        <w:tc>
          <w:tcPr>
            <w:tcW w:w="60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27</w:t>
            </w:r>
          </w:p>
        </w:tc>
        <w:tc>
          <w:tcPr>
            <w:tcW w:w="4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0000FF"/>
              </w:rPr>
              <w:t>28</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gridSpan w:val="14"/>
          </w:tcPr>
          <w:p>
            <w:pPr>
              <w:ind w:left="422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720" w:type="dxa"/>
            <w:vAlign w:val="bottom"/>
          </w:tcPr>
          <w:p>
            <w:pPr>
              <w:ind w:left="282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8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 except stock data)</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b w:val="1"/>
                <w:bCs w:val="1"/>
                <w:color w:val="auto"/>
                <w:w w:val="93"/>
              </w:rPr>
              <w:t>February 25, 2023</w:t>
            </w: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Assets</w:t>
            </w:r>
          </w:p>
        </w:tc>
        <w:tc>
          <w:tcPr>
            <w:tcW w:w="66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0" w:type="dxa"/>
            <w:vAlign w:val="bottom"/>
          </w:tcPr>
          <w:p>
            <w:pPr>
              <w:spacing w:after="0"/>
              <w:rPr>
                <w:sz w:val="1"/>
                <w:szCs w:val="1"/>
                <w:color w:val="auto"/>
              </w:rPr>
            </w:pPr>
          </w:p>
        </w:tc>
      </w:tr>
      <w:tr>
        <w:trPr>
          <w:trHeight w:val="229"/>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197,267</w:t>
            </w:r>
          </w:p>
        </w:tc>
        <w:tc>
          <w:tcPr>
            <w:tcW w:w="0" w:type="dxa"/>
            <w:vAlign w:val="bottom"/>
          </w:tcPr>
          <w:p>
            <w:pPr>
              <w:spacing w:after="0"/>
              <w:rPr>
                <w:sz w:val="1"/>
                <w:szCs w:val="1"/>
                <w:color w:val="auto"/>
              </w:rPr>
            </w:pPr>
          </w:p>
        </w:tc>
      </w:tr>
      <w:tr>
        <w:trPr>
          <w:trHeight w:val="237"/>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80,579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78,441</w:t>
            </w:r>
          </w:p>
        </w:tc>
        <w:tc>
          <w:tcPr>
            <w:tcW w:w="0" w:type="dxa"/>
            <w:vAlign w:val="bottom"/>
          </w:tcPr>
          <w:p>
            <w:pPr>
              <w:spacing w:after="0"/>
              <w:rPr>
                <w:sz w:val="1"/>
                <w:szCs w:val="1"/>
                <w:color w:val="auto"/>
              </w:rPr>
            </w:pPr>
          </w:p>
        </w:tc>
      </w:tr>
      <w:tr>
        <w:trPr>
          <w:trHeight w:val="236"/>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59,403</w:t>
            </w:r>
          </w:p>
        </w:tc>
        <w:tc>
          <w:tcPr>
            <w:tcW w:w="0" w:type="dxa"/>
            <w:vAlign w:val="bottom"/>
          </w:tcPr>
          <w:p>
            <w:pPr>
              <w:spacing w:after="0"/>
              <w:rPr>
                <w:sz w:val="1"/>
                <w:szCs w:val="1"/>
                <w:color w:val="auto"/>
              </w:rPr>
            </w:pPr>
          </w:p>
        </w:tc>
      </w:tr>
      <w:tr>
        <w:trPr>
          <w:trHeight w:val="229"/>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26,517</w:t>
            </w:r>
          </w:p>
        </w:tc>
        <w:tc>
          <w:tcPr>
            <w:tcW w:w="0" w:type="dxa"/>
            <w:vAlign w:val="bottom"/>
          </w:tcPr>
          <w:p>
            <w:pPr>
              <w:spacing w:after="0"/>
              <w:rPr>
                <w:sz w:val="1"/>
                <w:szCs w:val="1"/>
                <w:color w:val="auto"/>
              </w:rPr>
            </w:pPr>
          </w:p>
        </w:tc>
      </w:tr>
      <w:tr>
        <w:trPr>
          <w:trHeight w:val="237"/>
        </w:trPr>
        <w:tc>
          <w:tcPr>
            <w:tcW w:w="620" w:type="dxa"/>
            <w:vAlign w:val="bottom"/>
            <w:shd w:val="clear" w:color="auto" w:fill="CCEEFF"/>
          </w:tcPr>
          <w:p>
            <w:pPr>
              <w:spacing w:after="0"/>
              <w:rPr>
                <w:sz w:val="20"/>
                <w:szCs w:val="20"/>
                <w:color w:val="auto"/>
              </w:rPr>
            </w:pPr>
          </w:p>
        </w:tc>
        <w:tc>
          <w:tcPr>
            <w:tcW w:w="7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393,725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383,101</w:t>
            </w:r>
          </w:p>
        </w:tc>
        <w:tc>
          <w:tcPr>
            <w:tcW w:w="0" w:type="dxa"/>
            <w:vAlign w:val="bottom"/>
          </w:tcPr>
          <w:p>
            <w:pPr>
              <w:spacing w:after="0"/>
              <w:rPr>
                <w:sz w:val="1"/>
                <w:szCs w:val="1"/>
                <w:color w:val="auto"/>
              </w:rPr>
            </w:pPr>
          </w:p>
        </w:tc>
      </w:tr>
      <w:tr>
        <w:trPr>
          <w:trHeight w:val="223"/>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 of accumulated depreciation of $439,930 and $431,710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246,343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248,867</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41,354</w:t>
            </w:r>
          </w:p>
        </w:tc>
        <w:tc>
          <w:tcPr>
            <w:tcW w:w="0" w:type="dxa"/>
            <w:vAlign w:val="bottom"/>
          </w:tcPr>
          <w:p>
            <w:pPr>
              <w:spacing w:after="0"/>
              <w:rPr>
                <w:sz w:val="1"/>
                <w:szCs w:val="1"/>
                <w:color w:val="auto"/>
              </w:rPr>
            </w:pPr>
          </w:p>
        </w:tc>
      </w:tr>
      <w:tr>
        <w:trPr>
          <w:trHeight w:val="237"/>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129,054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129,026</w:t>
            </w:r>
          </w:p>
        </w:tc>
        <w:tc>
          <w:tcPr>
            <w:tcW w:w="0" w:type="dxa"/>
            <w:vAlign w:val="bottom"/>
          </w:tcPr>
          <w:p>
            <w:pPr>
              <w:spacing w:after="0"/>
              <w:rPr>
                <w:sz w:val="1"/>
                <w:szCs w:val="1"/>
                <w:color w:val="auto"/>
              </w:rPr>
            </w:pPr>
          </w:p>
        </w:tc>
      </w:tr>
      <w:tr>
        <w:trPr>
          <w:trHeight w:val="236"/>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29"/>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45,642</w:t>
            </w:r>
          </w:p>
        </w:tc>
        <w:tc>
          <w:tcPr>
            <w:tcW w:w="0" w:type="dxa"/>
            <w:vAlign w:val="bottom"/>
          </w:tcPr>
          <w:p>
            <w:pPr>
              <w:spacing w:after="0"/>
              <w:rPr>
                <w:sz w:val="1"/>
                <w:szCs w:val="1"/>
                <w:color w:val="auto"/>
              </w:rPr>
            </w:pPr>
          </w:p>
        </w:tc>
      </w:tr>
      <w:tr>
        <w:trPr>
          <w:trHeight w:val="250"/>
        </w:trPr>
        <w:tc>
          <w:tcPr>
            <w:tcW w:w="620" w:type="dxa"/>
            <w:vAlign w:val="bottom"/>
            <w:shd w:val="clear" w:color="auto" w:fill="CCEEFF"/>
          </w:tcPr>
          <w:p>
            <w:pPr>
              <w:spacing w:after="0"/>
              <w:rPr>
                <w:sz w:val="21"/>
                <w:szCs w:val="21"/>
                <w:color w:val="auto"/>
              </w:rPr>
            </w:pPr>
          </w:p>
        </w:tc>
        <w:tc>
          <w:tcPr>
            <w:tcW w:w="7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915,365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77,638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86,549</w:t>
            </w:r>
          </w:p>
        </w:tc>
        <w:tc>
          <w:tcPr>
            <w:tcW w:w="0" w:type="dxa"/>
            <w:vAlign w:val="bottom"/>
          </w:tcPr>
          <w:p>
            <w:pPr>
              <w:spacing w:after="0"/>
              <w:rPr>
                <w:sz w:val="1"/>
                <w:szCs w:val="1"/>
                <w:color w:val="auto"/>
              </w:rPr>
            </w:pPr>
          </w:p>
        </w:tc>
      </w:tr>
      <w:tr>
        <w:trPr>
          <w:trHeight w:val="236"/>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51,651</w:t>
            </w:r>
          </w:p>
        </w:tc>
        <w:tc>
          <w:tcPr>
            <w:tcW w:w="0" w:type="dxa"/>
            <w:vAlign w:val="bottom"/>
          </w:tcPr>
          <w:p>
            <w:pPr>
              <w:spacing w:after="0"/>
              <w:rPr>
                <w:sz w:val="1"/>
                <w:szCs w:val="1"/>
                <w:color w:val="auto"/>
              </w:rPr>
            </w:pPr>
          </w:p>
        </w:tc>
      </w:tr>
      <w:tr>
        <w:trPr>
          <w:trHeight w:val="230"/>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Contract liabilities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28,011</w:t>
            </w:r>
          </w:p>
        </w:tc>
        <w:tc>
          <w:tcPr>
            <w:tcW w:w="0" w:type="dxa"/>
            <w:vAlign w:val="bottom"/>
          </w:tcPr>
          <w:p>
            <w:pPr>
              <w:spacing w:after="0"/>
              <w:rPr>
                <w:sz w:val="1"/>
                <w:szCs w:val="1"/>
                <w:color w:val="auto"/>
              </w:rPr>
            </w:pPr>
          </w:p>
        </w:tc>
      </w:tr>
      <w:tr>
        <w:trPr>
          <w:trHeight w:val="243"/>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64,532</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shd w:val="clear" w:color="auto" w:fill="CCEEFF"/>
          </w:tcPr>
          <w:p>
            <w:pPr>
              <w:spacing w:after="0"/>
              <w:rPr>
                <w:sz w:val="19"/>
                <w:szCs w:val="19"/>
                <w:color w:val="auto"/>
              </w:rPr>
            </w:pPr>
          </w:p>
        </w:tc>
        <w:tc>
          <w:tcPr>
            <w:tcW w:w="7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233,159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242,549</w:t>
            </w:r>
          </w:p>
        </w:tc>
        <w:tc>
          <w:tcPr>
            <w:tcW w:w="0" w:type="dxa"/>
            <w:vAlign w:val="bottom"/>
          </w:tcPr>
          <w:p>
            <w:pPr>
              <w:spacing w:after="0"/>
              <w:rPr>
                <w:sz w:val="1"/>
                <w:szCs w:val="1"/>
                <w:color w:val="auto"/>
              </w:rPr>
            </w:pPr>
          </w:p>
        </w:tc>
      </w:tr>
      <w:tr>
        <w:trPr>
          <w:trHeight w:val="230"/>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170,669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169,837</w:t>
            </w:r>
          </w:p>
        </w:tc>
        <w:tc>
          <w:tcPr>
            <w:tcW w:w="0" w:type="dxa"/>
            <w:vAlign w:val="bottom"/>
          </w:tcPr>
          <w:p>
            <w:pPr>
              <w:spacing w:after="0"/>
              <w:rPr>
                <w:sz w:val="1"/>
                <w:szCs w:val="1"/>
                <w:color w:val="auto"/>
              </w:rPr>
            </w:pPr>
          </w:p>
        </w:tc>
      </w:tr>
      <w:tr>
        <w:trPr>
          <w:trHeight w:val="236"/>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0" w:type="dxa"/>
            <w:vAlign w:val="bottom"/>
          </w:tcPr>
          <w:p>
            <w:pPr>
              <w:spacing w:after="0"/>
              <w:rPr>
                <w:sz w:val="1"/>
                <w:szCs w:val="1"/>
                <w:color w:val="auto"/>
              </w:rPr>
            </w:pPr>
          </w:p>
        </w:tc>
      </w:tr>
      <w:tr>
        <w:trPr>
          <w:trHeight w:val="229"/>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Non-current self-insurance reserves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29,316</w:t>
            </w:r>
          </w:p>
        </w:tc>
        <w:tc>
          <w:tcPr>
            <w:tcW w:w="0" w:type="dxa"/>
            <w:vAlign w:val="bottom"/>
          </w:tcPr>
          <w:p>
            <w:pPr>
              <w:spacing w:after="0"/>
              <w:rPr>
                <w:sz w:val="1"/>
                <w:szCs w:val="1"/>
                <w:color w:val="auto"/>
              </w:rPr>
            </w:pPr>
          </w:p>
        </w:tc>
      </w:tr>
      <w:tr>
        <w:trPr>
          <w:trHeight w:val="243"/>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44,183</w:t>
            </w:r>
          </w:p>
        </w:tc>
        <w:tc>
          <w:tcPr>
            <w:tcW w:w="0" w:type="dxa"/>
            <w:vAlign w:val="bottom"/>
          </w:tcPr>
          <w:p>
            <w:pPr>
              <w:spacing w:after="0"/>
              <w:rPr>
                <w:sz w:val="1"/>
                <w:szCs w:val="1"/>
                <w:color w:val="auto"/>
              </w:rPr>
            </w:pPr>
          </w:p>
        </w:tc>
      </w:tr>
      <w:tr>
        <w:trPr>
          <w:trHeight w:val="229"/>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Commitments and contingent liabilities (Note 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000" w:type="dxa"/>
            <w:vAlign w:val="bottom"/>
            <w:gridSpan w:val="3"/>
          </w:tcPr>
          <w:p>
            <w:pPr>
              <w:ind w:left="360"/>
              <w:spacing w:after="0" w:line="189" w:lineRule="exact"/>
              <w:rPr>
                <w:sz w:val="20"/>
                <w:szCs w:val="20"/>
                <w:color w:val="auto"/>
              </w:rPr>
            </w:pPr>
            <w:r>
              <w:rPr>
                <w:rFonts w:ascii="Arial" w:cs="Arial" w:eastAsia="Arial" w:hAnsi="Arial"/>
                <w:sz w:val="18"/>
                <w:szCs w:val="18"/>
                <w:color w:val="auto"/>
                <w:w w:val="90"/>
              </w:rPr>
              <w:t>Common stock of $0.33-1/3 par value; authorized 50,000,000 shares; issued and outstanding 22,219,005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and 22,224,299 respectively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146,816</w:t>
            </w:r>
          </w:p>
        </w:tc>
        <w:tc>
          <w:tcPr>
            <w:tcW w:w="0" w:type="dxa"/>
            <w:vAlign w:val="bottom"/>
          </w:tcPr>
          <w:p>
            <w:pPr>
              <w:spacing w:after="0"/>
              <w:rPr>
                <w:sz w:val="1"/>
                <w:szCs w:val="1"/>
                <w:color w:val="auto"/>
              </w:rPr>
            </w:pPr>
          </w:p>
        </w:tc>
      </w:tr>
      <w:tr>
        <w:trPr>
          <w:trHeight w:val="230"/>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273,740</w:t>
            </w:r>
          </w:p>
        </w:tc>
        <w:tc>
          <w:tcPr>
            <w:tcW w:w="0" w:type="dxa"/>
            <w:vAlign w:val="bottom"/>
          </w:tcPr>
          <w:p>
            <w:pPr>
              <w:spacing w:after="0"/>
              <w:rPr>
                <w:sz w:val="1"/>
                <w:szCs w:val="1"/>
                <w:color w:val="auto"/>
              </w:rPr>
            </w:pPr>
          </w:p>
        </w:tc>
      </w:tr>
      <w:tr>
        <w:trPr>
          <w:trHeight w:val="243"/>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7380" w:type="dxa"/>
            <w:vAlign w:val="bottom"/>
            <w:gridSpan w:val="2"/>
          </w:tcPr>
          <w:p>
            <w:pPr>
              <w:ind w:left="6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410,206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396,408</w:t>
            </w:r>
          </w:p>
        </w:tc>
        <w:tc>
          <w:tcPr>
            <w:tcW w:w="0" w:type="dxa"/>
            <w:vAlign w:val="bottom"/>
          </w:tcPr>
          <w:p>
            <w:pPr>
              <w:spacing w:after="0"/>
              <w:rPr>
                <w:sz w:val="1"/>
                <w:szCs w:val="1"/>
                <w:color w:val="auto"/>
              </w:rPr>
            </w:pPr>
          </w:p>
        </w:tc>
      </w:tr>
      <w:tr>
        <w:trPr>
          <w:trHeight w:val="243"/>
        </w:trPr>
        <w:tc>
          <w:tcPr>
            <w:tcW w:w="620" w:type="dxa"/>
            <w:vAlign w:val="bottom"/>
            <w:shd w:val="clear" w:color="auto" w:fill="CCEEFF"/>
          </w:tcPr>
          <w:p>
            <w:pPr>
              <w:spacing w:after="0"/>
              <w:rPr>
                <w:sz w:val="21"/>
                <w:szCs w:val="21"/>
                <w:color w:val="auto"/>
              </w:rPr>
            </w:pPr>
          </w:p>
        </w:tc>
        <w:tc>
          <w:tcPr>
            <w:tcW w:w="7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915,365</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May 28, 2022</w:t>
            </w:r>
          </w:p>
        </w:tc>
      </w:tr>
      <w:tr>
        <w:trPr>
          <w:trHeight w:val="226"/>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356,635</w:t>
            </w: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268,727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271,018</w:t>
            </w:r>
          </w:p>
        </w:tc>
      </w:tr>
      <w:tr>
        <w:trPr>
          <w:trHeight w:val="237"/>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85,617</w:t>
            </w:r>
          </w:p>
        </w:tc>
      </w:tr>
      <w:tr>
        <w:trPr>
          <w:trHeight w:val="229"/>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52,401</w:t>
            </w:r>
          </w:p>
        </w:tc>
      </w:tr>
      <w:tr>
        <w:trPr>
          <w:trHeight w:val="223"/>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33,216</w:t>
            </w:r>
          </w:p>
        </w:tc>
      </w:tr>
      <w:tr>
        <w:trPr>
          <w:trHeight w:val="23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3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3"/>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Earnings before income taxes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30,700</w:t>
            </w: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r>
      <w:tr>
        <w:trPr>
          <w:trHeight w:val="223"/>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22,731</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Earnings per share -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22,399</w:t>
            </w: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22,651</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EARNINGS </w:t>
      </w:r>
      <w:r>
        <w:rPr>
          <w:rFonts w:ascii="Arial" w:cs="Arial" w:eastAsia="Arial" w:hAnsi="Arial"/>
          <w:sz w:val="18"/>
          <w:szCs w:val="18"/>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1340" w:type="dxa"/>
            <w:vAlign w:val="bottom"/>
          </w:tcPr>
          <w:p>
            <w:pPr>
              <w:jc w:val="right"/>
              <w:ind w:right="212"/>
              <w:spacing w:after="0"/>
              <w:rPr>
                <w:sz w:val="20"/>
                <w:szCs w:val="20"/>
                <w:color w:val="auto"/>
              </w:rPr>
            </w:pPr>
            <w:r>
              <w:rPr>
                <w:rFonts w:ascii="Arial" w:cs="Arial" w:eastAsia="Arial" w:hAnsi="Arial"/>
                <w:sz w:val="16"/>
                <w:szCs w:val="16"/>
                <w:b w:val="1"/>
                <w:bCs w:val="1"/>
                <w:color w:val="auto"/>
              </w:rPr>
              <w:t>May 27, 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Arial" w:cs="Arial" w:eastAsia="Arial" w:hAnsi="Arial"/>
                <w:sz w:val="16"/>
                <w:szCs w:val="16"/>
                <w:b w:val="1"/>
                <w:bCs w:val="1"/>
                <w:color w:val="auto"/>
              </w:rPr>
              <w:t>May 28, 2022</w:t>
            </w:r>
          </w:p>
        </w:tc>
      </w:tr>
      <w:tr>
        <w:trPr>
          <w:trHeight w:val="226"/>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w:t>
            </w: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Other comprehensive earnings (loss):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3"/>
              </w:rPr>
              <w:t>Unrealized gain (loss) on marketable securities, net of $33, $(74), of tax expense (benefit), respectively</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Unrealized loss on derivative instruments, net of $(121), $(1,317), of tax benefit, respectively</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230"/>
        </w:trPr>
        <w:tc>
          <w:tcPr>
            <w:tcW w:w="80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36"/>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comprehensive earnings (loss)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r>
      <w:tr>
        <w:trPr>
          <w:trHeight w:val="24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earnings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1340" w:type="dxa"/>
            <w:vAlign w:val="bottom"/>
          </w:tcPr>
          <w:p>
            <w:pPr>
              <w:jc w:val="right"/>
              <w:ind w:right="231"/>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6"/>
                <w:szCs w:val="16"/>
                <w:b w:val="1"/>
                <w:bCs w:val="1"/>
                <w:color w:val="auto"/>
              </w:rPr>
              <w:t>May 28, 2022</w:t>
            </w:r>
          </w:p>
        </w:tc>
      </w:tr>
      <w:tr>
        <w:trPr>
          <w:trHeight w:val="226"/>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23,576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22,731</w:t>
            </w: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10,849</w:t>
            </w:r>
          </w:p>
        </w:tc>
      </w:tr>
      <w:tr>
        <w:trPr>
          <w:trHeight w:val="230"/>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r>
      <w:tr>
        <w:trPr>
          <w:trHeight w:val="237"/>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4,400</w:t>
            </w:r>
          </w:p>
        </w:tc>
      </w:tr>
      <w:tr>
        <w:trPr>
          <w:trHeight w:val="23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disposal of assets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29"/>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Proceeds from New Markets Tax Credit transaction, net of deferred costs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18,390</w:t>
            </w:r>
          </w:p>
        </w:tc>
      </w:tr>
      <w:tr>
        <w:trPr>
          <w:trHeight w:val="243"/>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New Markets Tax Credit transaction</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w:t>
            </w:r>
          </w:p>
        </w:tc>
      </w:tr>
      <w:tr>
        <w:trPr>
          <w:trHeight w:val="230"/>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Noncash lease expense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3,088</w:t>
            </w:r>
          </w:p>
        </w:tc>
      </w:tr>
      <w:tr>
        <w:trPr>
          <w:trHeight w:val="229"/>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3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w:t>
            </w:r>
          </w:p>
        </w:tc>
      </w:tr>
      <w:tr>
        <w:trPr>
          <w:trHeight w:val="230"/>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(17,744)</w:t>
            </w:r>
          </w:p>
        </w:tc>
      </w:tr>
      <w:tr>
        <w:trPr>
          <w:trHeight w:val="243"/>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w:t>
            </w:r>
          </w:p>
        </w:tc>
      </w:tr>
      <w:tr>
        <w:trPr>
          <w:trHeight w:val="230"/>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(18,576)</w:t>
            </w:r>
          </w:p>
        </w:tc>
      </w:tr>
      <w:tr>
        <w:trPr>
          <w:trHeight w:val="229"/>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37"/>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Refundable and accrued income taxes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4,238</w:t>
            </w:r>
          </w:p>
        </w:tc>
      </w:tr>
      <w:tr>
        <w:trPr>
          <w:trHeight w:val="23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30"/>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36"/>
        </w:trPr>
        <w:tc>
          <w:tcPr>
            <w:tcW w:w="8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Net cash provided (used) by operating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(30,462)</w:t>
            </w:r>
          </w:p>
        </w:tc>
      </w:tr>
      <w:tr>
        <w:trPr>
          <w:trHeight w:val="210"/>
        </w:trPr>
        <w:tc>
          <w:tcPr>
            <w:tcW w:w="80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4,087</w:t>
            </w: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Sales/maturities of marketable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060" w:type="dxa"/>
            <w:vAlign w:val="bottom"/>
            <w:gridSpan w:val="2"/>
          </w:tcPr>
          <w:p>
            <w:pPr>
              <w:ind w:left="680"/>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Borrowings on line of credit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105,852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161,000</w:t>
            </w:r>
          </w:p>
        </w:tc>
      </w:tr>
      <w:tr>
        <w:trPr>
          <w:trHeight w:val="24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 on debt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Payments on line of credit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(62,000)</w:t>
            </w: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 and retirement of common stock</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(74,312)</w:t>
            </w:r>
          </w:p>
        </w:tc>
      </w:tr>
      <w:tr>
        <w:trPr>
          <w:trHeight w:val="23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(4,793)</w:t>
            </w:r>
          </w:p>
        </w:tc>
      </w:tr>
      <w:tr>
        <w:trPr>
          <w:trHeight w:val="23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3"/>
        </w:trPr>
        <w:tc>
          <w:tcPr>
            <w:tcW w:w="8060" w:type="dxa"/>
            <w:vAlign w:val="bottom"/>
            <w:gridSpan w:val="2"/>
          </w:tcPr>
          <w:p>
            <w:pPr>
              <w:ind w:left="680"/>
              <w:spacing w:after="0"/>
              <w:rPr>
                <w:sz w:val="20"/>
                <w:szCs w:val="20"/>
                <w:color w:val="auto"/>
              </w:rPr>
            </w:pPr>
            <w:r>
              <w:rPr>
                <w:rFonts w:ascii="Arial" w:cs="Arial" w:eastAsia="Arial" w:hAnsi="Arial"/>
                <w:sz w:val="18"/>
                <w:szCs w:val="18"/>
                <w:color w:val="auto"/>
              </w:rPr>
              <w:t>Net cash (used) provided by financing activities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17,624</w:t>
            </w:r>
          </w:p>
        </w:tc>
      </w:tr>
      <w:tr>
        <w:trPr>
          <w:trHeight w:val="237"/>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w:t>
            </w: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37,583</w:t>
            </w: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24,642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23,871</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0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Noncash Activity</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Capital expenditures in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766</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w w:val="96"/>
              </w:rPr>
              <w:t>Common 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6"/>
              </w:rPr>
              <w:t>Additional Paid-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440" w:type="dxa"/>
            <w:vAlign w:val="bottom"/>
            <w:gridSpan w:val="3"/>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w w:val="92"/>
              </w:rPr>
              <w:t>Common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2"/>
              </w:rPr>
              <w:t>Retained Earnings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44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Outstanding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9"/>
              </w:rPr>
              <w:t>In Capital</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2"/>
              </w:rPr>
              <w:t>(Loss) Income</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February 25, 2023</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22,224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7,408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146,816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273,740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(31,556)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396,408</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Net earnings</w:t>
            </w:r>
          </w:p>
        </w:tc>
        <w:tc>
          <w:tcPr>
            <w:tcW w:w="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23,576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23,576</w:t>
            </w: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34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w w:val="98"/>
              </w:rPr>
              <w:t>Unrealized gain on marketable securities, net of $33 tax</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w:t>
            </w:r>
          </w:p>
        </w:tc>
        <w:tc>
          <w:tcPr>
            <w:tcW w:w="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20" w:type="dxa"/>
            <w:vAlign w:val="bottom"/>
          </w:tcPr>
          <w:p>
            <w:pPr>
              <w:spacing w:after="0"/>
              <w:rPr>
                <w:sz w:val="11"/>
                <w:szCs w:val="11"/>
                <w:color w:val="auto"/>
              </w:rPr>
            </w:pPr>
          </w:p>
        </w:tc>
        <w:tc>
          <w:tcPr>
            <w:tcW w:w="3440" w:type="dxa"/>
            <w:vAlign w:val="bottom"/>
            <w:gridSpan w:val="3"/>
          </w:tcPr>
          <w:p>
            <w:pPr>
              <w:spacing w:after="0" w:line="136" w:lineRule="exact"/>
              <w:rPr>
                <w:sz w:val="20"/>
                <w:szCs w:val="20"/>
                <w:color w:val="auto"/>
              </w:rPr>
            </w:pPr>
            <w:r>
              <w:rPr>
                <w:rFonts w:ascii="Arial" w:cs="Arial" w:eastAsia="Arial" w:hAnsi="Arial"/>
                <w:sz w:val="14"/>
                <w:szCs w:val="14"/>
                <w:color w:val="auto"/>
                <w:w w:val="94"/>
              </w:rPr>
              <w:t>Unrealized loss on foreign currency hedge, net of $121 tax</w:t>
            </w:r>
          </w:p>
        </w:tc>
        <w:tc>
          <w:tcPr>
            <w:tcW w:w="80" w:type="dxa"/>
            <w:vAlign w:val="bottom"/>
          </w:tcPr>
          <w:p>
            <w:pPr>
              <w:spacing w:after="0"/>
              <w:rPr>
                <w:sz w:val="11"/>
                <w:szCs w:val="11"/>
                <w:color w:val="auto"/>
              </w:rPr>
            </w:pP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(397)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benefit</w:t>
            </w: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3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Foreign currency translation adjustments</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Issuance of stock, net of cancellations</w:t>
            </w:r>
          </w:p>
        </w:tc>
        <w:tc>
          <w:tcPr>
            <w:tcW w:w="1200" w:type="dxa"/>
            <w:vAlign w:val="bottom"/>
            <w:gridSpan w:val="3"/>
          </w:tcPr>
          <w:p>
            <w:pPr>
              <w:jc w:val="right"/>
              <w:ind w:right="40"/>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Share repurchases</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(5,193)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share retirements</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Cash dividends</w:t>
            </w:r>
          </w:p>
        </w:tc>
        <w:tc>
          <w:tcPr>
            <w:tcW w:w="8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(5,245)</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(5,245)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May 27, 2023</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22,219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7,406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147,897</w:t>
            </w: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286,300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(31,397)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410,206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w w:val="96"/>
              </w:rPr>
              <w:t>Common 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96"/>
              </w:rPr>
              <w:t>Additional Paid-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4"/>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2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vMerge w:val="restart"/>
          </w:tcPr>
          <w:p>
            <w:pPr>
              <w:jc w:val="right"/>
              <w:ind w:right="200"/>
              <w:spacing w:after="0"/>
              <w:rPr>
                <w:sz w:val="20"/>
                <w:szCs w:val="20"/>
                <w:color w:val="auto"/>
              </w:rPr>
            </w:pPr>
            <w:r>
              <w:rPr>
                <w:rFonts w:ascii="Arial" w:cs="Arial" w:eastAsia="Arial" w:hAnsi="Arial"/>
                <w:sz w:val="13"/>
                <w:szCs w:val="13"/>
                <w:b w:val="1"/>
                <w:bCs w:val="1"/>
                <w:color w:val="auto"/>
                <w:w w:val="92"/>
              </w:rPr>
              <w:t>Common Stock</w:t>
            </w:r>
          </w:p>
        </w:tc>
        <w:tc>
          <w:tcPr>
            <w:tcW w:w="20" w:type="dxa"/>
            <w:vAlign w:val="bottom"/>
          </w:tcPr>
          <w:p>
            <w:pPr>
              <w:spacing w:after="0"/>
              <w:rPr>
                <w:sz w:val="11"/>
                <w:szCs w:val="11"/>
                <w:color w:val="auto"/>
              </w:rPr>
            </w:pPr>
          </w:p>
        </w:tc>
        <w:tc>
          <w:tcPr>
            <w:tcW w:w="1220" w:type="dxa"/>
            <w:vAlign w:val="bottom"/>
            <w:gridSpan w:val="5"/>
            <w:vMerge w:val="continue"/>
          </w:tcPr>
          <w:p>
            <w:pPr>
              <w:spacing w:after="0"/>
              <w:rPr>
                <w:sz w:val="11"/>
                <w:szCs w:val="11"/>
                <w:color w:val="auto"/>
              </w:rPr>
            </w:pPr>
          </w:p>
        </w:tc>
        <w:tc>
          <w:tcPr>
            <w:tcW w:w="11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Retained Earnings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82"/>
        </w:trPr>
        <w:tc>
          <w:tcPr>
            <w:tcW w:w="35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Outstanding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In Capital</w:t>
            </w:r>
          </w:p>
        </w:tc>
        <w:tc>
          <w:tcPr>
            <w:tcW w:w="11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February 26, 2022</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23,701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149,713</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254,825</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(26,240)</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386,199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gridSpan w:val="4"/>
          </w:tcPr>
          <w:p>
            <w:pPr>
              <w:spacing w:after="0"/>
              <w:rPr>
                <w:sz w:val="20"/>
                <w:szCs w:val="20"/>
                <w:color w:val="auto"/>
              </w:rPr>
            </w:pPr>
            <w:r>
              <w:rPr>
                <w:rFonts w:ascii="Arial" w:cs="Arial" w:eastAsia="Arial" w:hAnsi="Arial"/>
                <w:sz w:val="14"/>
                <w:szCs w:val="14"/>
                <w:color w:val="auto"/>
              </w:rPr>
              <w:t>Net earnings</w:t>
            </w:r>
          </w:p>
        </w:tc>
        <w:tc>
          <w:tcPr>
            <w:tcW w:w="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22,731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22,731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60" w:type="dxa"/>
            <w:vAlign w:val="bottom"/>
            <w:gridSpan w:val="4"/>
            <w:shd w:val="clear" w:color="auto" w:fill="CCEEFF"/>
          </w:tcPr>
          <w:p>
            <w:pPr>
              <w:spacing w:after="0" w:line="143" w:lineRule="exact"/>
              <w:rPr>
                <w:sz w:val="20"/>
                <w:szCs w:val="20"/>
                <w:color w:val="auto"/>
              </w:rPr>
            </w:pPr>
            <w:r>
              <w:rPr>
                <w:rFonts w:ascii="Arial" w:cs="Arial" w:eastAsia="Arial" w:hAnsi="Arial"/>
                <w:sz w:val="14"/>
                <w:szCs w:val="14"/>
                <w:color w:val="auto"/>
              </w:rPr>
              <w:t>Unrealized loss on marketable securities, net of $74 tax</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benefit</w:t>
            </w:r>
          </w:p>
        </w:tc>
        <w:tc>
          <w:tcPr>
            <w:tcW w:w="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560" w:type="dxa"/>
            <w:vAlign w:val="bottom"/>
            <w:gridSpan w:val="4"/>
          </w:tcPr>
          <w:p>
            <w:pPr>
              <w:spacing w:after="0" w:line="150" w:lineRule="exact"/>
              <w:rPr>
                <w:sz w:val="20"/>
                <w:szCs w:val="20"/>
                <w:color w:val="auto"/>
              </w:rPr>
            </w:pPr>
            <w:r>
              <w:rPr>
                <w:rFonts w:ascii="Arial" w:cs="Arial" w:eastAsia="Arial" w:hAnsi="Arial"/>
                <w:sz w:val="14"/>
                <w:szCs w:val="14"/>
                <w:color w:val="auto"/>
                <w:w w:val="96"/>
              </w:rPr>
              <w:t>Unrealized loss on derivative instruments, net of $1,317 tax</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60" w:type="dxa"/>
            <w:vAlign w:val="bottom"/>
            <w:gridSpan w:val="4"/>
          </w:tcPr>
          <w:p>
            <w:pPr>
              <w:spacing w:after="0"/>
              <w:rPr>
                <w:sz w:val="20"/>
                <w:szCs w:val="20"/>
                <w:color w:val="auto"/>
              </w:rPr>
            </w:pPr>
            <w:r>
              <w:rPr>
                <w:rFonts w:ascii="Arial" w:cs="Arial" w:eastAsia="Arial" w:hAnsi="Arial"/>
                <w:sz w:val="14"/>
                <w:szCs w:val="14"/>
                <w:color w:val="auto"/>
              </w:rPr>
              <w:t>benefit</w:t>
            </w:r>
          </w:p>
        </w:tc>
        <w:tc>
          <w:tcPr>
            <w:tcW w:w="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Foreign currency translation adjustments</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60" w:type="dxa"/>
            <w:vAlign w:val="bottom"/>
            <w:gridSpan w:val="4"/>
          </w:tcPr>
          <w:p>
            <w:pPr>
              <w:spacing w:after="0"/>
              <w:rPr>
                <w:sz w:val="20"/>
                <w:szCs w:val="20"/>
                <w:color w:val="auto"/>
              </w:rPr>
            </w:pPr>
            <w:r>
              <w:rPr>
                <w:rFonts w:ascii="Arial" w:cs="Arial" w:eastAsia="Arial" w:hAnsi="Arial"/>
                <w:sz w:val="14"/>
                <w:szCs w:val="14"/>
                <w:color w:val="auto"/>
              </w:rPr>
              <w:t>Issuance of stock, net of cancellations</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60" w:type="dxa"/>
            <w:vAlign w:val="bottom"/>
            <w:gridSpan w:val="4"/>
          </w:tcPr>
          <w:p>
            <w:pPr>
              <w:spacing w:after="0"/>
              <w:rPr>
                <w:sz w:val="20"/>
                <w:szCs w:val="20"/>
                <w:color w:val="auto"/>
              </w:rPr>
            </w:pPr>
            <w:r>
              <w:rPr>
                <w:rFonts w:ascii="Arial" w:cs="Arial" w:eastAsia="Arial" w:hAnsi="Arial"/>
                <w:sz w:val="14"/>
                <w:szCs w:val="14"/>
                <w:color w:val="auto"/>
              </w:rPr>
              <w:t>Share repurchases</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(1,571)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(63,438)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(74,312)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Other share retirements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40" w:type="dxa"/>
            <w:vAlign w:val="bottom"/>
            <w:gridSpan w:val="3"/>
          </w:tcPr>
          <w:p>
            <w:pPr>
              <w:spacing w:after="0"/>
              <w:rPr>
                <w:sz w:val="20"/>
                <w:szCs w:val="20"/>
                <w:color w:val="auto"/>
              </w:rPr>
            </w:pPr>
            <w:r>
              <w:rPr>
                <w:rFonts w:ascii="Arial" w:cs="Arial" w:eastAsia="Arial" w:hAnsi="Arial"/>
                <w:sz w:val="14"/>
                <w:szCs w:val="14"/>
                <w:color w:val="auto"/>
              </w:rPr>
              <w:t>Cash dividends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May 28, 2022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22,200</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76"/>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7,400</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140,785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208,205</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76"/>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(29,100)</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76"/>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327,290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25, 2023.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three-month period ended May 27, 2023 are not necessarily indicative of the results to be expected for the full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reclassifications of amounts previously reported have been made to the accompanying consolidated balance sheets, consolidated statements of cash flows and notes to consolidated financial statements to conform to current year presentation of contract assets and liabilities. These reclassifications had no impact on reported cash flows or total assets and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the current quarter, we adopted the guidance in ASU 2022-04, </w:t>
      </w:r>
      <w:r>
        <w:rPr>
          <w:rFonts w:ascii="Arial" w:cs="Arial" w:eastAsia="Arial" w:hAnsi="Arial"/>
          <w:sz w:val="16"/>
          <w:szCs w:val="16"/>
          <w:i w:val="1"/>
          <w:iCs w:val="1"/>
          <w:color w:val="auto"/>
        </w:rPr>
        <w:t>Liabilities – Supplier Finance Programs, Disclosure of Supplier Finance Program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Obligations. </w:t>
      </w:r>
      <w:r>
        <w:rPr>
          <w:rFonts w:ascii="Arial" w:cs="Arial" w:eastAsia="Arial" w:hAnsi="Arial"/>
          <w:sz w:val="16"/>
          <w:szCs w:val="16"/>
          <w:color w:val="auto"/>
        </w:rPr>
        <w:t>The guidance requires that entities that use supplier finance programs disclose information about the nature and potential magnitude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activity during the period, and changes from period to period. Beginning in the current quarter, we implemented a supplier financing arrangement with U.S. Bank that enables our suppliers, at their sole discretion, to sell their Apogee receivables (i.e., our payment obligations to the suppliers) to U.S. Bank on a non-recourse basis in order to be paid earlier than our payment terms provide. Our suppliers’ voluntary inclusion of invoices in the supplier financing arrangement has no bearing on our payment terms, the amounts we pay, or our liquidity. We have no economic interest in a supplier’s decision to participate in the supplier financing program, and we do not provide any guarantees in connection with it. As of May 27, 2023, the amount outstanding that remains unpaid to the bank totaled $2.1 million, and is reflected in accounts payable in the consolidated balance sheets.</w:t>
      </w:r>
    </w:p>
    <w:p>
      <w:pPr>
        <w:spacing w:after="0" w:line="19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12 for disclosure of revenue by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79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7"/>
                <w:szCs w:val="17"/>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May 28, 2022</w:t>
            </w:r>
          </w:p>
        </w:tc>
      </w:tr>
      <w:tr>
        <w:trPr>
          <w:trHeight w:val="230"/>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Recognized at shipment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161,164</w:t>
            </w:r>
          </w:p>
        </w:tc>
      </w:tr>
      <w:tr>
        <w:trPr>
          <w:trHeight w:val="243"/>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Recognized over time</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209,058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195,471</w:t>
            </w:r>
          </w:p>
        </w:tc>
      </w:tr>
      <w:tr>
        <w:trPr>
          <w:trHeight w:val="24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356,635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February 25, 2023</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140,732</w:t>
            </w:r>
          </w:p>
        </w:tc>
      </w:tr>
      <w:tr>
        <w:trPr>
          <w:trHeight w:val="24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contracts</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receivables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199,063</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Less: allowance for credit losses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allowance for credit losses for the three-month period ended: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May 27, 2023</w:t>
            </w:r>
          </w:p>
        </w:tc>
      </w:tr>
      <w:tr>
        <w:trPr>
          <w:trHeight w:val="243"/>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Additions charged to costs and expenses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 from allowance, net of recoveries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effects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parts of our business that recognize revenue over time, progress billings follow an agreed-upon schedule of values, and retainage is withheld by the customer until the project reaches a level of completion at which point amounts are released to us from the customer.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contract assets and contract liabilities were mainly due to timing of project activity within our businesses that operate under long-term contracts.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contract-related disclosures</w:t>
            </w: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r>
      <w:tr>
        <w:trPr>
          <w:trHeight w:val="190"/>
        </w:trPr>
        <w:tc>
          <w:tcPr>
            <w:tcW w:w="79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6"/>
                <w:szCs w:val="16"/>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296"/>
              <w:spacing w:after="0"/>
              <w:rPr>
                <w:sz w:val="20"/>
                <w:szCs w:val="20"/>
                <w:color w:val="auto"/>
              </w:rPr>
            </w:pPr>
            <w:r>
              <w:rPr>
                <w:rFonts w:ascii="Arial" w:cs="Arial" w:eastAsia="Arial" w:hAnsi="Arial"/>
                <w:sz w:val="14"/>
                <w:szCs w:val="14"/>
                <w:b w:val="1"/>
                <w:bCs w:val="1"/>
                <w:color w:val="auto"/>
              </w:rPr>
              <w:t>May 28, 2022</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recognized related to contract liabilities from prior year-end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35,926</w:t>
            </w: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Revenue recognized related to prior satisfaction of performance obligations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r>
    </w:tbl>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May 27, 2023 are expected to be satisfied, and the corresponding revenue to be recognized, over the following estimated time periods: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May 27, 2023</w:t>
            </w:r>
          </w:p>
        </w:tc>
      </w:tr>
      <w:tr>
        <w:trPr>
          <w:trHeight w:val="243"/>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459,780</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Within two years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262,496</w:t>
            </w: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Beyond two years</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81,710</w:t>
            </w:r>
          </w:p>
        </w:tc>
      </w:tr>
      <w:tr>
        <w:trPr>
          <w:trHeight w:val="236"/>
        </w:trPr>
        <w:tc>
          <w:tcPr>
            <w:tcW w:w="954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803,986</w:t>
            </w:r>
          </w:p>
        </w:tc>
      </w:tr>
      <w:tr>
        <w:trPr>
          <w:trHeight w:val="20"/>
        </w:trPr>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February 25, 2023</w:t>
            </w: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36,869</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18,024</w:t>
            </w:r>
          </w:p>
        </w:tc>
      </w:tr>
      <w:tr>
        <w:trPr>
          <w:trHeight w:val="22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23,548</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80,579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78,441</w:t>
            </w:r>
          </w:p>
        </w:tc>
      </w:tr>
      <w:tr>
        <w:trPr>
          <w:trHeight w:val="20"/>
        </w:trPr>
        <w:tc>
          <w:tcPr>
            <w:tcW w:w="7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liabilities</w:t>
      </w:r>
    </w:p>
    <w:p>
      <w:pPr>
        <w:spacing w:after="0" w:line="140" w:lineRule="exact"/>
        <w:rPr>
          <w:sz w:val="20"/>
          <w:szCs w:val="20"/>
          <w:color w:val="auto"/>
        </w:rPr>
      </w:pPr>
    </w:p>
    <w:p>
      <w:pPr>
        <w:ind w:left="20"/>
        <w:spacing w:after="0"/>
        <w:tabs>
          <w:tab w:leader="none" w:pos="8320" w:val="left"/>
          <w:tab w:leader="none" w:pos="9860" w:val="left"/>
        </w:tabs>
        <w:rPr>
          <w:sz w:val="20"/>
          <w:szCs w:val="20"/>
          <w:color w:val="auto"/>
        </w:rPr>
      </w:pPr>
      <w:r>
        <w:rPr>
          <w:rFonts w:ascii="Arial" w:cs="Arial" w:eastAsia="Arial" w:hAnsi="Arial"/>
          <w:sz w:val="13"/>
          <w:szCs w:val="13"/>
          <w:i w:val="1"/>
          <w:iCs w:val="1"/>
          <w:color w:val="auto"/>
        </w:rPr>
        <w:t>(In thousands)</w:t>
      </w:r>
      <w:r>
        <w:rPr>
          <w:sz w:val="20"/>
          <w:szCs w:val="20"/>
          <w:color w:val="auto"/>
        </w:rPr>
        <w:tab/>
      </w:r>
      <w:r>
        <w:rPr>
          <w:rFonts w:ascii="Arial" w:cs="Arial" w:eastAsia="Arial" w:hAnsi="Arial"/>
          <w:sz w:val="14"/>
          <w:szCs w:val="14"/>
          <w:b w:val="1"/>
          <w:bCs w:val="1"/>
          <w:color w:val="auto"/>
        </w:rPr>
        <w:t>May 27, 2023</w:t>
      </w:r>
      <w:r>
        <w:rPr>
          <w:sz w:val="20"/>
          <w:szCs w:val="20"/>
          <w:color w:val="auto"/>
        </w:rPr>
        <w:tab/>
      </w:r>
      <w:r>
        <w:rPr>
          <w:rFonts w:ascii="Arial" w:cs="Arial" w:eastAsia="Arial" w:hAnsi="Arial"/>
          <w:sz w:val="13"/>
          <w:szCs w:val="13"/>
          <w:b w:val="1"/>
          <w:bCs w:val="1"/>
          <w:color w:val="auto"/>
        </w:rPr>
        <w:t>February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980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Warranties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self-insurance reserves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and other taxes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current liabilities</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non-current liabilities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14,872</w:t>
            </w:r>
          </w:p>
        </w:tc>
      </w:tr>
      <w:tr>
        <w:trPr>
          <w:trHeight w:val="241"/>
        </w:trPr>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14,447</w:t>
            </w:r>
          </w:p>
        </w:tc>
      </w:tr>
      <w:tr>
        <w:trPr>
          <w:trHeight w:val="229"/>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7,129</w:t>
            </w:r>
          </w:p>
        </w:tc>
      </w:tr>
      <w:tr>
        <w:trPr>
          <w:trHeight w:val="237"/>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28,084</w:t>
            </w:r>
          </w:p>
        </w:tc>
      </w:tr>
      <w:tr>
        <w:trPr>
          <w:trHeight w:val="229"/>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64,532</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32"/>
        </w:trPr>
        <w:tc>
          <w:tcPr>
            <w:tcW w:w="240" w:type="dxa"/>
            <w:vAlign w:val="bottom"/>
          </w:tcPr>
          <w:p>
            <w:pPr>
              <w:spacing w:after="0"/>
              <w:rPr>
                <w:sz w:val="24"/>
                <w:szCs w:val="24"/>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February 25,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-1320165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-1020445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-720090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7240" w:space="720"/>
            <w:col w:w="328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3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benefit from New Markets Tax Credit transactions</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Deferred compensation plan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5,577</w:t>
            </w:r>
          </w:p>
        </w:tc>
      </w:tr>
      <w:tr>
        <w:trPr>
          <w:trHeight w:val="23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plan obligations</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20,434</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22,190</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Total other non-current liabilities</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43,074</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44,183</w:t>
            </w:r>
          </w:p>
        </w:tc>
      </w:tr>
      <w:tr>
        <w:trPr>
          <w:trHeight w:val="21"/>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Through our wholly-owned insurance subsidiary, Prism Assurance, Ltd. (Prism), we hold the following available-for-sale marketable securities, made up of municipal and corporate bonds: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4"/>
                <w:szCs w:val="14"/>
                <w:color w:val="auto"/>
              </w:rPr>
            </w:pPr>
          </w:p>
        </w:tc>
        <w:tc>
          <w:tcPr>
            <w:tcW w:w="1800" w:type="dxa"/>
            <w:vAlign w:val="bottom"/>
            <w:gridSpan w:val="4"/>
            <w:vMerge w:val="restart"/>
          </w:tcPr>
          <w:p>
            <w:pPr>
              <w:jc w:val="right"/>
              <w:ind w:right="230"/>
              <w:spacing w:after="0"/>
              <w:rPr>
                <w:sz w:val="20"/>
                <w:szCs w:val="20"/>
                <w:color w:val="auto"/>
              </w:rPr>
            </w:pPr>
            <w:r>
              <w:rPr>
                <w:rFonts w:ascii="Arial" w:cs="Arial" w:eastAsia="Arial" w:hAnsi="Arial"/>
                <w:sz w:val="14"/>
                <w:szCs w:val="14"/>
                <w:b w:val="1"/>
                <w:bCs w:val="1"/>
                <w:color w:val="auto"/>
                <w:w w:val="92"/>
              </w:rPr>
              <w:t>Gross Unrealized Gains</w:t>
            </w:r>
          </w:p>
        </w:tc>
        <w:tc>
          <w:tcPr>
            <w:tcW w:w="1360" w:type="dxa"/>
            <w:vAlign w:val="bottom"/>
          </w:tcPr>
          <w:p>
            <w:pPr>
              <w:jc w:val="right"/>
              <w:ind w:right="139"/>
              <w:spacing w:after="0"/>
              <w:rPr>
                <w:sz w:val="20"/>
                <w:szCs w:val="20"/>
                <w:color w:val="auto"/>
              </w:rPr>
            </w:pPr>
            <w:r>
              <w:rPr>
                <w:rFonts w:ascii="Arial" w:cs="Arial" w:eastAsia="Arial" w:hAnsi="Arial"/>
                <w:sz w:val="14"/>
                <w:szCs w:val="14"/>
                <w:b w:val="1"/>
                <w:bCs w:val="1"/>
                <w:color w:val="auto"/>
                <w:w w:val="97"/>
              </w:rPr>
              <w:t>Gross Unrealized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35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6"/>
        </w:trPr>
        <w:tc>
          <w:tcPr>
            <w:tcW w:w="47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vMerge w:val="continue"/>
          </w:tcPr>
          <w:p>
            <w:pPr>
              <w:spacing w:after="0"/>
              <w:rPr>
                <w:sz w:val="16"/>
                <w:szCs w:val="16"/>
                <w:color w:val="auto"/>
              </w:rPr>
            </w:pPr>
          </w:p>
        </w:tc>
        <w:tc>
          <w:tcPr>
            <w:tcW w:w="1360" w:type="dxa"/>
            <w:vAlign w:val="bottom"/>
          </w:tcPr>
          <w:p>
            <w:pPr>
              <w:jc w:val="right"/>
              <w:ind w:right="47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35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27, 2023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February 25,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10,647</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these bonds at May 27, 2023, by contractual maturity, are shown below. Expected maturities may differ from contractual maturities, as borrowers may have the right to call or prepay obligations with or without penalty.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Estimated Fair Value</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w:t>
            </w:r>
          </w:p>
        </w:tc>
      </w:tr>
      <w:tr>
        <w:trPr>
          <w:trHeight w:val="25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use interest rate swaps, foreign exchange forward contracts, commodity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fiscal 2020, we entered into an interest rate swap to hedge exposure to variability in cash flows from interest payments on our floating-rate revolving credit facility. As of May 27, 2023, the interest rate swap contract had a notional value of $30.0 million and has a maturity date of February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periodically enter into forward purchase contracts and/or fixed/floating swaps to manage the risk associated with fluctuations in aluminum prices and fluctuations in foreign exchange rates (primarily related to the Canadian dollar). These contracts generally have an original maturity date of less than one year. As of May 27, 2023, we held foreign exchange forward contracts and aluminum fixed/floating swaps with U.S. dollar notional values of $5.1 million and $12.8 million, respectively.</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33"/>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Other Observable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Inputs (Level 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May 27, 2023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37"/>
        </w:trPr>
        <w:tc>
          <w:tcPr>
            <w:tcW w:w="6200" w:type="dxa"/>
            <w:vAlign w:val="bottom"/>
          </w:tcPr>
          <w:p>
            <w:pPr>
              <w:ind w:left="360"/>
              <w:spacing w:after="0"/>
              <w:rPr>
                <w:sz w:val="20"/>
                <w:szCs w:val="20"/>
                <w:color w:val="auto"/>
              </w:rPr>
            </w:pPr>
            <w:r>
              <w:rPr>
                <w:rFonts w:ascii="Arial" w:cs="Arial" w:eastAsia="Arial" w:hAnsi="Arial"/>
                <w:sz w:val="18"/>
                <w:szCs w:val="18"/>
                <w:color w:val="auto"/>
              </w:rPr>
              <w:t>Municipal and corporate bonds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Interest rate swap contract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forward/option contract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6200" w:type="dxa"/>
            <w:vAlign w:val="bottom"/>
          </w:tcPr>
          <w:p>
            <w:pPr>
              <w:ind w:left="360"/>
              <w:spacing w:after="0"/>
              <w:rPr>
                <w:sz w:val="20"/>
                <w:szCs w:val="20"/>
                <w:color w:val="auto"/>
              </w:rPr>
            </w:pPr>
            <w:r>
              <w:rPr>
                <w:rFonts w:ascii="Arial" w:cs="Arial" w:eastAsia="Arial" w:hAnsi="Arial"/>
                <w:sz w:val="18"/>
                <w:szCs w:val="18"/>
                <w:color w:val="auto"/>
              </w:rPr>
              <w:t>Aluminum hedging contract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2"/>
        </w:trPr>
        <w:tc>
          <w:tcPr>
            <w:tcW w:w="6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February 25, 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and corporate bonds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 contract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37"/>
        </w:trPr>
        <w:tc>
          <w:tcPr>
            <w:tcW w:w="6200" w:type="dxa"/>
            <w:vAlign w:val="bottom"/>
          </w:tcPr>
          <w:p>
            <w:pPr>
              <w:ind w:left="360"/>
              <w:spacing w:after="0"/>
              <w:rPr>
                <w:sz w:val="20"/>
                <w:szCs w:val="20"/>
                <w:color w:val="auto"/>
              </w:rPr>
            </w:pPr>
            <w:r>
              <w:rPr>
                <w:rFonts w:ascii="Arial" w:cs="Arial" w:eastAsia="Arial" w:hAnsi="Arial"/>
                <w:sz w:val="18"/>
                <w:szCs w:val="18"/>
                <w:color w:val="auto"/>
              </w:rPr>
              <w:t>Foreign currency forward/option contract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Aluminum hedging contract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funds and commercial paper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and corporate bonds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 and deferred compensation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interest rate swap is measured at fair value using other observable market inputs, based off of benchmark interest rates. Forward foreign exchange and fixed/floating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both interest and currency rates and aluminum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measure certain financial instruments at fair value on a nonrecurring basis including goodwill, intangible assets, property and equipment and right-of-use lease assets. These assets were initially measured and recognized at amounts equal to the fair 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 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w:t>
      </w:r>
    </w:p>
    <w:p>
      <w:pPr>
        <w:spacing w:after="0" w:line="19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Goodwill represents the excess of the cost over the value of net tangible and identified intangible assets of acquired businesses. We evaluate goodwill for impairment annually as of the first day of our fiscal fourth quarter, or more frequently if events or changes in circumstances indicate that the carrying value of goodwill may not be recoverable.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At the beginning of the first quarter of fiscal 2023, we began management of the Sotawall and Harmon businesses under the Architectural Services segment in order to create a single, unified offering for larger custom curtainwall projects, which resulted in the combination of the Sotawall and Harmon reporting units into a single reporting unit. We evaluated goodwill on a qualitative basis prior to and subsequent to this change for these reporting units and concluded that no adjustment to the carrying value of goodwill was necessary. Concurrent with the move of Sotawall from the Architectural Framing Systems segment to the Architectural Services segment effective at the start of our first quarter of fiscal 2023, goodwill was reallocated to the affected reporting units within each segment, using a relative fair value approach as outlined in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first quarter of fiscal 2024, we did not identify any qualitative indicators of impairment at any of our reporting units, and therefore, no interim quantitative goodwill impairment evaluation was performed.</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table presents the carrying amount of goodwill attributable to each reporting segment including the amount of goodwill that was reallocated from the Architectural Framing Systems segment to the Architectural Services segment using the relative fair value approach during the first quarter of fiscal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Architectural Framing</w:t>
            </w:r>
          </w:p>
        </w:tc>
        <w:tc>
          <w:tcPr>
            <w:tcW w:w="120" w:type="dxa"/>
            <w:vAlign w:val="bottom"/>
          </w:tcPr>
          <w:p>
            <w:pPr>
              <w:spacing w:after="0"/>
              <w:rPr>
                <w:sz w:val="14"/>
                <w:szCs w:val="14"/>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Architectural Services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Architectural Glass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rPr>
              <w:t>Large-Scale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Optical</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26, 2022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93,181</w:t>
            </w:r>
          </w:p>
        </w:tc>
        <w:tc>
          <w:tcPr>
            <w:tcW w:w="66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130,102</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Reallocation among reporting units </w:t>
            </w:r>
            <w:r>
              <w:rPr>
                <w:rFonts w:ascii="Arial" w:cs="Arial" w:eastAsia="Arial" w:hAnsi="Arial"/>
                <w:sz w:val="23"/>
                <w:szCs w:val="23"/>
                <w:color w:val="auto"/>
                <w:vertAlign w:val="superscript"/>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Balance at February 25, 2023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90,137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129,026</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Balance at May 27, 2023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90,119</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129,054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right="240" w:firstLine="6"/>
        <w:spacing w:after="0" w:line="230" w:lineRule="auto"/>
        <w:tabs>
          <w:tab w:leader="none" w:pos="165"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Represents the reallocation of goodwill as a result of transitioning Sotawall from the Architectural Framing Systems segment to the Architectural Services segment as of the start of the first quarter of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jc w:val="both"/>
        <w:spacing w:after="0" w:line="283" w:lineRule="auto"/>
        <w:rPr>
          <w:sz w:val="20"/>
          <w:szCs w:val="20"/>
          <w:color w:val="auto"/>
        </w:rPr>
      </w:pPr>
      <w:r>
        <w:rPr>
          <w:rFonts w:ascii="Arial" w:cs="Arial" w:eastAsia="Arial" w:hAnsi="Arial"/>
          <w:sz w:val="16"/>
          <w:szCs w:val="16"/>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During the first quarter of fiscal 2024, we did not identify any qualitative indicators of impairment at any of our reporting units, and therefore, no interim quantitative goodwill impairment evaluation was performed.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Finite-lived intangible assets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Long-lived assets or asset groups, including intangible assets subject to amortization and property and equipment, are reviewed for impairment whenever events or changes in circumstances indicate that the carrying value of those assets may not be recoverable. We use undiscounted cash flows to determine whether impairment exists and measure any impairment loss using discounted cash flows to determine the fair value of long-lived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54"/>
              <w:spacing w:after="0" w:line="14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14"/>
              <w:spacing w:after="0" w:line="145"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May 27, 2023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36,498</w:t>
            </w: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39,462</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26,846</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(85,728)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66,308</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February 25, 2023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intangibles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40,524</w:t>
            </w: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26,851</w:t>
            </w: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on definite-lived intangible assets was $1.0 million and $4.2 million for the three-month periods ended May 27, 2023 and May 28, 2022, respectively. Amortization expense of other identifiable intangible assets is included in selling, general and administrative expenses. At May 27, 2023, the estimated future amortization expense for definite-lived intangible assets was: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2028</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r>
    </w:tbl>
    <w:p>
      <w:pPr>
        <w:spacing w:after="0" w:line="31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May 27, 2023, we had a committed revolving credit facility with Wells Fargo Bank, N.A. as administrative agent, and other lenders with maximum borrowings of up to $385 million and a maturity date of August 5, 2027. Outstanding borrowings under the revolving credit facility were $155.0 million and $156.0 million as of May 27, 2023 and February 25, 2023, respectively.</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revolving credit facility contains two maintenance financial covenants that require us to stay below a maximum debt-to-EBITDA ratio of 3.25 and maintain a minimum ratio of EBITDA-to-interest expense of 3.00. In the event we make an acquisition for which the purchase price is greater than $75 million, we can elect to increase the maximum debt-to-EBITDA ratio to 3.75 for a period of four consecutive fiscal quarters, commencing with the fiscal quarter in which a qualifying acquisition occurs. No more than two acquisition "holidays" can occur during the term of the facility, and at least two fiscal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quarters must separate qualifying acquisitions. Both ratios are computed quarterly, with EBITDA calculated on a rolling four-quarter basis. At May 27, 2023, we were in compliance with both financial covenants.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Borrowings under the credit facility bear floating interest at either the Base Rate or Term SOFR, plus a margin based on the Leverage Ratio (as defined in the Credit Agreement). For Base Rate borrowings, the margin ranges from 0.125% to 0.75%. For Term SOFR borrowings, the margin ranges from 1.135% to 1.85%.</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facility also contains an "accordion" provision. Under this provision, we can request that the facility be increased by as much $200.0 million. Any Lender may elect or decline to participate in the requested increase at the Lender’s sole discretion.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May 27, 2023, we had a total of $12.3 million of ongoing letters of credit related to industrial revenue bonds, construction contracts and insurance collateral that expire in fiscal years 2024 to 2032 and reduce borrowing capacity under the revolving credit facility. As of May 27, 2023, the amount available for revolving borrowings under the Wells Fargo credit facility was $217.7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May 27, 2023, debt included $12.0 million of industrial revenue bonds that mature in fiscal years 2036 through 2043. The fair value of all industrial revenue bonds approximated carrying value at May 27, 2023, due to the variable interest rates on these instruments.</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maintain two Canadian committed, revolving credit facilities with the Bank of Montreal totaling $25.0 million (USD). The Canadian committed revolving credit facilities expire annually in February, but can be renewed each year solely at our discretion until August 2027, therefore, we have classified all outstanding amounts under these facilities as long-term debt within our consolidated balance sheets. At May 27, 2023 and February 25, 2023, outstanding borrowings under these Canadian committed, revolving credit facilities were $3.7 million and $1.8 million, respectively. At May 27, 2023, the total amount available for revolving borrowings under the Bank of Montreal credit facilities was $21.3 million. The Bank of Montreal credit facilities have two maintenance financial covenants that are identical to those contained in the Wells Fargo credit facility. At May 27, 2023, we were in compliance with both financial covenants.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Wells Fargo credit facility, Bank of Montreal credit facilities and industrial revenue bonds would be classified as Level 2 within the fair value hierarchy described in Note 4.</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payments under the Wells Fargo and Bank of Montreal facilities were $2.4 million and $1.1 million for the three months ended May 27, 2023 and May 28,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lease certain of the buildings and equipment used in our operations. We determine if an arrangement contains a lease at inception. Currently, all of our lease arrangements are classified as operating leases. Operating lease assets and liabilities are recognized at the lease commencement date based on the present value of lease payments over the lease term.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such leases are expensed on a straight-line basis over the lease term.</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 lease components (e.g., common-area maintenance costs) as a single lease component. Our lease agreements do not contain any material residual value guarantees or material restrictive covenants. We are not a lessor in any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4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May 27, 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May 28, 2022</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4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46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4,041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4320" w:type="dxa"/>
            <w:vAlign w:val="bottom"/>
            <w:vMerge w:val="restart"/>
          </w:tcPr>
          <w:p>
            <w:pPr>
              <w:jc w:val="right"/>
              <w:ind w:right="20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5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related to leases was as follows:</w:t>
      </w:r>
    </w:p>
    <w:p>
      <w:pPr>
        <w:spacing w:after="0" w:line="136"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weighted-average data)</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May 27, 2023</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May 28, 2022</w:t>
            </w:r>
          </w:p>
        </w:tc>
      </w:tr>
      <w:tr>
        <w:trPr>
          <w:trHeight w:val="238"/>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3,742</w:t>
            </w:r>
          </w:p>
        </w:tc>
        <w:tc>
          <w:tcPr>
            <w:tcW w:w="44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3,537</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1,580</w:t>
            </w:r>
          </w:p>
        </w:tc>
        <w:tc>
          <w:tcPr>
            <w:tcW w:w="44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168</w:t>
            </w: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years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years</w:t>
            </w: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2.86 %</w:t>
            </w:r>
          </w:p>
        </w:tc>
      </w:tr>
      <w:tr>
        <w:trPr>
          <w:trHeight w:val="553"/>
        </w:trPr>
        <w:tc>
          <w:tcPr>
            <w:tcW w:w="7740" w:type="dxa"/>
            <w:vAlign w:val="bottom"/>
            <w:gridSpan w:val="2"/>
          </w:tcPr>
          <w:p>
            <w:pPr>
              <w:spacing w:after="0"/>
              <w:rPr>
                <w:sz w:val="20"/>
                <w:szCs w:val="20"/>
                <w:color w:val="auto"/>
              </w:rPr>
            </w:pPr>
            <w:r>
              <w:rPr>
                <w:rFonts w:ascii="Arial" w:cs="Arial" w:eastAsia="Arial" w:hAnsi="Arial"/>
                <w:sz w:val="18"/>
                <w:szCs w:val="18"/>
                <w:color w:val="auto"/>
              </w:rPr>
              <w:t>Future maturities of lease liabilities are as follows: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8"/>
        </w:trPr>
        <w:tc>
          <w:tcPr>
            <w:tcW w:w="77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292"/>
              <w:spacing w:after="0"/>
              <w:rPr>
                <w:sz w:val="20"/>
                <w:szCs w:val="20"/>
                <w:color w:val="auto"/>
              </w:rPr>
            </w:pPr>
            <w:r>
              <w:rPr>
                <w:rFonts w:ascii="Arial" w:cs="Arial" w:eastAsia="Arial" w:hAnsi="Arial"/>
                <w:sz w:val="14"/>
                <w:szCs w:val="14"/>
                <w:b w:val="1"/>
                <w:bCs w:val="1"/>
                <w:color w:val="auto"/>
              </w:rPr>
              <w:t>May 27, 2023</w:t>
            </w:r>
          </w:p>
        </w:tc>
      </w:tr>
      <w:tr>
        <w:trPr>
          <w:trHeight w:val="26"/>
        </w:trPr>
        <w:tc>
          <w:tcPr>
            <w:tcW w:w="7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Fiscal 2024</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11,785</w:t>
            </w:r>
          </w:p>
        </w:tc>
      </w:tr>
      <w:tr>
        <w:trPr>
          <w:trHeight w:val="24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Fiscal 2027</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7,960</w:t>
            </w: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r>
      <w:tr>
        <w:trPr>
          <w:trHeight w:val="237"/>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Fiscal 2029</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1,547</w:t>
            </w:r>
          </w:p>
        </w:tc>
      </w:tr>
      <w:tr>
        <w:trPr>
          <w:trHeight w:val="236"/>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46,698</w:t>
            </w:r>
          </w:p>
        </w:tc>
      </w:tr>
      <w:tr>
        <w:trPr>
          <w:trHeight w:val="24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Amounts representing interest</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r>
      <w:tr>
        <w:trPr>
          <w:trHeight w:val="22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43,343</w:t>
            </w:r>
          </w:p>
        </w:tc>
      </w:tr>
      <w:tr>
        <w:trPr>
          <w:trHeight w:val="21"/>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May 27, 2023, $1.3 billion of these types of bonds were outstanding, of which $503.4 million is in our backlog. These bonds do not have stated expiration dates. We have never been required to make payments under surety or performance bonds with respect to our existing businesses.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the following: changes in manufacturing quality, changes in product mix and any significant changes in sales volume.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6"/>
                <w:szCs w:val="16"/>
                <w:color w:val="auto"/>
              </w:rPr>
            </w:pPr>
          </w:p>
        </w:tc>
        <w:tc>
          <w:tcPr>
            <w:tcW w:w="1320" w:type="dxa"/>
            <w:vAlign w:val="bottom"/>
          </w:tcPr>
          <w:p>
            <w:pPr>
              <w:jc w:val="right"/>
              <w:ind w:right="296"/>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May 28, 2022</w:t>
            </w:r>
          </w:p>
        </w:tc>
      </w:tr>
      <w:tr>
        <w:trPr>
          <w:trHeight w:val="230"/>
        </w:trPr>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13,923</w:t>
            </w: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Additional accruals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4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Claims paid</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15,467</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May 27, 2023, we had $12.3 million of ongoing letters of credit, all of which have been issued under our committed revolving credit facility, as discussed in Note 6. We also have a $3.4 million letter of credit which has been issued outside our committed revolving credit facility, with no impact on our borrowing capacity and debt covenants.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$31.6 million as of May 27,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(NMTC) transactions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three outstanding NMTC arrangements which help to support operational expansion. Proceeds received from investors on these transactions are included within other current and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current and other non-current assets in our consolidated balance sheets. These costs will be recognized in conjunction with the recognition of the related proceeds on each arrangement. During the construction phase or for working capital purposes for each project, we are required to hold cash dedicated to fund each project which is classified as restricted cash in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first quarter of fiscal 2023, one NMTC transaction was terminated, and a new NMTC transaction was established as a replacement. As a result of these transactions, $19.5 million in previous proceeds received were repaid and $19.5 million was contributed back to the Company as part of the newly established NMTC transaction. This NMTC transaction will be held for the remainder of the original seven-year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our outstanding NMTC transactions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Inception date</w:t>
            </w:r>
          </w:p>
        </w:tc>
        <w:tc>
          <w:tcPr>
            <w:tcW w:w="100" w:type="dxa"/>
            <w:vAlign w:val="bottom"/>
            <w:tcBorders>
              <w:bottom w:val="single" w:sz="8" w:color="CCEEFF"/>
            </w:tcBorders>
          </w:tcPr>
          <w:p>
            <w:pPr>
              <w:spacing w:after="0"/>
              <w:rPr>
                <w:sz w:val="18"/>
                <w:szCs w:val="18"/>
                <w:color w:val="auto"/>
              </w:rPr>
            </w:pPr>
          </w:p>
        </w:tc>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Termination date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9"/>
              </w:rPr>
              <w:t>Deferred Benefit</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Deferred costs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Net benefit</w:t>
            </w: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2016</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September 2018</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September 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27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May 2022</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2025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1"/>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Continuation of the August 2018 NMTC financing transaction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compensation structure, we grant stock-based compensation awards to certain employees and non-employee directors during the fiscal year. These awards may be in the form of incentive stock options (to employees only), nonstatutory options, or nonvested share awards and units, all of which are granted at a price or with an exercise price equal to the fair market value of the Company’s stock at the date of award. Refer to our Form 10-K for further information on our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sets forth the number of stock-based compensation awards granted during the three-months ended May 27, 2023, along with the weighted average grant date fair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Awards</w:t>
            </w:r>
          </w:p>
        </w:tc>
        <w:tc>
          <w:tcPr>
            <w:tcW w:w="120" w:type="dxa"/>
            <w:vAlign w:val="bottom"/>
          </w:tcPr>
          <w:p>
            <w:pPr>
              <w:spacing w:after="0"/>
              <w:rPr>
                <w:sz w:val="14"/>
                <w:szCs w:val="14"/>
                <w:color w:val="auto"/>
              </w:rPr>
            </w:pPr>
          </w:p>
        </w:tc>
        <w:tc>
          <w:tcPr>
            <w:tcW w:w="1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Number of Awards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95"/>
        </w:trPr>
        <w:tc>
          <w:tcPr>
            <w:tcW w:w="7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39"/>
        </w:trPr>
        <w:tc>
          <w:tcPr>
            <w:tcW w:w="788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Restricted stock awards and restricted stock units</w:t>
            </w:r>
            <w:r>
              <w:rPr>
                <w:rFonts w:ascii="Arial" w:cs="Arial" w:eastAsia="Arial" w:hAnsi="Arial"/>
                <w:sz w:val="23"/>
                <w:szCs w:val="23"/>
                <w:color w:val="auto"/>
                <w:vertAlign w:val="superscript"/>
              </w:rPr>
              <w:t>(1)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159,286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304"/>
        </w:trPr>
        <w:tc>
          <w:tcPr>
            <w:tcW w:w="7880" w:type="dxa"/>
            <w:vAlign w:val="bottom"/>
          </w:tcPr>
          <w:p>
            <w:pPr>
              <w:ind w:left="20"/>
              <w:spacing w:after="0"/>
              <w:rPr>
                <w:sz w:val="20"/>
                <w:szCs w:val="20"/>
                <w:color w:val="auto"/>
              </w:rPr>
            </w:pPr>
            <w:r>
              <w:rPr>
                <w:rFonts w:ascii="Arial" w:cs="Arial" w:eastAsia="Arial" w:hAnsi="Arial"/>
                <w:sz w:val="18"/>
                <w:szCs w:val="18"/>
                <w:color w:val="auto"/>
              </w:rPr>
              <w:t>Performance share units ("PSUs")</w:t>
            </w:r>
            <w:r>
              <w:rPr>
                <w:rFonts w:ascii="Arial" w:cs="Arial" w:eastAsia="Arial" w:hAnsi="Arial"/>
                <w:sz w:val="23"/>
                <w:szCs w:val="23"/>
                <w:color w:val="auto"/>
                <w:vertAlign w:val="superscript"/>
              </w:rPr>
              <w:t>(2)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47,402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80" w:hanging="154"/>
        <w:spacing w:after="0"/>
        <w:tabs>
          <w:tab w:leader="none" w:pos="1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 service condition awards which generally vest over a two- or three-year period.</w:t>
      </w:r>
    </w:p>
    <w:p>
      <w:pPr>
        <w:spacing w:after="0" w:line="23" w:lineRule="exact"/>
        <w:rPr>
          <w:rFonts w:ascii="Arial" w:cs="Arial" w:eastAsia="Arial" w:hAnsi="Arial"/>
          <w:sz w:val="18"/>
          <w:szCs w:val="18"/>
          <w:color w:val="auto"/>
          <w:vertAlign w:val="superscript"/>
        </w:rPr>
      </w:pPr>
    </w:p>
    <w:p>
      <w:pPr>
        <w:ind w:left="180" w:right="20" w:hanging="154"/>
        <w:spacing w:after="0" w:line="219" w:lineRule="auto"/>
        <w:tabs>
          <w:tab w:leader="none" w:pos="181"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Represent performance condition awards with the grant equal to the target number of performance shares based on the share price at grant date. These grants allow for the right to receive a variable number of shares, between 0% and 200% of target, dependent on achieving a defined performance goal of return on invested capital and being employed at the end of the performance period.</w:t>
      </w:r>
    </w:p>
    <w:p>
      <w:pPr>
        <w:spacing w:after="0" w:line="3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share-based compensation expense included in the results of operations was $2.2 million for the three-month period ended May 27, 2023, and $1.6 million for the three-month period ended May 28,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May 27, 2023, there was $10.3 million of total unrecognized compensation cost related to nonvested share and nonvested share unit awards, which is expected to be recognized over a weighted average period of approximately 20 months. The total fair value of shares vested during the three months ended May 27, 2023 was $5.5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27, 2023, we had remaining stock options outstanding and expense to vest of 158,000, with a weighted average exercise price of $23.04 and an aggregate intrinsic value of $2.0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files income tax returns in the U.S. federal jurisdiction, various U.S. state and local jurisdictions, Canada, Brazil and other international jurisdictions. The Company is no longer subject to U.S. federal tax examinations for years prior to fiscal 2020, or state and local income tax examinations for years prior to fiscal 2015. The Company is not currently under U.S. federal examination for years subsequent to fiscal year 2019, and there is very limited audit activity of the Company’s income tax returns in U.S. state jurisdictions or international jurisdictions.</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liability for unrecognized tax benefits was $5.2 million at May 27, 2023, compared to $5.3 million at February 25, 2023. Penalties and interest related to unrecognized tax benefits are recorded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8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560" w:type="dxa"/>
            <w:vAlign w:val="bottom"/>
          </w:tcPr>
          <w:p>
            <w:pPr>
              <w:jc w:val="right"/>
              <w:ind w:right="276"/>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Pr>
          <w:p>
            <w:pPr>
              <w:spacing w:after="0"/>
              <w:rPr>
                <w:sz w:val="17"/>
                <w:szCs w:val="17"/>
                <w:color w:val="auto"/>
              </w:rPr>
            </w:pPr>
          </w:p>
        </w:tc>
        <w:tc>
          <w:tcPr>
            <w:tcW w:w="1560" w:type="dxa"/>
            <w:vAlign w:val="bottom"/>
          </w:tcPr>
          <w:p>
            <w:pPr>
              <w:jc w:val="right"/>
              <w:ind w:right="296"/>
              <w:spacing w:after="0"/>
              <w:rPr>
                <w:sz w:val="20"/>
                <w:szCs w:val="20"/>
                <w:color w:val="auto"/>
              </w:rPr>
            </w:pPr>
            <w:r>
              <w:rPr>
                <w:rFonts w:ascii="Arial" w:cs="Arial" w:eastAsia="Arial" w:hAnsi="Arial"/>
                <w:sz w:val="14"/>
                <w:szCs w:val="14"/>
                <w:b w:val="1"/>
                <w:bCs w:val="1"/>
                <w:color w:val="auto"/>
              </w:rPr>
              <w:t>May 28, 2022</w:t>
            </w:r>
          </w:p>
        </w:tc>
        <w:tc>
          <w:tcPr>
            <w:tcW w:w="0" w:type="dxa"/>
            <w:vAlign w:val="bottom"/>
          </w:tcPr>
          <w:p>
            <w:pPr>
              <w:spacing w:after="0"/>
              <w:rPr>
                <w:sz w:val="1"/>
                <w:szCs w:val="1"/>
                <w:color w:val="auto"/>
              </w:rPr>
            </w:pPr>
          </w:p>
        </w:tc>
      </w:tr>
      <w:tr>
        <w:trPr>
          <w:trHeight w:val="230"/>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 weighted average common shares outstanding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43"/>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Weighted average effect of nonvested share grants and assumed exercise of stock options</w:t>
            </w:r>
          </w:p>
        </w:tc>
        <w:tc>
          <w:tcPr>
            <w:tcW w:w="1560" w:type="dxa"/>
            <w:vAlign w:val="bottom"/>
          </w:tcPr>
          <w:p>
            <w:pPr>
              <w:jc w:val="right"/>
              <w:spacing w:after="0"/>
              <w:rPr>
                <w:sz w:val="20"/>
                <w:szCs w:val="20"/>
                <w:color w:val="auto"/>
              </w:rPr>
            </w:pPr>
            <w:r>
              <w:rPr>
                <w:rFonts w:ascii="Arial" w:cs="Arial" w:eastAsia="Arial" w:hAnsi="Arial"/>
                <w:sz w:val="18"/>
                <w:szCs w:val="18"/>
                <w:color w:val="auto"/>
              </w:rPr>
              <w:t>503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8"/>
        </w:trPr>
        <w:tc>
          <w:tcPr>
            <w:tcW w:w="8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4"/>
              </w:rPr>
              <w:t>Diluted earnings per share – weighted average common shares and potential common shares outstanding</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w w:val="91"/>
              </w:rPr>
              <w:t>Stock awards excluded from the calculation of earnings per share because the effect was anti-dilutive (award</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000" w:type="dxa"/>
            <w:vAlign w:val="bottom"/>
            <w:gridSpan w:val="2"/>
            <w:vMerge w:val="continue"/>
          </w:tcPr>
          <w:p>
            <w:pPr>
              <w:spacing w:after="0"/>
              <w:rPr>
                <w:sz w:val="10"/>
                <w:szCs w:val="10"/>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1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price greater than average market price of the shares)</w:t>
            </w:r>
          </w:p>
        </w:tc>
        <w:tc>
          <w:tcPr>
            <w:tcW w:w="156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four reporting segments:</w:t>
      </w:r>
    </w:p>
    <w:p>
      <w:pPr>
        <w:spacing w:after="0" w:line="23" w:lineRule="exact"/>
        <w:rPr>
          <w:sz w:val="20"/>
          <w:szCs w:val="20"/>
          <w:color w:val="auto"/>
        </w:rPr>
      </w:pPr>
    </w:p>
    <w:p>
      <w:pPr>
        <w:ind w:left="660" w:hanging="328"/>
        <w:spacing w:after="0" w:line="24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Framing Systems</w:t>
      </w:r>
      <w:r>
        <w:rPr>
          <w:rFonts w:ascii="Arial" w:cs="Arial" w:eastAsia="Arial" w:hAnsi="Arial"/>
          <w:sz w:val="18"/>
          <w:szCs w:val="18"/>
          <w:color w:val="auto"/>
        </w:rPr>
        <w:t xml:space="preserve"> segment designs, engineers, fabricates and finishes aluminum window, curtainwall, storefront and entrance systems for the exterior of buildings.</w:t>
      </w:r>
    </w:p>
    <w:p>
      <w:pPr>
        <w:spacing w:after="0" w:line="1" w:lineRule="exact"/>
        <w:rPr>
          <w:rFonts w:ascii="Arial" w:cs="Arial" w:eastAsia="Arial" w:hAnsi="Arial"/>
          <w:sz w:val="18"/>
          <w:szCs w:val="18"/>
          <w:color w:val="auto"/>
        </w:rPr>
      </w:pPr>
    </w:p>
    <w:p>
      <w:pPr>
        <w:ind w:left="660" w:hanging="328"/>
        <w:spacing w:after="0" w:line="24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Services</w:t>
      </w:r>
      <w:r>
        <w:rPr>
          <w:rFonts w:ascii="Arial" w:cs="Arial" w:eastAsia="Arial" w:hAnsi="Arial"/>
          <w:sz w:val="18"/>
          <w:szCs w:val="18"/>
          <w:color w:val="auto"/>
        </w:rPr>
        <w:t xml:space="preserve"> segment integrates technical services, project management, and field installation services to design, engineer, fabricate, and install building glass and curtainwall systems.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Glass</w:t>
      </w:r>
      <w:r>
        <w:rPr>
          <w:rFonts w:ascii="Arial" w:cs="Arial" w:eastAsia="Arial" w:hAnsi="Arial"/>
          <w:sz w:val="18"/>
          <w:szCs w:val="18"/>
          <w:color w:val="auto"/>
        </w:rPr>
        <w:t xml:space="preserve"> segment coats and fabricates, high-performance glass used in custom window and wall systems on commercial buildings.</w:t>
      </w: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Large-Scale Optical (LSO)</w:t>
      </w:r>
      <w:r>
        <w:rPr>
          <w:rFonts w:ascii="Arial" w:cs="Arial" w:eastAsia="Arial" w:hAnsi="Arial"/>
          <w:sz w:val="18"/>
          <w:szCs w:val="18"/>
          <w:color w:val="auto"/>
        </w:rPr>
        <w:t xml:space="preserve"> segment manufactures high-performance glass and acrylic products for custom framing, museum, and technical glass markets.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9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7"/>
                <w:szCs w:val="17"/>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May 28, 2022</w:t>
            </w:r>
          </w:p>
        </w:tc>
        <w:tc>
          <w:tcPr>
            <w:tcW w:w="0" w:type="dxa"/>
            <w:vAlign w:val="bottom"/>
          </w:tcPr>
          <w:p>
            <w:pPr>
              <w:spacing w:after="0"/>
              <w:rPr>
                <w:sz w:val="1"/>
                <w:szCs w:val="1"/>
                <w:color w:val="auto"/>
              </w:rPr>
            </w:pPr>
          </w:p>
        </w:tc>
      </w:tr>
      <w:tr>
        <w:trPr>
          <w:trHeight w:val="23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Segment net sales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Architectural Framing Systems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164,162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163,292</w:t>
            </w:r>
          </w:p>
        </w:tc>
        <w:tc>
          <w:tcPr>
            <w:tcW w:w="0" w:type="dxa"/>
            <w:vAlign w:val="bottom"/>
          </w:tcPr>
          <w:p>
            <w:pPr>
              <w:spacing w:after="0"/>
              <w:rPr>
                <w:sz w:val="1"/>
                <w:szCs w:val="1"/>
                <w:color w:val="auto"/>
              </w:rPr>
            </w:pPr>
          </w:p>
        </w:tc>
      </w:tr>
      <w:tr>
        <w:trPr>
          <w:trHeight w:val="236"/>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Glass</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76,265</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Architectural Services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89,418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103,388</w:t>
            </w:r>
          </w:p>
        </w:tc>
        <w:tc>
          <w:tcPr>
            <w:tcW w:w="0" w:type="dxa"/>
            <w:vAlign w:val="bottom"/>
          </w:tcPr>
          <w:p>
            <w:pPr>
              <w:spacing w:after="0"/>
              <w:rPr>
                <w:sz w:val="1"/>
                <w:szCs w:val="1"/>
                <w:color w:val="auto"/>
              </w:rPr>
            </w:pPr>
          </w:p>
        </w:tc>
      </w:tr>
      <w:tr>
        <w:trPr>
          <w:trHeight w:val="243"/>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Large-Scale Optical</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356,635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Framing Systems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23,665</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Architectural Glass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43"/>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Services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Large-Scale Optical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30"/>
        </w:trPr>
        <w:tc>
          <w:tcPr>
            <w:tcW w:w="7940" w:type="dxa"/>
            <w:vAlign w:val="bottom"/>
            <w:gridSpan w:val="2"/>
          </w:tcPr>
          <w:p>
            <w:pPr>
              <w:ind w:left="48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33,767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33,216</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the second quarter of fiscal 2022, we announced plans to realign and simplify our business structure. The execution of these plans was completed during the first quarter of fiscal 2023, with the sale of the remaining manufacturing assets at our Architectural Glass location, in Dallas, Texas, for $4.1 million. The remaining assets had a carrying value of $3.4 million, and we recognized a gain on the sale of approximately $0.6 million, net of associated transaction costs, which is included as a reduction of cost of sales within our consolidated statements of operations for the prior-year period.</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our restructuring related accrual balances included within accrued payroll and related costs and other current liabilities in the consolidated balance sheets. All balances have been paid as of the end of the first quarter of fiscal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Architectural Framing</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Architectural Glass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9"/>
              </w:rPr>
              <w:t>Corporate &amp; Other</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42"/>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26, 2022</w:t>
            </w:r>
          </w:p>
        </w:tc>
        <w:tc>
          <w:tcPr>
            <w:tcW w:w="7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3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adjustments</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Balance at May 28, 2022</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9"/>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Balance at February 25, 2023</w:t>
            </w:r>
          </w:p>
        </w:tc>
        <w:tc>
          <w:tcPr>
            <w:tcW w:w="74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4"/>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Balance at May 27, 2023</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This Quarterly Report on Form 10-Q, including the section, Management’s Discussion and Analysis of Financial Condition and Results of Operations,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communications by the Company. Any or all of our forward-looking statements in this report and in any public statements we make could be materially different from actual results.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25, 2023 and in subsequent filings with the U.S. Securities and Exchange Commission, including this Quarterly Report on Form 10-Q.</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a leader in the design and development of value-added glass and metal products and services. Our four reporting segments are: Architectural Framing Systems, Architectural Glass, Architectural Services and Large-Scale Optical (LSO).</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fiscal 2022, we conducted a strategic review of our business and the markets we serve in order to establish a new enterprise strategy with three key elements, as discussed below:</w:t>
      </w:r>
    </w:p>
    <w:p>
      <w:pPr>
        <w:spacing w:after="0" w:line="1" w:lineRule="exact"/>
        <w:rPr>
          <w:sz w:val="20"/>
          <w:szCs w:val="20"/>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Become the economic leader in our target markets. </w:t>
      </w:r>
      <w:r>
        <w:rPr>
          <w:rFonts w:ascii="Arial" w:cs="Arial" w:eastAsia="Arial" w:hAnsi="Arial"/>
          <w:sz w:val="18"/>
          <w:szCs w:val="18"/>
          <w:color w:val="auto"/>
        </w:rPr>
        <w:t>We will achieve this by developing a deep understanding of our target markets and aligning</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businesses with clear go-to-market strategies to drive value for our customers through differentiated product and service offerings. We will also build a relentless focus on operational execution, driving productivity improvements, and maintaining a competitive cost structure, so that we may bring more value to our customers and improve our own profitability.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Actively manage our portfolio to drive higher margins and returns. </w:t>
      </w:r>
      <w:r>
        <w:rPr>
          <w:rFonts w:ascii="Arial" w:cs="Arial" w:eastAsia="Arial" w:hAnsi="Arial"/>
          <w:sz w:val="18"/>
          <w:szCs w:val="18"/>
          <w:color w:val="auto"/>
        </w:rPr>
        <w:t>We intend to shift our business mix toward higher operating margin</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offerings and improve our return on invested capital performance. We will accomplish this by allocating resources to grow our top performing businesses, actively addressing underperforming businesses, and investing to add new differentiated product and service offerings to accelerate our growth.</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Strengthen our core capabilities. </w:t>
      </w:r>
      <w:r>
        <w:rPr>
          <w:rFonts w:ascii="Arial" w:cs="Arial" w:eastAsia="Arial" w:hAnsi="Arial"/>
          <w:sz w:val="18"/>
          <w:szCs w:val="18"/>
          <w:color w:val="auto"/>
        </w:rPr>
        <w:t>We are shifting from our historical, decentralized operating model, to one with center-led functional expertise</w:t>
      </w:r>
      <w:r>
        <w:rPr>
          <w:rFonts w:ascii="Arial" w:cs="Arial" w:eastAsia="Arial" w:hAnsi="Arial"/>
          <w:sz w:val="18"/>
          <w:szCs w:val="18"/>
          <w:b w:val="1"/>
          <w:bCs w:val="1"/>
          <w:color w:val="auto"/>
        </w:rPr>
        <w:t xml:space="preserve"> </w:t>
      </w:r>
      <w:r>
        <w:rPr>
          <w:rFonts w:ascii="Arial" w:cs="Arial" w:eastAsia="Arial" w:hAnsi="Arial"/>
          <w:sz w:val="18"/>
          <w:szCs w:val="18"/>
          <w:color w:val="auto"/>
        </w:rPr>
        <w:t>that enables us to leverage the scale of the enterprise to better support the needs of the business. We are establishing a Company-wide operating system with common tools and processes that are based on the foundation of Lean and Continuous Improvement, which we are calling "Apogee Management System or AMS". This will be supported by a robust talent management program and a commitment to strong governance to ensure compliance and drive sustainable performance.</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made significant progress toward these financial targets through the execution of our strategy. We advanced our AMS initiatives, which have resulted in meaningful productivity improvements, particularly in Architectural Glass. We increased our focus on differentiated products and services, and effectively managed pricing to share in the value we delivered for our customers. We have focused on sustainable cost improvements and improvements to quality, service and delivery, while shifting mix toward more differentiated offerings. We integrated the Sotawall business into the Architectural Services segment, in order to create a single, unified offering for larger custom curtainwall projects. We advanced several initiatives to strengthen our core capabilities, driving the standardization of key business processes and systems. We also relaunched our talent development and leadership training programs and added key talent across the organization.</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February 25, 2023 and the consolidated financial statements, including the notes to consolidated financial statements, included therein.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First Quarter of Fiscal 2024 Compared to First Quarter of Fiscal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Consolidated net sales increased 1.4%, or $5.1 million, for the three-month period ended May 27, 2023, compared to the same period in the prior year, primarily driven by strong growth in the Architectural Glass segment, partially offset by a decline in the Architectural Services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50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74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May 28, 2022</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74.3</w:t>
            </w:r>
          </w:p>
        </w:tc>
        <w:tc>
          <w:tcPr>
            <w:tcW w:w="1800" w:type="dxa"/>
            <w:vAlign w:val="bottom"/>
            <w:gridSpan w:val="2"/>
          </w:tcPr>
          <w:p>
            <w:pPr>
              <w:jc w:val="right"/>
              <w:ind w:right="133"/>
              <w:spacing w:after="0"/>
              <w:rPr>
                <w:sz w:val="20"/>
                <w:szCs w:val="20"/>
                <w:color w:val="auto"/>
              </w:rPr>
            </w:pPr>
            <w:r>
              <w:rPr>
                <w:rFonts w:ascii="Arial" w:cs="Arial" w:eastAsia="Arial" w:hAnsi="Arial"/>
                <w:sz w:val="18"/>
                <w:szCs w:val="18"/>
                <w:color w:val="auto"/>
              </w:rPr>
              <w:t>76.0</w:t>
            </w:r>
          </w:p>
        </w:tc>
      </w:tr>
      <w:tr>
        <w:trPr>
          <w:trHeight w:val="229"/>
        </w:trPr>
        <w:tc>
          <w:tcPr>
            <w:tcW w:w="7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24.0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14.7</w:t>
            </w:r>
          </w:p>
        </w:tc>
      </w:tr>
      <w:tr>
        <w:trPr>
          <w:trHeight w:val="237"/>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w:t>
            </w:r>
          </w:p>
        </w:tc>
        <w:tc>
          <w:tcPr>
            <w:tcW w:w="180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9.3</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1800" w:type="dxa"/>
            <w:vAlign w:val="bottom"/>
            <w:gridSpan w:val="2"/>
          </w:tcPr>
          <w:p>
            <w:pPr>
              <w:jc w:val="right"/>
              <w:ind w:right="133"/>
              <w:spacing w:after="0"/>
              <w:rPr>
                <w:sz w:val="20"/>
                <w:szCs w:val="20"/>
                <w:color w:val="auto"/>
              </w:rPr>
            </w:pPr>
            <w:r>
              <w:rPr>
                <w:rFonts w:ascii="Arial" w:cs="Arial" w:eastAsia="Arial" w:hAnsi="Arial"/>
                <w:sz w:val="18"/>
                <w:szCs w:val="18"/>
                <w:color w:val="auto"/>
              </w:rPr>
              <w:t>0.3</w:t>
            </w: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7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r>
      <w:tr>
        <w:trPr>
          <w:trHeight w:val="230"/>
        </w:trPr>
        <w:tc>
          <w:tcPr>
            <w:tcW w:w="7740" w:type="dxa"/>
            <w:vAlign w:val="bottom"/>
          </w:tcPr>
          <w:p>
            <w:pPr>
              <w:ind w:left="360"/>
              <w:spacing w:after="0"/>
              <w:rPr>
                <w:sz w:val="20"/>
                <w:szCs w:val="20"/>
                <w:color w:val="auto"/>
              </w:rPr>
            </w:pPr>
            <w:r>
              <w:rPr>
                <w:rFonts w:ascii="Arial" w:cs="Arial" w:eastAsia="Arial" w:hAnsi="Arial"/>
                <w:sz w:val="18"/>
                <w:szCs w:val="18"/>
                <w:color w:val="auto"/>
              </w:rPr>
              <w:t>Earnings before income taxes</w:t>
            </w: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8.7</w:t>
            </w:r>
          </w:p>
        </w:tc>
        <w:tc>
          <w:tcPr>
            <w:tcW w:w="1800" w:type="dxa"/>
            <w:vAlign w:val="bottom"/>
            <w:gridSpan w:val="2"/>
          </w:tcPr>
          <w:p>
            <w:pPr>
              <w:jc w:val="right"/>
              <w:ind w:right="133"/>
              <w:spacing w:after="0"/>
              <w:rPr>
                <w:sz w:val="20"/>
                <w:szCs w:val="20"/>
                <w:color w:val="auto"/>
              </w:rPr>
            </w:pPr>
            <w:r>
              <w:rPr>
                <w:rFonts w:ascii="Arial" w:cs="Arial" w:eastAsia="Arial" w:hAnsi="Arial"/>
                <w:sz w:val="18"/>
                <w:szCs w:val="18"/>
                <w:color w:val="auto"/>
              </w:rPr>
              <w:t>8.6</w:t>
            </w:r>
          </w:p>
        </w:tc>
      </w:tr>
      <w:tr>
        <w:trPr>
          <w:trHeight w:val="23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w:t>
            </w:r>
          </w:p>
        </w:tc>
        <w:tc>
          <w:tcPr>
            <w:tcW w:w="180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2.2</w:t>
            </w: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6.4 %</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profit as a percent of sales (gross margin) was 25.7% for the three-month period ended May 27, 2023, compared to 24.0% for the three-month period ended May 28, 2022. The improvement was driven primarily by strong performance in the Architectural Glass segment, partially offset primarily by lower margins in the Architectural Services and Architectural Framing segment.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SG&amp;A expenses as a percent of sales was 16.4% for the three-month period ended May 27, 2023, compared to 14.7% for the prior year three-month period. SG&amp;A increased as a percent of sales compared to the three-month period in the prior year primarily due to an increase in compensation related expenses, higher consulting costs, and higher allowance for credit losses.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Interest expense as a percent of sales was 0.6% for the three-month period ended May 27, 2023, compared to 0.3% for the prior year three-month period, primarily due to an increase in interest rates for the current year period.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effective income tax rate in the first quarter of fiscal 2024 was 25.0%, compared to 26.0% in the same period last year, primarily due to an increase to the valuation allowance related to foreign net operating loss carryforwards in the prior year.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operating income (loss) and operating margin by segment and consolidated total.</w:t>
      </w:r>
    </w:p>
    <w:p>
      <w:pPr>
        <w:spacing w:after="0" w:line="27"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Borders>
              <w:bottom w:val="single" w:sz="8" w:color="auto"/>
            </w:tcBorders>
          </w:tcPr>
          <w:p>
            <w:pPr>
              <w:spacing w:after="0"/>
              <w:rPr>
                <w:sz w:val="17"/>
                <w:szCs w:val="17"/>
                <w:color w:val="auto"/>
              </w:rPr>
            </w:pPr>
          </w:p>
        </w:tc>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3"/>
                <w:szCs w:val="13"/>
                <w:i w:val="1"/>
                <w:iCs w:val="1"/>
                <w:color w:val="auto"/>
              </w:rPr>
              <w:t>(In thousands, except percentages)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w w:val="95"/>
              </w:rPr>
              <w:t>May 27, 2023</w:t>
            </w: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May 28, 2022</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sales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Architectural Framing Systems</w:t>
            </w:r>
          </w:p>
        </w:tc>
        <w:tc>
          <w:tcPr>
            <w:tcW w:w="280" w:type="dxa"/>
            <w:vAlign w:val="bottom"/>
          </w:tcPr>
          <w:p>
            <w:pPr>
              <w:spacing w:after="0"/>
              <w:rPr>
                <w:sz w:val="19"/>
                <w:szCs w:val="19"/>
                <w:color w:val="auto"/>
              </w:rPr>
            </w:pPr>
          </w:p>
        </w:tc>
        <w:tc>
          <w:tcPr>
            <w:tcW w:w="144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164,162</w:t>
            </w:r>
          </w:p>
        </w:tc>
        <w:tc>
          <w:tcPr>
            <w:tcW w:w="6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19"/>
              <w:spacing w:after="0"/>
              <w:rPr>
                <w:sz w:val="20"/>
                <w:szCs w:val="20"/>
                <w:color w:val="auto"/>
              </w:rPr>
            </w:pPr>
            <w:r>
              <w:rPr>
                <w:rFonts w:ascii="Arial" w:cs="Arial" w:eastAsia="Arial" w:hAnsi="Arial"/>
                <w:sz w:val="18"/>
                <w:szCs w:val="18"/>
                <w:color w:val="auto"/>
              </w:rPr>
              <w:t>163,292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Architectural Glass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97,202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76,265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Architectural Services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89,418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ind w:right="119"/>
              <w:spacing w:after="0"/>
              <w:rPr>
                <w:sz w:val="20"/>
                <w:szCs w:val="20"/>
                <w:color w:val="auto"/>
              </w:rPr>
            </w:pPr>
            <w:r>
              <w:rPr>
                <w:rFonts w:ascii="Arial" w:cs="Arial" w:eastAsia="Arial" w:hAnsi="Arial"/>
                <w:sz w:val="18"/>
                <w:szCs w:val="18"/>
                <w:color w:val="auto"/>
              </w:rPr>
              <w:t>103,388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Large-Scale Optical</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25,162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(11,525)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8"/>
                <w:szCs w:val="18"/>
                <w:color w:val="auto"/>
              </w:rPr>
              <w:t>(11,472)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361,713</w:t>
            </w:r>
          </w:p>
        </w:tc>
        <w:tc>
          <w:tcPr>
            <w:tcW w:w="6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356,635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Segment operating income (loss)</w:t>
            </w: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4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Architectural Framing Systems</w:t>
            </w:r>
          </w:p>
        </w:tc>
        <w:tc>
          <w:tcPr>
            <w:tcW w:w="2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6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23,665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Architectural Glass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16,521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ind w:right="119"/>
              <w:spacing w:after="0"/>
              <w:rPr>
                <w:sz w:val="20"/>
                <w:szCs w:val="20"/>
                <w:color w:val="auto"/>
              </w:rPr>
            </w:pPr>
            <w:r>
              <w:rPr>
                <w:rFonts w:ascii="Arial" w:cs="Arial" w:eastAsia="Arial" w:hAnsi="Arial"/>
                <w:sz w:val="18"/>
                <w:szCs w:val="18"/>
                <w:color w:val="auto"/>
              </w:rPr>
              <w:t>5,169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Architectural Services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2,927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Large-Scale Optical</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5,525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3"/>
          </w:tcPr>
          <w:p>
            <w:pPr>
              <w:jc w:val="right"/>
              <w:ind w:right="119"/>
              <w:spacing w:after="0"/>
              <w:rPr>
                <w:sz w:val="20"/>
                <w:szCs w:val="20"/>
                <w:color w:val="auto"/>
              </w:rPr>
            </w:pPr>
            <w:r>
              <w:rPr>
                <w:rFonts w:ascii="Arial" w:cs="Arial" w:eastAsia="Arial" w:hAnsi="Arial"/>
                <w:sz w:val="18"/>
                <w:szCs w:val="18"/>
                <w:color w:val="auto"/>
              </w:rPr>
              <w:t>6,498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and other</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(7,628)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(5,043)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ind w:left="46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33,767</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8"/>
                <w:szCs w:val="18"/>
                <w:color w:val="auto"/>
              </w:rPr>
              <w:t>33,216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Segment operating margin</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Architectural Framing Systems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14.5 %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Architectural Glass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Architectural Services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4"/>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3"/>
          </w:tcPr>
          <w:p>
            <w:pPr>
              <w:jc w:val="right"/>
              <w:ind w:right="119"/>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Large-Scale Optical</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jc w:val="right"/>
              <w:ind w:right="39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4"/>
                <w:szCs w:val="14"/>
                <w:color w:val="auto"/>
              </w:rPr>
              <w:t>N/M Indicates calculation not meaningful.</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4"/>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Architectural Framing Systems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May 27, 2023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May 28, 2022</w:t>
            </w: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164,162</w:t>
            </w:r>
          </w:p>
        </w:tc>
        <w:tc>
          <w:tcPr>
            <w:tcW w:w="1060" w:type="dxa"/>
            <w:vAlign w:val="bottom"/>
            <w:gridSpan w:val="3"/>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163,292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440" w:type="dxa"/>
            <w:vAlign w:val="bottom"/>
            <w:gridSpan w:val="3"/>
          </w:tcPr>
          <w:p>
            <w:pPr>
              <w:jc w:val="right"/>
              <w:ind w:right="110"/>
              <w:spacing w:after="0"/>
              <w:rPr>
                <w:sz w:val="20"/>
                <w:szCs w:val="20"/>
                <w:color w:val="auto"/>
              </w:rPr>
            </w:pPr>
            <w:r>
              <w:rPr>
                <w:rFonts w:ascii="Arial" w:cs="Arial" w:eastAsia="Arial" w:hAnsi="Arial"/>
                <w:sz w:val="18"/>
                <w:szCs w:val="18"/>
                <w:color w:val="auto"/>
              </w:rPr>
              <w:t>19,945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23,665</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Architectural Framing Systems net sales increased $0.9 million, or 0.5%, for the three-month period ended May 27, 2023, compared to the prior year period, driven by improved pricing and mix, which offset lower volume, as the segment continues to increase focus on target markets where it can provide differentiated offerings.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margin decreased 240 basis points for the three-month period of the current year, compared to the same period in the prior year, primarily reflecting favorable timing of inventory flows and aluminum prices in the prior year, which did not repeat in this year's first quarter.</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May 27, 2023, segment backlog was approximately $221 million, compared to approximately $243 million at the end of the prior quarter, and to approximately $310 million at the end of the first quarter of fiscal 2023.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have visibility into future business commitments beyond backlog, as projects awarded, verbal commitments and bidding activities are not included in backlog.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4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4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6"/>
                <w:szCs w:val="16"/>
                <w:color w:val="auto"/>
              </w:rPr>
            </w:pPr>
          </w:p>
        </w:tc>
        <w:tc>
          <w:tcPr>
            <w:tcW w:w="1460" w:type="dxa"/>
            <w:vAlign w:val="bottom"/>
          </w:tcPr>
          <w:p>
            <w:pPr>
              <w:jc w:val="right"/>
              <w:ind w:right="375"/>
              <w:spacing w:after="0"/>
              <w:rPr>
                <w:sz w:val="20"/>
                <w:szCs w:val="20"/>
                <w:color w:val="auto"/>
              </w:rPr>
            </w:pPr>
            <w:r>
              <w:rPr>
                <w:rFonts w:ascii="Arial" w:cs="Arial" w:eastAsia="Arial" w:hAnsi="Arial"/>
                <w:sz w:val="14"/>
                <w:szCs w:val="14"/>
                <w:b w:val="1"/>
                <w:bCs w:val="1"/>
                <w:color w:val="auto"/>
              </w:rPr>
              <w:t>May 27, 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375"/>
              <w:spacing w:after="0"/>
              <w:rPr>
                <w:sz w:val="20"/>
                <w:szCs w:val="20"/>
                <w:color w:val="auto"/>
              </w:rPr>
            </w:pPr>
            <w:r>
              <w:rPr>
                <w:rFonts w:ascii="Arial" w:cs="Arial" w:eastAsia="Arial" w:hAnsi="Arial"/>
                <w:sz w:val="14"/>
                <w:szCs w:val="14"/>
                <w:b w:val="1"/>
                <w:bCs w:val="1"/>
                <w:color w:val="auto"/>
              </w:rPr>
              <w:t>May 28, 2022</w:t>
            </w:r>
          </w:p>
        </w:tc>
        <w:tc>
          <w:tcPr>
            <w:tcW w:w="120" w:type="dxa"/>
            <w:vAlign w:val="bottom"/>
          </w:tcPr>
          <w:p>
            <w:pPr>
              <w:spacing w:after="0"/>
              <w:rPr>
                <w:sz w:val="16"/>
                <w:szCs w:val="16"/>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30"/>
        </w:trPr>
        <w:tc>
          <w:tcPr>
            <w:tcW w:w="6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97,202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76,265</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16,521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5,169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219.6 %</w:t>
            </w:r>
          </w:p>
        </w:tc>
      </w:tr>
      <w:tr>
        <w:trPr>
          <w:trHeight w:val="24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bl>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increased $20.9 million, or 27.5%, for the three-month period ended May 27, 2023, compared to the same period in the prior year, driven by improved pricing, higher volume, and a more favorable sales mix, reflecting the segment's strategic shift to emphasize premium, high-performance products.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margin increased by 10.2 percentage points primarily driven by improved pricing, favorable mix, and increased volume, partially offset by cost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May 27, 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May 28, 2022</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89,418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103,388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280" w:type="dxa"/>
            <w:vAlign w:val="bottom"/>
          </w:tcPr>
          <w:p>
            <w:pPr>
              <w:spacing w:after="0"/>
              <w:rPr>
                <w:sz w:val="20"/>
                <w:szCs w:val="20"/>
                <w:color w:val="auto"/>
              </w:rPr>
            </w:pP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2,927</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3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bl>
    <w:p>
      <w:pPr>
        <w:ind w:left="20"/>
        <w:spacing w:after="0"/>
        <w:rPr>
          <w:sz w:val="20"/>
          <w:szCs w:val="20"/>
          <w:color w:val="auto"/>
        </w:rPr>
      </w:pPr>
      <w:r>
        <w:rPr>
          <w:rFonts w:ascii="Arial" w:cs="Arial" w:eastAsia="Arial" w:hAnsi="Arial"/>
          <w:sz w:val="14"/>
          <w:szCs w:val="14"/>
          <w:color w:val="auto"/>
        </w:rPr>
        <w:t>N/M Indicates calculation not meaningful.</w:t>
      </w: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Architectural Services net sales decreased $14.0 million, or 13.5% for the three-month period ended May 27, 2023, compared to the same period in the prior year, primarily reflecting lower volume.</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current quarter, the segment had negative operating margin of 0.7%, compared to operating margin of 2.8% in the same period of the prior year, primarily due to the impact of lower estimated profitability levels on certain projects, the unfavorable leverage impact of lower net sales, and severance costs related to a facility closure.</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27, 2023, segment backlog was approximately $709 million, compared to approximately $727 million at the end of the prior quarter, and to approximately $681 million at the end of the first quarter of fiscal 2023. Backlog, a non-GAAP financial measure, and the implications thereof, are described within the Architectural Framing Systems discussion above.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May 27, 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May 28, 2022</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22,456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25,162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7"/>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0"/>
                <w:szCs w:val="20"/>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6,498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3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LSO net sales decreased $2.7 million, or 10.8%, for the three-month period ended May 27, 2023 compared to the same period in the prior year, primarily reflecting lower volume due to timing of customer orders and customer inventory destocking.</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margin decreased 120 basis points in the three-month period of the current year, compared to the same period in the prior year, primarily reflecting the unfavorable leverage impact of lower net sales.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corporate and other expenses increased $2.6 million for the three-month period ended May 27, 2023 compared to the same period in the prior year, primarily due to an increase in compensation expense and higher consulting costs.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790"/>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8"/>
        </w:trPr>
        <w:tc>
          <w:tcPr>
            <w:tcW w:w="8000" w:type="dxa"/>
            <w:vAlign w:val="bottom"/>
            <w:gridSpan w:val="3"/>
          </w:tcPr>
          <w:p>
            <w:pPr>
              <w:ind w:left="20"/>
              <w:spacing w:after="0"/>
              <w:rPr>
                <w:sz w:val="20"/>
                <w:szCs w:val="20"/>
                <w:color w:val="auto"/>
              </w:rPr>
            </w:pPr>
            <w:r>
              <w:rPr>
                <w:rFonts w:ascii="Arial" w:cs="Arial" w:eastAsia="Arial" w:hAnsi="Arial"/>
                <w:sz w:val="18"/>
                <w:szCs w:val="18"/>
                <w:b w:val="1"/>
                <w:bCs w:val="1"/>
                <w:color w:val="auto"/>
              </w:rPr>
              <w:t>Selected cash flow data</w:t>
            </w: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Three Months Ended</w:t>
            </w:r>
          </w:p>
        </w:tc>
      </w:tr>
      <w:tr>
        <w:trPr>
          <w:trHeight w:val="190"/>
        </w:trPr>
        <w:tc>
          <w:tcPr>
            <w:tcW w:w="78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May 27, 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May 28, 2022</w:t>
            </w:r>
          </w:p>
        </w:tc>
      </w:tr>
      <w:tr>
        <w:trPr>
          <w:trHeight w:val="229"/>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Net cash provided (used)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21,287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(30,462)</w:t>
            </w:r>
          </w:p>
        </w:tc>
      </w:tr>
      <w:tr>
        <w:trPr>
          <w:trHeight w:val="236"/>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(5,125)</w:t>
            </w:r>
          </w:p>
        </w:tc>
      </w:tr>
      <w:tr>
        <w:trPr>
          <w:trHeight w:val="243"/>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Proceeds from sales of property, plant and equipment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r>
      <w:tr>
        <w:trPr>
          <w:trHeight w:val="229"/>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Net cash used by investing activities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Borrowings on line of credit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105,852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161,000</w:t>
            </w:r>
          </w:p>
        </w:tc>
      </w:tr>
      <w:tr>
        <w:trPr>
          <w:trHeight w:val="236"/>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Payments on line of credit</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r>
      <w:tr>
        <w:trPr>
          <w:trHeight w:val="229"/>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Repurchase and retirement of common stock</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(74,312)</w:t>
            </w:r>
          </w:p>
        </w:tc>
      </w:tr>
      <w:tr>
        <w:trPr>
          <w:trHeight w:val="243"/>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r>
      <w:tr>
        <w:trPr>
          <w:trHeight w:val="230"/>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Net cash (used) provided by financing activities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17,624</w:t>
            </w:r>
          </w:p>
        </w:tc>
      </w:tr>
    </w:tbl>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cash provided by operations for the Company’s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was $21.3 million for the first three months of fiscal 2024, compared to $30.5 million of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used by operating activities in the prior year period, primarily reflecting lower working capital requirements for the current year period.</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by investing activities was $6.9 million for the first three months of fiscal 2024, driven primarily by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$7.4 million. In the first three months of the prior year, net cash used by investing activities was $0.9 million, primarily driven by capital expenditures of $5.1 million, partially offset by proceeds from sales of property, plant and equipment of $4.1 million. The majority of our capital expenditures in the current year and prior year periods are to support future growth and cost reduction initiatives.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by financing activities was $11.3 million for the first three months of fiscal 2024, compared to net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activities of $17.6 million in the prior year period. The usage in the current year period was primarily driven by share repurchases and dividend payments totaling $10.4 million, while the prior year period included $99.0 million of net debt borrowings, partially offset by $79.1 million of share repurchases and dividend payments.</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dividends totaling $5.2 million ($0.24 per share) in the first three months of fiscal 2024, compared to $4.8 million ($0.22 per share) in the comparable prior year period. During the first three months of fiscal 2024, we repurchased 119,916 shares under our authorized share repurchase program, for a total cost of $5.2 million. In the first three months of fiscal 2023, we repurchased 1,571,139 shares under the share repurchase program, for a total cost of $74.3 million. 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and January 14, 2022. The repurchase program does not have an expiration date. Since the inception of the share repurchase program in 2004, we have purchased a total of 11,116,517 shares, at a total cost of $386.8 million. As of May 27, 2023, we had remaining authority to repurchase an additional 1,133,483 shares under this program. We may also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Additional Liquidity Considerations. </w:t>
      </w:r>
      <w:r>
        <w:rPr>
          <w:rFonts w:ascii="Arial" w:cs="Arial" w:eastAsia="Arial" w:hAnsi="Arial"/>
          <w:sz w:val="18"/>
          <w:szCs w:val="18"/>
          <w:color w:val="auto"/>
        </w:rPr>
        <w:t>We periodically evaluate our liquidity requirements, cash needs and availability of debt resources relative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plans, significant capital plans, and other working capital needs.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first quarter of fiscal 2024, we had a committed revolving credit facility with maximum borrowings of up to $385 million, with a maturity date of August 5, 2027, and two Canadian committed, revolving credit facilities totaling $25 million (USD). At May 27, 2023, we had outstanding borrowings under our committed, revolving credit facility of $155.0 million, and $3.7 million outstanding under the Canadian committed, revolving credit facility. We are required to make periodic interest payments on our outstanding indebtedness, and future interest payments will be determined based on the amount of outstanding borrowings and prevailing interest rates during that time.</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revolving credit facility contains two maintenance financial covenants that require us to stay below a maximum debt-to-EBITDA ratio of 3.25 and maintain a minimum ratio of EBITDA-to-interest expense of 3.00. In the event we make an acquisition for which the purchase price is greater than $75 million, we can elect to increase the maximum debt-to-EBITDA ratio to 3.75 for a period of four consecutive fiscal quarters, commencing with the fiscal quarter in which a qualifying acquisition occurs. No more than two acquisition "holidays" can occur during the term of the facility, and at least two fiscal quarters must separate qualifying acquisitions. Both ratios are computed quarterly, with EBITDA calculated on a rolling four-quarter basis. At May 27, 2023, we were in compliance with both financial covenants (which are identical in both of our revolving credit facilities).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Borrowings under the credit facility bear floating interest at either the Base Rate or Term SOFR, plus a margin based on the Leverage Ratio (as defined in the Credit Agreement). For Base Rate borrowings the margin ranges from 0.125% to 0.75%. For Term SOFR borrowings the margin ranges from 1.135% to 1.85%.</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facility also contains an "accordion" provision. Under this provision, we can request that the facility be increased by as much $200.0 million. Any Lender may elect or decline to participate in the requested increase at the Lender’s sole discretion.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at May 27, 2023, we had a total of $12.3 million of ongoing letters of credit related to industrial revenue bonds, construction contracts and insurance collateral that expire in fiscal years 2024 to 2032 and reduce borrowing capacity under the revolving credit facility. As of May 27, 2023, the amount available for revolving borrowings under the Wells Fargo credit facility was $217.7 million.</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acquire the use of certain assets through operating leases, such as property, manufacturing equipment, vehicles and other equipment. Future payments for such leases, excluding leases with initial terms of one year or less, were $46.7 million at May 27, 2023, with $9.5 million payable during the remainder of fiscal 2024.</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27, 2023, we had $31.6 million of open purchase obligations, of which payments totaling $22.4 million are expected to become due during the remainder of fiscal 2024. These purchase obligations primarily relate to raw material commitments and capital expenditures and are not expected to impact future liquidity, as amounts should be recovered through customer billings.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$0.7 million to our defined-benefit pension plans in fiscal 2024, which will equal or exceed our minimum funding requirements.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27, 2023, we had reserves of $5.2 million for unrecognized tax benefits. We are unable to reasonably estimate in which future periods the remaining unrecognized tax benefits will ultimately be settled.</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required, in the ordinary course of business, to provide surety or performance bonds that commit payments to our customers for any non-performance. At May 27, 2023, $1.3 billion of these types of bonds were outstanding, of which $503.4 million is in our backlog. These bonds do not have stated expiration dates. We have never been required to make payments under surety or performance bonds with respect to our existing businesses.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evaluate acquisition opportunities on a regular basis. We may finance acquisition activity with available cash, the issuance of shares of common stock, additional debt, or other sources of financing, depending upon the size and nature of any such transaction and the status of the capital markets at the time of such acquisition.</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Due to our ability to generate strong cash from operations and our borrowing capability under our committed revolving credit facilities, we believe that our sources of liquidity will be adequate to meet our short-term and long-term liquidity and capital expenditure needs. In addition, we believe that we have the ability currently to obtain both short-term and long-term debt to meet our financing needs for the foreseeable future. We also believe that we will be able to operate our business so as to continue to be in compliance with our existing debt covenants over the next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February 25, 2023.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There have been no material changes to our critical accounting policies from those disclosed in our Annual Report on Form 10-K for the fiscal year ended February 25, 2023.</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Refer to the Company’s Annual Report on Form 10-K for the fiscal year ended February 25, 2023 for a discussion of the Company’s market risk. There have been no material changes in market risk since February 25, 2023.</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70"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Interim Chief Financial Officer, of the effectiveness of the design and operation of our disclosure controls and procedures (as defined in Rules 13a-15(e) or 15d-15(e) of the Securities Exchange Act of 1934, as amended (the Exchange Act)). Based upon that evaluation, the Chief Executive Officer and Interim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Interim Chief Financial Officer, to allow timely decisions regarding required disclosure.</w:t>
      </w:r>
    </w:p>
    <w:p>
      <w:pPr>
        <w:spacing w:after="0" w:line="72"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May 27, 2023, that has materially affected, or is reasonably likely to materially affect, the Company’s internal control over financial reporting.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have been no material changes or additions to our risk factors discussed in our Annual Report on Form 10-K for the fiscal year ended February 25, 2023.</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first quarter of fiscal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2"/>
                <w:szCs w:val="12"/>
                <w:color w:val="auto"/>
              </w:rPr>
            </w:pPr>
          </w:p>
        </w:tc>
        <w:tc>
          <w:tcPr>
            <w:tcW w:w="1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3"/>
              </w:rPr>
              <w:t>Shares Purchased (a)</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 (b)</w:t>
            </w:r>
          </w:p>
        </w:tc>
        <w:tc>
          <w:tcPr>
            <w:tcW w:w="1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(b)</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2023 to March 25, 2023</w:t>
            </w:r>
          </w:p>
        </w:tc>
        <w:tc>
          <w:tcPr>
            <w:tcW w:w="15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1,432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1,253,399</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March 26, 2023 to April 22, 2023</w:t>
            </w:r>
          </w:p>
        </w:tc>
        <w:tc>
          <w:tcPr>
            <w:tcW w:w="1560" w:type="dxa"/>
            <w:vAlign w:val="bottom"/>
            <w:gridSpan w:val="2"/>
          </w:tcPr>
          <w:p>
            <w:pPr>
              <w:jc w:val="right"/>
              <w:ind w:right="2"/>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43.65</w:t>
            </w:r>
          </w:p>
        </w:tc>
        <w:tc>
          <w:tcPr>
            <w:tcW w:w="1860" w:type="dxa"/>
            <w:vAlign w:val="bottom"/>
            <w:gridSpan w:val="2"/>
          </w:tcPr>
          <w:p>
            <w:pPr>
              <w:jc w:val="right"/>
              <w:ind w:right="2"/>
              <w:spacing w:after="0"/>
              <w:rPr>
                <w:sz w:val="20"/>
                <w:szCs w:val="20"/>
                <w:color w:val="auto"/>
              </w:rPr>
            </w:pPr>
            <w:r>
              <w:rPr>
                <w:rFonts w:ascii="Arial" w:cs="Arial" w:eastAsia="Arial" w:hAnsi="Arial"/>
                <w:sz w:val="18"/>
                <w:szCs w:val="18"/>
                <w:color w:val="auto"/>
              </w:rPr>
              <w:t>45,000</w:t>
            </w:r>
          </w:p>
        </w:tc>
        <w:tc>
          <w:tcPr>
            <w:tcW w:w="1960" w:type="dxa"/>
            <w:vAlign w:val="bottom"/>
            <w:gridSpan w:val="2"/>
          </w:tcPr>
          <w:p>
            <w:pPr>
              <w:jc w:val="right"/>
              <w:ind w:right="4"/>
              <w:spacing w:after="0"/>
              <w:rPr>
                <w:sz w:val="20"/>
                <w:szCs w:val="20"/>
                <w:color w:val="auto"/>
              </w:rPr>
            </w:pPr>
            <w:r>
              <w:rPr>
                <w:rFonts w:ascii="Arial" w:cs="Arial" w:eastAsia="Arial" w:hAnsi="Arial"/>
                <w:sz w:val="18"/>
                <w:szCs w:val="18"/>
                <w:color w:val="auto"/>
              </w:rPr>
              <w:t>1,208,399</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23, 2023 to May 27, 2023</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114,084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74,916</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1,133,483</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2"/>
              <w:spacing w:after="0"/>
              <w:rPr>
                <w:sz w:val="20"/>
                <w:szCs w:val="20"/>
                <w:color w:val="auto"/>
              </w:rPr>
            </w:pPr>
            <w:r>
              <w:rPr>
                <w:rFonts w:ascii="Arial" w:cs="Arial" w:eastAsia="Arial" w:hAnsi="Arial"/>
                <w:sz w:val="18"/>
                <w:szCs w:val="18"/>
                <w:color w:val="auto"/>
              </w:rPr>
              <w:t>160,516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43.37</w:t>
            </w:r>
          </w:p>
        </w:tc>
        <w:tc>
          <w:tcPr>
            <w:tcW w:w="1860" w:type="dxa"/>
            <w:vAlign w:val="bottom"/>
            <w:gridSpan w:val="2"/>
          </w:tcPr>
          <w:p>
            <w:pPr>
              <w:jc w:val="right"/>
              <w:ind w:right="2"/>
              <w:spacing w:after="0"/>
              <w:rPr>
                <w:sz w:val="20"/>
                <w:szCs w:val="20"/>
                <w:color w:val="auto"/>
              </w:rPr>
            </w:pPr>
            <w:r>
              <w:rPr>
                <w:rFonts w:ascii="Arial" w:cs="Arial" w:eastAsia="Arial" w:hAnsi="Arial"/>
                <w:sz w:val="18"/>
                <w:szCs w:val="18"/>
                <w:color w:val="auto"/>
              </w:rPr>
              <w:t>119,916</w:t>
            </w:r>
          </w:p>
        </w:tc>
        <w:tc>
          <w:tcPr>
            <w:tcW w:w="1960" w:type="dxa"/>
            <w:vAlign w:val="bottom"/>
            <w:gridSpan w:val="2"/>
          </w:tcPr>
          <w:p>
            <w:pPr>
              <w:jc w:val="right"/>
              <w:ind w:right="4"/>
              <w:spacing w:after="0"/>
              <w:rPr>
                <w:sz w:val="20"/>
                <w:szCs w:val="20"/>
                <w:color w:val="auto"/>
              </w:rPr>
            </w:pPr>
            <w:r>
              <w:rPr>
                <w:rFonts w:ascii="Arial" w:cs="Arial" w:eastAsia="Arial" w:hAnsi="Arial"/>
                <w:sz w:val="18"/>
                <w:szCs w:val="18"/>
                <w:color w:val="auto"/>
              </w:rPr>
              <w:t>1,133,483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hanging="652"/>
        <w:spacing w:after="0" w:line="266"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jc w:val="both"/>
        <w:ind w:left="660" w:hanging="652"/>
        <w:spacing w:after="0" w:line="262"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and January 14, 2022. The repurchase program does not have an expiration 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10"/>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gridSpan w:val="2"/>
            <w:shd w:val="clear" w:color="auto" w:fill="CCEEFF"/>
          </w:tcPr>
          <w:p>
            <w:pPr>
              <w:ind w:left="20"/>
              <w:spacing w:after="0" w:line="189" w:lineRule="exact"/>
              <w:rPr>
                <w:rFonts w:ascii="Arial" w:cs="Arial" w:eastAsia="Arial" w:hAnsi="Arial"/>
                <w:sz w:val="18"/>
                <w:szCs w:val="18"/>
                <w:color w:val="0000FF"/>
                <w:w w:val="87"/>
              </w:rPr>
            </w:pPr>
            <w:hyperlink r:id="rId4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20" w:type="dxa"/>
            <w:vAlign w:val="bottom"/>
            <w:tcBorders>
              <w:right w:val="single" w:sz="8" w:color="CCEEFF"/>
            </w:tcBorders>
            <w:gridSpan w:val="8"/>
            <w:shd w:val="clear" w:color="auto" w:fill="CCEEFF"/>
          </w:tcPr>
          <w:p>
            <w:pPr>
              <w:spacing w:after="0" w:line="189"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Restated Articles of Incorporation. (Incorporated by reference to Exhibit 3.1 to Registrant's Annual Report on Form 10-K for the</w:t>
              </w:r>
            </w:hyperlink>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88"/>
              </w:rPr>
            </w:pPr>
            <w:hyperlink r:id="rId44">
              <w:r>
                <w:rPr>
                  <w:rFonts w:ascii="Arial" w:cs="Arial" w:eastAsia="Arial" w:hAnsi="Arial"/>
                  <w:sz w:val="18"/>
                  <w:szCs w:val="18"/>
                  <w:color w:val="0000FF"/>
                  <w:w w:val="88"/>
                </w:rPr>
                <w:t>year-ended February 28, 2004.)</w:t>
              </w:r>
            </w:hyperlink>
          </w:p>
        </w:tc>
        <w:tc>
          <w:tcPr>
            <w:tcW w:w="7340" w:type="dxa"/>
            <w:vAlign w:val="bottom"/>
            <w:tcBorders>
              <w:top w:val="single" w:sz="8" w:color="0000FF"/>
              <w:bottom w:val="single" w:sz="8" w:color="CCEEFF"/>
              <w:right w:val="single" w:sz="8" w:color="CCEEFF"/>
            </w:tcBorders>
            <w:gridSpan w:val="6"/>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gridSpan w:val="2"/>
          </w:tcPr>
          <w:p>
            <w:pPr>
              <w:ind w:left="20"/>
              <w:spacing w:after="0" w:line="189" w:lineRule="exact"/>
              <w:rPr>
                <w:rFonts w:ascii="Arial" w:cs="Arial" w:eastAsia="Arial" w:hAnsi="Arial"/>
                <w:sz w:val="18"/>
                <w:szCs w:val="18"/>
                <w:color w:val="0000FF"/>
                <w:w w:val="87"/>
              </w:rPr>
            </w:pPr>
            <w:hyperlink r:id="rId4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20" w:type="dxa"/>
            <w:vAlign w:val="bottom"/>
            <w:gridSpan w:val="8"/>
          </w:tcPr>
          <w:p>
            <w:pPr>
              <w:spacing w:after="0" w:line="189" w:lineRule="exact"/>
              <w:rPr>
                <w:rFonts w:ascii="Arial" w:cs="Arial" w:eastAsia="Arial" w:hAnsi="Arial"/>
                <w:sz w:val="18"/>
                <w:szCs w:val="18"/>
                <w:color w:val="0000FF"/>
                <w:w w:val="96"/>
              </w:rPr>
            </w:pPr>
            <w:hyperlink r:id="rId45">
              <w:r>
                <w:rPr>
                  <w:rFonts w:ascii="Arial" w:cs="Arial" w:eastAsia="Arial" w:hAnsi="Arial"/>
                  <w:sz w:val="18"/>
                  <w:szCs w:val="18"/>
                  <w:color w:val="0000FF"/>
                  <w:w w:val="96"/>
                </w:rPr>
                <w:t>Articles of Amendment to Restated Articles of Incorporation. (Incorporated by reference to Exhibit 3.1 to Registrant's Current</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Report on Form 8-K filed on January 16, 2020.)</w:t>
              </w:r>
            </w:hyperlink>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gridSpan w:val="2"/>
            <w:shd w:val="clear" w:color="auto" w:fill="CCEEFF"/>
          </w:tcPr>
          <w:p>
            <w:pPr>
              <w:ind w:left="20"/>
              <w:spacing w:after="0" w:line="189" w:lineRule="exact"/>
              <w:rPr>
                <w:rFonts w:ascii="Arial" w:cs="Arial" w:eastAsia="Arial" w:hAnsi="Arial"/>
                <w:sz w:val="18"/>
                <w:szCs w:val="18"/>
                <w:color w:val="0000FF"/>
                <w:w w:val="87"/>
              </w:rPr>
            </w:pPr>
            <w:hyperlink r:id="rId4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20" w:type="dxa"/>
            <w:vAlign w:val="bottom"/>
            <w:tcBorders>
              <w:right w:val="single" w:sz="8" w:color="CCEEFF"/>
            </w:tcBorders>
            <w:gridSpan w:val="8"/>
            <w:shd w:val="clear" w:color="auto" w:fill="CCEEFF"/>
          </w:tcPr>
          <w:p>
            <w:pPr>
              <w:spacing w:after="0" w:line="189"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Amended and Restated Bylaws of Apogee Enterprises, Inc. (Incorporated by reference to Exhibit 3.3 to the Registrant’s Quarterly</w:t>
              </w:r>
            </w:hyperlink>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FF"/>
              <w:right w:val="single" w:sz="8" w:color="CCEEFF"/>
            </w:tcBorders>
            <w:gridSpan w:val="8"/>
            <w:shd w:val="clear" w:color="auto" w:fill="CCEEFF"/>
          </w:tcPr>
          <w:p>
            <w:pPr>
              <w:spacing w:after="0" w:line="169" w:lineRule="exact"/>
              <w:rPr>
                <w:rFonts w:ascii="Arial" w:cs="Arial" w:eastAsia="Arial" w:hAnsi="Arial"/>
                <w:sz w:val="18"/>
                <w:szCs w:val="18"/>
                <w:color w:val="0000FF"/>
              </w:rPr>
            </w:pPr>
            <w:hyperlink r:id="rId46">
              <w:r>
                <w:rPr>
                  <w:rFonts w:ascii="Arial" w:cs="Arial" w:eastAsia="Arial" w:hAnsi="Arial"/>
                  <w:sz w:val="18"/>
                  <w:szCs w:val="18"/>
                  <w:color w:val="0000FF"/>
                </w:rPr>
                <w:t>Report on Form 10-Q for the quarter-ended May 29, 2021).</w:t>
              </w:r>
            </w:hyperlink>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gridSpan w:val="3"/>
          </w:tcPr>
          <w:p>
            <w:pPr>
              <w:ind w:left="20"/>
              <w:spacing w:after="0" w:line="189" w:lineRule="exact"/>
              <w:rPr>
                <w:rFonts w:ascii="Arial" w:cs="Arial" w:eastAsia="Arial" w:hAnsi="Arial"/>
                <w:sz w:val="18"/>
                <w:szCs w:val="18"/>
                <w:color w:val="0000FF"/>
                <w:w w:val="85"/>
              </w:rPr>
            </w:pPr>
            <w:hyperlink r:id="rId4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20" w:type="dxa"/>
            <w:vAlign w:val="bottom"/>
            <w:gridSpan w:val="8"/>
          </w:tcPr>
          <w:p>
            <w:pPr>
              <w:spacing w:after="0" w:line="189"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Offer Letter dated March 2, 2023 between Apogee Enterprises, Inc. and Matthew J. Osberg. Incorporated by reference to Exhibit</w:t>
              </w:r>
            </w:hyperlink>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Registrant's Current Report on Form 8-K filed on March 2, 2023.</w:t>
              </w:r>
            </w:hyperlink>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88"/>
              </w:rPr>
              <w:t>31.</w:t>
            </w:r>
            <w:r>
              <w:rPr>
                <w:rFonts w:ascii="Arial" w:cs="Arial" w:eastAsia="Arial" w:hAnsi="Arial"/>
                <w:sz w:val="18"/>
                <w:szCs w:val="18"/>
                <w:u w:val="single" w:color="auto"/>
                <w:color w:val="0000FF"/>
                <w:w w:val="88"/>
              </w:rPr>
              <w:t>1#</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4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91"/>
              </w:rPr>
              <w:t>Certification of Chief Executive Officer pursuant to Rule 13a-14(a) under the Securities Exchange Act of 1934.</w:t>
            </w:r>
          </w:p>
        </w:tc>
        <w:tc>
          <w:tcPr>
            <w:tcW w:w="15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0" w:type="dxa"/>
            <w:vAlign w:val="bottom"/>
            <w:gridSpan w:val="4"/>
          </w:tcPr>
          <w:p>
            <w:pPr>
              <w:ind w:left="20"/>
              <w:spacing w:after="0" w:line="189" w:lineRule="exact"/>
              <w:rPr>
                <w:sz w:val="20"/>
                <w:szCs w:val="20"/>
                <w:color w:val="auto"/>
              </w:rPr>
            </w:pPr>
            <w:r>
              <w:rPr>
                <w:rFonts w:ascii="Arial" w:cs="Arial" w:eastAsia="Arial" w:hAnsi="Arial"/>
                <w:sz w:val="18"/>
                <w:szCs w:val="18"/>
                <w:color w:val="0000FF"/>
                <w:w w:val="88"/>
              </w:rPr>
              <w:t>31.</w:t>
            </w:r>
            <w:r>
              <w:rPr>
                <w:rFonts w:ascii="Arial" w:cs="Arial" w:eastAsia="Arial" w:hAnsi="Arial"/>
                <w:sz w:val="18"/>
                <w:szCs w:val="18"/>
                <w:u w:val="single" w:color="auto"/>
                <w:color w:val="0000FF"/>
                <w:w w:val="88"/>
              </w:rPr>
              <w:t>2#</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20" w:type="dxa"/>
            <w:vAlign w:val="bottom"/>
            <w:gridSpan w:val="8"/>
          </w:tcPr>
          <w:p>
            <w:pPr>
              <w:spacing w:after="0" w:line="189" w:lineRule="exact"/>
              <w:rPr>
                <w:sz w:val="20"/>
                <w:szCs w:val="20"/>
                <w:color w:val="auto"/>
              </w:rPr>
            </w:pPr>
            <w:r>
              <w:rPr>
                <w:rFonts w:ascii="Arial" w:cs="Arial" w:eastAsia="Arial" w:hAnsi="Arial"/>
                <w:sz w:val="18"/>
                <w:szCs w:val="18"/>
                <w:color w:val="0000FF"/>
              </w:rPr>
              <w:t>Certification of Chief Financial Officer pursuant to Rule 13a-14(a) under the Securities Exchange Act of 1934.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7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w w:val="88"/>
              </w:rPr>
              <w:t>32.</w:t>
            </w:r>
            <w:r>
              <w:rPr>
                <w:rFonts w:ascii="Arial" w:cs="Arial" w:eastAsia="Arial" w:hAnsi="Arial"/>
                <w:sz w:val="18"/>
                <w:szCs w:val="18"/>
                <w:u w:val="single" w:color="auto"/>
                <w:color w:val="0000FF"/>
                <w:w w:val="88"/>
              </w:rPr>
              <w:t>1#</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20" w:type="dxa"/>
            <w:vAlign w:val="bottom"/>
            <w:tcBorders>
              <w:right w:val="single" w:sz="8" w:color="CCEE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3"/>
              </w:rPr>
              <w:t>Certification of Chief Executive Officer pursuant to 18 U.S.C. Section 1350, as adopted pursuant to Section 906 of the Sarbanes-</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FF"/>
              <w:right w:val="single" w:sz="8" w:color="CCEEFF"/>
            </w:tcBorders>
            <w:gridSpan w:val="8"/>
            <w:shd w:val="clear" w:color="auto" w:fill="CCEEFF"/>
          </w:tcPr>
          <w:p>
            <w:pPr>
              <w:spacing w:after="0" w:line="169" w:lineRule="exact"/>
              <w:rPr>
                <w:sz w:val="20"/>
                <w:szCs w:val="20"/>
                <w:color w:val="auto"/>
              </w:rPr>
            </w:pPr>
            <w:r>
              <w:rPr>
                <w:rFonts w:ascii="Arial" w:cs="Arial" w:eastAsia="Arial" w:hAnsi="Arial"/>
                <w:sz w:val="18"/>
                <w:szCs w:val="18"/>
                <w:color w:val="0000FF"/>
              </w:rPr>
              <w:t>Oxley Act of 2002.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4"/>
          </w:tcPr>
          <w:p>
            <w:pPr>
              <w:ind w:left="20"/>
              <w:spacing w:after="0" w:line="189" w:lineRule="exact"/>
              <w:rPr>
                <w:sz w:val="20"/>
                <w:szCs w:val="20"/>
                <w:color w:val="auto"/>
              </w:rPr>
            </w:pPr>
            <w:r>
              <w:rPr>
                <w:rFonts w:ascii="Arial" w:cs="Arial" w:eastAsia="Arial" w:hAnsi="Arial"/>
                <w:sz w:val="18"/>
                <w:szCs w:val="18"/>
                <w:color w:val="0000FF"/>
                <w:w w:val="88"/>
              </w:rPr>
              <w:t>32.</w:t>
            </w:r>
            <w:r>
              <w:rPr>
                <w:rFonts w:ascii="Arial" w:cs="Arial" w:eastAsia="Arial" w:hAnsi="Arial"/>
                <w:sz w:val="18"/>
                <w:szCs w:val="18"/>
                <w:u w:val="single" w:color="auto"/>
                <w:color w:val="0000FF"/>
                <w:w w:val="88"/>
              </w:rPr>
              <w:t>2#</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20" w:type="dxa"/>
            <w:vAlign w:val="bottom"/>
            <w:gridSpan w:val="8"/>
          </w:tcPr>
          <w:p>
            <w:pPr>
              <w:spacing w:after="0" w:line="189" w:lineRule="exact"/>
              <w:rPr>
                <w:sz w:val="20"/>
                <w:szCs w:val="20"/>
                <w:color w:val="auto"/>
              </w:rPr>
            </w:pPr>
            <w:r>
              <w:rPr>
                <w:rFonts w:ascii="Arial" w:cs="Arial" w:eastAsia="Arial" w:hAnsi="Arial"/>
                <w:sz w:val="18"/>
                <w:szCs w:val="18"/>
                <w:color w:val="0000FF"/>
                <w:w w:val="94"/>
              </w:rPr>
              <w:t>Certification of Chief Financial Officer pursuant to 18 U.S.C. Section 1350, as adopted pursuant to Section 906 of the Sarbanes-</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2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Oxley Act of 2002.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101#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20" w:type="dxa"/>
            <w:vAlign w:val="bottom"/>
            <w:tcBorders>
              <w:right w:val="single" w:sz="8" w:color="CCEEFF"/>
            </w:tcBorders>
            <w:gridSpan w:val="8"/>
            <w:shd w:val="clear" w:color="auto" w:fill="CCEEFF"/>
          </w:tcPr>
          <w:p>
            <w:pPr>
              <w:spacing w:after="0" w:line="201" w:lineRule="exact"/>
              <w:rPr>
                <w:sz w:val="20"/>
                <w:szCs w:val="20"/>
                <w:color w:val="auto"/>
              </w:rPr>
            </w:pPr>
            <w:r>
              <w:rPr>
                <w:rFonts w:ascii="Arial" w:cs="Arial" w:eastAsia="Arial" w:hAnsi="Arial"/>
                <w:sz w:val="18"/>
                <w:szCs w:val="18"/>
                <w:color w:val="auto"/>
                <w:w w:val="97"/>
              </w:rPr>
              <w:t>The following materials from Apogee Enterprises, Inc.’s Quarterly Report on Form 10-Q for the quarter ended May 27, 2023,</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620" w:type="dxa"/>
            <w:vAlign w:val="bottom"/>
            <w:tcBorders>
              <w:right w:val="single" w:sz="8" w:color="CCEEFF"/>
            </w:tcBorders>
            <w:gridSpan w:val="8"/>
            <w:shd w:val="clear" w:color="auto" w:fill="CCEEFF"/>
          </w:tcPr>
          <w:p>
            <w:pPr>
              <w:spacing w:after="0" w:line="189" w:lineRule="exact"/>
              <w:rPr>
                <w:sz w:val="20"/>
                <w:szCs w:val="20"/>
                <w:color w:val="auto"/>
              </w:rPr>
            </w:pPr>
            <w:r>
              <w:rPr>
                <w:rFonts w:ascii="Arial" w:cs="Arial" w:eastAsia="Arial" w:hAnsi="Arial"/>
                <w:sz w:val="18"/>
                <w:szCs w:val="18"/>
                <w:color w:val="auto"/>
                <w:w w:val="92"/>
              </w:rPr>
              <w:t>formatted in iXBRL (Inline Extensible Business Reporting Language): (i) the Consolidated Balance Sheets as of May 27, 2023 and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20" w:type="dxa"/>
            <w:vAlign w:val="bottom"/>
            <w:tcBorders>
              <w:right w:val="single" w:sz="8" w:color="CCEEFF"/>
            </w:tcBorders>
            <w:gridSpan w:val="8"/>
            <w:shd w:val="clear" w:color="auto" w:fill="CCEEFF"/>
          </w:tcPr>
          <w:p>
            <w:pPr>
              <w:spacing w:after="0" w:line="202" w:lineRule="exact"/>
              <w:rPr>
                <w:sz w:val="20"/>
                <w:szCs w:val="20"/>
                <w:color w:val="auto"/>
              </w:rPr>
            </w:pPr>
            <w:r>
              <w:rPr>
                <w:rFonts w:ascii="Arial" w:cs="Arial" w:eastAsia="Arial" w:hAnsi="Arial"/>
                <w:sz w:val="18"/>
                <w:szCs w:val="18"/>
                <w:color w:val="auto"/>
                <w:w w:val="91"/>
              </w:rPr>
              <w:t>February 25, 2023, (ii) the Consolidated Results of Operations for the three-months ended May 27, 2023 and May 28, 2022, (iii) the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20" w:type="dxa"/>
            <w:vAlign w:val="bottom"/>
            <w:tcBorders>
              <w:right w:val="single" w:sz="8" w:color="CCEEFF"/>
            </w:tcBorders>
            <w:gridSpan w:val="8"/>
            <w:shd w:val="clear" w:color="auto" w:fill="CCEEFF"/>
          </w:tcPr>
          <w:p>
            <w:pPr>
              <w:spacing w:after="0" w:line="202" w:lineRule="exact"/>
              <w:rPr>
                <w:sz w:val="20"/>
                <w:szCs w:val="20"/>
                <w:color w:val="auto"/>
              </w:rPr>
            </w:pPr>
            <w:r>
              <w:rPr>
                <w:rFonts w:ascii="Arial" w:cs="Arial" w:eastAsia="Arial" w:hAnsi="Arial"/>
                <w:sz w:val="18"/>
                <w:szCs w:val="18"/>
                <w:color w:val="auto"/>
                <w:w w:val="97"/>
              </w:rPr>
              <w:t>Consolidated Statements of Comprehensive Earnings for the three-months ended May 27, 2023 and May 28, 2022, (iv) the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20" w:type="dxa"/>
            <w:vAlign w:val="bottom"/>
            <w:tcBorders>
              <w:right w:val="single" w:sz="8" w:color="CCEEFF"/>
            </w:tcBorders>
            <w:gridSpan w:val="8"/>
            <w:shd w:val="clear" w:color="auto" w:fill="CCEEFF"/>
          </w:tcPr>
          <w:p>
            <w:pPr>
              <w:spacing w:after="0" w:line="202" w:lineRule="exact"/>
              <w:rPr>
                <w:sz w:val="20"/>
                <w:szCs w:val="20"/>
                <w:color w:val="auto"/>
              </w:rPr>
            </w:pPr>
            <w:r>
              <w:rPr>
                <w:rFonts w:ascii="Arial" w:cs="Arial" w:eastAsia="Arial" w:hAnsi="Arial"/>
                <w:sz w:val="18"/>
                <w:szCs w:val="18"/>
                <w:color w:val="auto"/>
                <w:w w:val="98"/>
              </w:rPr>
              <w:t>Consolidated Statements of Cash Flows for the three-months ended May 27, 2023 and May 28, 2022, (v) the Consolidated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20" w:type="dxa"/>
            <w:vAlign w:val="bottom"/>
            <w:tcBorders>
              <w:right w:val="single" w:sz="8" w:color="CCEEFF"/>
            </w:tcBorders>
            <w:gridSpan w:val="8"/>
            <w:shd w:val="clear" w:color="auto" w:fill="CCEEFF"/>
          </w:tcPr>
          <w:p>
            <w:pPr>
              <w:spacing w:after="0" w:line="202" w:lineRule="exact"/>
              <w:rPr>
                <w:sz w:val="20"/>
                <w:szCs w:val="20"/>
                <w:color w:val="auto"/>
              </w:rPr>
            </w:pPr>
            <w:r>
              <w:rPr>
                <w:rFonts w:ascii="Arial" w:cs="Arial" w:eastAsia="Arial" w:hAnsi="Arial"/>
                <w:sz w:val="18"/>
                <w:szCs w:val="18"/>
                <w:color w:val="auto"/>
                <w:w w:val="94"/>
              </w:rPr>
              <w:t>Statements of Shareholders' Equity for the three-months ended May 27, 2023 and May 28, 2022, and (vi) Notes to Consolidated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96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 w:type="dxa"/>
            <w:vAlign w:val="bottom"/>
            <w:gridSpan w:val="4"/>
          </w:tcPr>
          <w:p>
            <w:pPr>
              <w:ind w:left="20"/>
              <w:spacing w:after="0"/>
              <w:rPr>
                <w:sz w:val="20"/>
                <w:szCs w:val="20"/>
                <w:color w:val="auto"/>
              </w:rPr>
            </w:pPr>
            <w:r>
              <w:rPr>
                <w:rFonts w:ascii="Arial" w:cs="Arial" w:eastAsia="Arial" w:hAnsi="Arial"/>
                <w:sz w:val="18"/>
                <w:szCs w:val="18"/>
                <w:color w:val="auto"/>
                <w:w w:val="99"/>
              </w:rPr>
              <w:t>104#</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62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Exhibits marked with a (#) sign are filed herewith.</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5"/>
          </w:tcPr>
          <w:p>
            <w:pPr>
              <w:jc w:val="right"/>
              <w:spacing w:after="0"/>
              <w:rPr>
                <w:sz w:val="20"/>
                <w:szCs w:val="20"/>
                <w:color w:val="auto"/>
              </w:rPr>
            </w:pPr>
            <w:r>
              <w:rPr>
                <w:rFonts w:ascii="Arial" w:cs="Arial" w:eastAsia="Arial" w:hAnsi="Arial"/>
                <w:sz w:val="18"/>
                <w:szCs w:val="18"/>
                <w:color w:val="auto"/>
              </w:rPr>
              <w:t>27</w:t>
            </w:r>
          </w:p>
        </w:tc>
        <w:tc>
          <w:tcPr>
            <w:tcW w:w="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8"/>
          <w:szCs w:val="18"/>
          <w:color w:val="auto"/>
        </w:rPr>
        <w:t>Date: June 28, 2023</w:t>
      </w:r>
      <w:r>
        <w:rPr>
          <w:sz w:val="20"/>
          <w:szCs w:val="20"/>
          <w:color w:val="auto"/>
        </w:rPr>
        <w:tab/>
      </w:r>
      <w:r>
        <w:rPr>
          <w:rFonts w:ascii="Arial" w:cs="Arial" w:eastAsia="Arial" w:hAnsi="Arial"/>
          <w:sz w:val="16"/>
          <w:szCs w:val="16"/>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36093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609340" cy="8890"/>
                    </a:xfrm>
                    <a:prstGeom prst="rect">
                      <a:avLst/>
                    </a:prstGeom>
                    <a:noFill/>
                  </pic:spPr>
                </pic:pic>
              </a:graphicData>
            </a:graphic>
          </wp:anchor>
        </w:drawing>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Ty R. Silberhorn</w:t>
      </w:r>
    </w:p>
    <w:p>
      <w:pPr>
        <w:ind w:left="6060"/>
        <w:spacing w:after="0" w:line="203" w:lineRule="auto"/>
        <w:rPr>
          <w:sz w:val="20"/>
          <w:szCs w:val="20"/>
          <w:color w:val="auto"/>
        </w:rPr>
      </w:pPr>
      <w:r>
        <w:rPr>
          <w:rFonts w:ascii="Arial" w:cs="Arial" w:eastAsia="Arial" w:hAnsi="Arial"/>
          <w:sz w:val="18"/>
          <w:szCs w:val="18"/>
          <w:color w:val="auto"/>
        </w:rPr>
        <w:t>President and Chief Executive Officer</w:t>
      </w:r>
    </w:p>
    <w:p>
      <w:pPr>
        <w:ind w:left="60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540" w:val="left"/>
        </w:tabs>
        <w:rPr>
          <w:sz w:val="20"/>
          <w:szCs w:val="20"/>
          <w:color w:val="auto"/>
        </w:rPr>
      </w:pPr>
      <w:r>
        <w:rPr>
          <w:rFonts w:ascii="Arial" w:cs="Arial" w:eastAsia="Arial" w:hAnsi="Arial"/>
          <w:sz w:val="18"/>
          <w:szCs w:val="18"/>
          <w:color w:val="auto"/>
        </w:rPr>
        <w:t>Date: June 28, 2023</w:t>
      </w:r>
      <w:r>
        <w:rPr>
          <w:sz w:val="20"/>
          <w:szCs w:val="20"/>
          <w:color w:val="auto"/>
        </w:rPr>
        <w:tab/>
      </w:r>
      <w:r>
        <w:rPr>
          <w:rFonts w:ascii="Arial" w:cs="Arial" w:eastAsia="Arial" w:hAnsi="Arial"/>
          <w:sz w:val="16"/>
          <w:szCs w:val="16"/>
          <w:color w:val="auto"/>
        </w:rPr>
        <w:t>By: /s/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175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Matthew J. Osberg</w:t>
      </w:r>
    </w:p>
    <w:p>
      <w:pPr>
        <w:ind w:left="6040"/>
        <w:spacing w:after="0" w:line="219" w:lineRule="auto"/>
        <w:rPr>
          <w:sz w:val="20"/>
          <w:szCs w:val="20"/>
          <w:color w:val="auto"/>
        </w:rPr>
      </w:pPr>
      <w:r>
        <w:rPr>
          <w:rFonts w:ascii="Arial" w:cs="Arial" w:eastAsia="Arial" w:hAnsi="Arial"/>
          <w:sz w:val="18"/>
          <w:szCs w:val="18"/>
          <w:color w:val="auto"/>
        </w:rPr>
        <w:t>Executive Vice President and Chief Financial Officer</w:t>
      </w:r>
    </w:p>
    <w:p>
      <w:pPr>
        <w:ind w:left="6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25" w:right="3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20" w:hanging="644"/>
        <w:spacing w:after="0" w:line="291"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20" w:hanging="652"/>
        <w:spacing w:after="0" w:line="311" w:lineRule="auto"/>
        <w:tabs>
          <w:tab w:leader="none" w:pos="195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60" w:hanging="652"/>
        <w:spacing w:after="0" w:line="286" w:lineRule="auto"/>
        <w:tabs>
          <w:tab w:leader="none" w:pos="1962"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2280" w:right="60" w:hanging="652"/>
        <w:spacing w:after="0" w:line="263" w:lineRule="auto"/>
        <w:tabs>
          <w:tab w:leader="none" w:pos="1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hanging="652"/>
        <w:spacing w:after="0" w:line="311" w:lineRule="auto"/>
        <w:tabs>
          <w:tab w:leader="none" w:pos="196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280" w:right="120" w:hanging="652"/>
        <w:spacing w:after="0" w:line="263" w:lineRule="auto"/>
        <w:tabs>
          <w:tab w:leader="none" w:pos="1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140" w:hanging="652"/>
        <w:spacing w:after="0" w:line="277" w:lineRule="auto"/>
        <w:tabs>
          <w:tab w:leader="none" w:pos="196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2023</w:t>
      </w:r>
    </w:p>
    <w:p>
      <w:pPr>
        <w:spacing w:after="0" w:line="7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40640</wp:posOffset>
            </wp:positionV>
            <wp:extent cx="27857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8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Ty R. Silberhorn</w:t>
      </w: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18"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Matthew J. Osberg, certify that:</w:t>
      </w:r>
    </w:p>
    <w:p>
      <w:pPr>
        <w:spacing w:after="0" w:line="11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20" w:hanging="644"/>
        <w:spacing w:after="0" w:line="29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0" w:hanging="652"/>
        <w:spacing w:after="0" w:line="311"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652"/>
        <w:spacing w:after="0" w:line="311"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jc w:val="both"/>
        <w:ind w:left="2280" w:hanging="652"/>
        <w:spacing w:after="0" w:line="263"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20" w:hanging="652"/>
        <w:spacing w:after="0" w:line="311"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280" w:right="280" w:hanging="652"/>
        <w:spacing w:after="0" w:line="263"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660" w:hanging="652"/>
        <w:spacing w:after="0" w:line="277"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2023</w:t>
      </w:r>
    </w:p>
    <w:p>
      <w:pPr>
        <w:spacing w:after="0" w:line="33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Matthew J. Osberg</w:t>
      </w: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the Quarterly Report of Apogee Enterprises, Inc. (the “Company”) on Form 10-Q for the period ended May 27, 2023 as filed with the Securities and Exchange Commission (the “Report”), I, Ty R. Silberhorn, President and Chief Executive Officer of the Company, certify, pursuant to 18 U.S.C. § 1350, as adopted pursuant to § 906 of the Sarbanes-Oxley Act of 2002, that based on my knowledge:</w:t>
      </w:r>
    </w:p>
    <w:p>
      <w:pPr>
        <w:spacing w:after="0" w:line="1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63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Ty R. Silberhorn</w:t>
      </w: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28, 2023</w:t>
      </w:r>
    </w:p>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of Apogee Enterprises, Inc. (the “Company”) on Form 10-Q for the period ended May 27, 2023 as filed with the Securities and Exchange Commission (the “Report”), I, Matthew J. Osberg, Executive Vice President and Chief Financial Officer of the Company, certify, pursuant to 18 U.S.C. § 1350, as adopted pursuant to § 906 of the Sarbanes-Oxley Act of 2002, that based on my knowledge:</w:t>
      </w:r>
    </w:p>
    <w:p>
      <w:pPr>
        <w:spacing w:after="0" w:line="11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63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J. Osberg</w:t>
      </w: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28,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44" Type="http://schemas.openxmlformats.org/officeDocument/2006/relationships/hyperlink" Target="http://www.sec.gov/Archives/edgar/data/6845/000119312504079352/dex31.htm" TargetMode="External"/><Relationship Id="rId45" Type="http://schemas.openxmlformats.org/officeDocument/2006/relationships/hyperlink" Target="http://www.sec.gov/Archives/edgar/data/6845/000119312520008887/d874518dex31.htm" TargetMode="External"/><Relationship Id="rId46" Type="http://schemas.openxmlformats.org/officeDocument/2006/relationships/hyperlink" Target="http://www.sec.gov/Archives/edgar/data/0000006845/000000684521000020/apog-ex33arbylawsfinalapri.htm" TargetMode="External"/><Relationship Id="rId47" Type="http://schemas.openxmlformats.org/officeDocument/2006/relationships/hyperlink" Target="http://www.sec.gov/Archives/edgar/data/6845/000119312523064639/d45822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2023-06-28T16:50:19Z</dcterms:created>
  <dcterms:modified xsi:type="dcterms:W3CDTF">2023-06-28T16:50:19Z</dcterms:modified>
</cp:coreProperties>
</file>