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576580</wp:posOffset>
            </wp:positionH>
            <wp:positionV relativeFrom="page">
              <wp:posOffset>782955</wp:posOffset>
            </wp:positionV>
            <wp:extent cx="63950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95085" cy="8255"/>
                    </a:xfrm>
                    <a:prstGeom prst="rect">
                      <a:avLst/>
                    </a:prstGeom>
                    <a:noFill/>
                  </pic:spPr>
                </pic:pic>
              </a:graphicData>
            </a:graphic>
          </wp:anchor>
        </w:drawing>
        <w:drawing>
          <wp:anchor simplePos="0" relativeHeight="251657728" behindDoc="1" locked="0" layoutInCell="0" allowOverlap="1">
            <wp:simplePos x="0" y="0"/>
            <wp:positionH relativeFrom="page">
              <wp:posOffset>576580</wp:posOffset>
            </wp:positionH>
            <wp:positionV relativeFrom="page">
              <wp:posOffset>688975</wp:posOffset>
            </wp:positionV>
            <wp:extent cx="63950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9508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14A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Proxy Statement Pursuant to Section 14(a) of the</w:t>
      </w:r>
    </w:p>
    <w:p>
      <w:pPr>
        <w:jc w:val="center"/>
        <w:spacing w:after="0" w:line="234" w:lineRule="auto"/>
        <w:rPr>
          <w:sz w:val="20"/>
          <w:szCs w:val="20"/>
          <w:color w:val="auto"/>
        </w:rPr>
      </w:pPr>
      <w:r>
        <w:rPr>
          <w:rFonts w:ascii="Arial" w:cs="Arial" w:eastAsia="Arial" w:hAnsi="Arial"/>
          <w:sz w:val="18"/>
          <w:szCs w:val="18"/>
          <w:b w:val="1"/>
          <w:bCs w:val="1"/>
          <w:color w:val="auto"/>
        </w:rPr>
        <w:t>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18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rFonts w:ascii="Arial" w:cs="Arial" w:eastAsia="Arial" w:hAnsi="Arial"/>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860" w:hanging="83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860" w:hanging="83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860" w:hanging="83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71" w:lineRule="exact"/>
        <w:rPr>
          <w:sz w:val="24"/>
          <w:szCs w:val="24"/>
          <w:color w:val="auto"/>
        </w:rPr>
      </w:pPr>
    </w:p>
    <w:p>
      <w:pPr>
        <w:ind w:left="860" w:hanging="834"/>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71" w:lineRule="exact"/>
        <w:rPr>
          <w:sz w:val="24"/>
          <w:szCs w:val="24"/>
          <w:color w:val="auto"/>
        </w:rPr>
      </w:pPr>
    </w:p>
    <w:p>
      <w:pPr>
        <w:ind w:left="860" w:hanging="834"/>
        <w:spacing w:after="0"/>
        <w:tabs>
          <w:tab w:leader="none" w:pos="8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32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Apogee Enterprises,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7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00" w:lineRule="exact"/>
        <w:rPr>
          <w:sz w:val="24"/>
          <w:szCs w:val="24"/>
          <w:color w:val="auto"/>
        </w:rPr>
      </w:pPr>
    </w:p>
    <w:p>
      <w:pPr>
        <w:spacing w:after="0" w:line="282" w:lineRule="exact"/>
        <w:rPr>
          <w:sz w:val="24"/>
          <w:szCs w:val="24"/>
          <w:color w:val="auto"/>
        </w:rPr>
      </w:pPr>
    </w:p>
    <w:p>
      <w:pPr>
        <w:ind w:left="600" w:hanging="574"/>
        <w:spacing w:after="0"/>
        <w:tabs>
          <w:tab w:leader="none" w:pos="6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600" w:hanging="574"/>
        <w:spacing w:after="0"/>
        <w:tabs>
          <w:tab w:leader="none" w:pos="6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600" w:hanging="574"/>
        <w:spacing w:after="0"/>
        <w:tabs>
          <w:tab w:leader="none" w:pos="6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w:t>
      </w:r>
    </w:p>
    <w:p>
      <w:pPr>
        <w:spacing w:after="0" w:line="27" w:lineRule="exact"/>
        <w:rPr>
          <w:rFonts w:ascii="MS PGothic" w:cs="MS PGothic" w:eastAsia="MS PGothic" w:hAnsi="MS PGothic"/>
          <w:sz w:val="18"/>
          <w:szCs w:val="18"/>
          <w:color w:val="auto"/>
        </w:rPr>
      </w:pPr>
    </w:p>
    <w:p>
      <w:pPr>
        <w:ind w:left="600"/>
        <w:spacing w:after="0"/>
        <w:rPr>
          <w:rFonts w:ascii="MS PGothic" w:cs="MS PGothic" w:eastAsia="MS PGothic" w:hAnsi="MS PGothic"/>
          <w:sz w:val="18"/>
          <w:szCs w:val="18"/>
          <w:color w:val="auto"/>
        </w:rPr>
      </w:pPr>
      <w:r>
        <w:rPr>
          <w:rFonts w:ascii="Arial" w:cs="Arial" w:eastAsia="Arial" w:hAnsi="Arial"/>
          <w:sz w:val="18"/>
          <w:szCs w:val="18"/>
          <w:color w:val="auto"/>
        </w:rPr>
        <w:t>(1) and 0-11</w:t>
      </w:r>
    </w:p>
    <w:p>
      <w:pPr>
        <w:spacing w:after="0" w:line="3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17"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This Amendment No. 1 to the Definitive Proxy Statement on Schedule 14A filed by Apogee Enterprises, Inc. (the "Company") with the United States Securities and Exchange Commission on May 9, 2024 (the "Proxy Statement") amends the Proxy Statement, solely to correct the table set forth on page 88 reporting Fees Paid to Independent Registered Public Accounting Firm which incorrectly reflected information from the Company's Fiscal 2022 in the Fiscal 2023 column. The Fiscal 2023 column has been updated to reflect amounts as previously correctly reported in the Company's Fiscal 2023 Definitive Proxy Statement filed on May 12,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AMENDMENT TO ORIGINAL FILING</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table of fees incurred for professional services provided by Deloitte &amp; Touche LLP, the member firms of Deloitte Tohmatsu, and their respective affiliates (collectively, the "Deloitte Entities") on page 88 is amended and restated in its entirety to read as follows:</w:t>
      </w:r>
    </w:p>
    <w:p>
      <w:pPr>
        <w:spacing w:after="0" w:line="99" w:lineRule="exact"/>
        <w:rPr>
          <w:sz w:val="20"/>
          <w:szCs w:val="20"/>
          <w:color w:val="auto"/>
        </w:rPr>
      </w:pPr>
    </w:p>
    <w:tbl>
      <w:tblPr>
        <w:tblLayout w:type="fixed"/>
        <w:tblInd w:w="1300" w:type="dxa"/>
        <w:tblCellMar>
          <w:top w:w="0" w:type="dxa"/>
          <w:left w:w="0" w:type="dxa"/>
          <w:bottom w:w="0" w:type="dxa"/>
          <w:right w:w="0" w:type="dxa"/>
        </w:tblCellMar>
      </w:tblPr>
      <w:tr>
        <w:trPr>
          <w:trHeight w:val="255"/>
        </w:trPr>
        <w:tc>
          <w:tcPr>
            <w:tcW w:w="4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b w:val="1"/>
                <w:bCs w:val="1"/>
                <w:color w:val="05445E"/>
              </w:rPr>
              <w:t>Fiscal 2024</w:t>
            </w:r>
          </w:p>
        </w:tc>
        <w:tc>
          <w:tcPr>
            <w:tcW w:w="240" w:type="dxa"/>
            <w:vAlign w:val="bottom"/>
          </w:tcPr>
          <w:p>
            <w:pPr>
              <w:spacing w:after="0"/>
              <w:rPr>
                <w:sz w:val="22"/>
                <w:szCs w:val="22"/>
                <w:color w:val="auto"/>
              </w:rPr>
            </w:pPr>
          </w:p>
        </w:tc>
        <w:tc>
          <w:tcPr>
            <w:tcW w:w="1440" w:type="dxa"/>
            <w:vAlign w:val="bottom"/>
          </w:tcPr>
          <w:p>
            <w:pPr>
              <w:jc w:val="right"/>
              <w:ind w:right="270"/>
              <w:spacing w:after="0"/>
              <w:rPr>
                <w:sz w:val="20"/>
                <w:szCs w:val="20"/>
                <w:color w:val="auto"/>
              </w:rPr>
            </w:pPr>
            <w:r>
              <w:rPr>
                <w:rFonts w:ascii="Arial" w:cs="Arial" w:eastAsia="Arial" w:hAnsi="Arial"/>
                <w:sz w:val="18"/>
                <w:szCs w:val="18"/>
                <w:b w:val="1"/>
                <w:bCs w:val="1"/>
                <w:color w:val="05445E"/>
              </w:rPr>
              <w:t>Fiscal 2023</w:t>
            </w:r>
          </w:p>
        </w:tc>
      </w:tr>
      <w:tr>
        <w:trPr>
          <w:trHeight w:val="250"/>
        </w:trPr>
        <w:tc>
          <w:tcPr>
            <w:tcW w:w="4680" w:type="dxa"/>
            <w:vAlign w:val="bottom"/>
            <w:tcBorders>
              <w:top w:val="single" w:sz="8" w:color="D9D9D9"/>
              <w:bottom w:val="single" w:sz="8" w:color="D9D9D9"/>
            </w:tcBorders>
            <w:shd w:val="clear" w:color="auto" w:fill="D9D9D9"/>
          </w:tcPr>
          <w:p>
            <w:pPr>
              <w:ind w:left="20"/>
              <w:spacing w:after="0"/>
              <w:rPr>
                <w:sz w:val="20"/>
                <w:szCs w:val="20"/>
                <w:color w:val="auto"/>
              </w:rPr>
            </w:pPr>
            <w:r>
              <w:rPr>
                <w:rFonts w:ascii="Arial" w:cs="Arial" w:eastAsia="Arial" w:hAnsi="Arial"/>
                <w:sz w:val="18"/>
                <w:szCs w:val="18"/>
                <w:color w:val="auto"/>
              </w:rPr>
              <w:t>Audit Fees(1)</w:t>
            </w:r>
          </w:p>
        </w:tc>
        <w:tc>
          <w:tcPr>
            <w:tcW w:w="200" w:type="dxa"/>
            <w:vAlign w:val="bottom"/>
            <w:tcBorders>
              <w:top w:val="single" w:sz="8" w:color="auto"/>
              <w:bottom w:val="single" w:sz="8" w:color="D9D9D9"/>
            </w:tcBorders>
            <w:shd w:val="clear" w:color="auto" w:fill="D9D9D9"/>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D9D9D9"/>
            </w:tcBorders>
            <w:shd w:val="clear" w:color="auto" w:fill="D9D9D9"/>
          </w:tcPr>
          <w:p>
            <w:pPr>
              <w:jc w:val="right"/>
              <w:spacing w:after="0"/>
              <w:rPr>
                <w:sz w:val="20"/>
                <w:szCs w:val="20"/>
                <w:color w:val="auto"/>
              </w:rPr>
            </w:pPr>
            <w:r>
              <w:rPr>
                <w:rFonts w:ascii="Arial" w:cs="Arial" w:eastAsia="Arial" w:hAnsi="Arial"/>
                <w:sz w:val="18"/>
                <w:szCs w:val="18"/>
                <w:color w:val="auto"/>
              </w:rPr>
              <w:t>2,024,284</w:t>
            </w:r>
          </w:p>
        </w:tc>
        <w:tc>
          <w:tcPr>
            <w:tcW w:w="80" w:type="dxa"/>
            <w:vAlign w:val="bottom"/>
            <w:tcBorders>
              <w:top w:val="single" w:sz="8" w:color="D9D9D9"/>
              <w:bottom w:val="single" w:sz="8" w:color="D9D9D9"/>
            </w:tcBorders>
            <w:shd w:val="clear" w:color="auto" w:fill="D9D9D9"/>
          </w:tcPr>
          <w:p>
            <w:pPr>
              <w:spacing w:after="0"/>
              <w:rPr>
                <w:sz w:val="21"/>
                <w:szCs w:val="21"/>
                <w:color w:val="auto"/>
              </w:rPr>
            </w:pPr>
          </w:p>
        </w:tc>
        <w:tc>
          <w:tcPr>
            <w:tcW w:w="240" w:type="dxa"/>
            <w:vAlign w:val="bottom"/>
            <w:tcBorders>
              <w:top w:val="single" w:sz="8" w:color="auto"/>
              <w:bottom w:val="single" w:sz="8" w:color="D9D9D9"/>
            </w:tcBorders>
            <w:shd w:val="clear" w:color="auto" w:fill="D9D9D9"/>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D9D9D9"/>
            </w:tcBorders>
            <w:shd w:val="clear" w:color="auto" w:fill="D9D9D9"/>
          </w:tcPr>
          <w:p>
            <w:pPr>
              <w:jc w:val="right"/>
              <w:spacing w:after="0"/>
              <w:rPr>
                <w:sz w:val="20"/>
                <w:szCs w:val="20"/>
                <w:color w:val="auto"/>
              </w:rPr>
            </w:pPr>
            <w:r>
              <w:rPr>
                <w:rFonts w:ascii="Arial" w:cs="Arial" w:eastAsia="Arial" w:hAnsi="Arial"/>
                <w:sz w:val="18"/>
                <w:szCs w:val="18"/>
                <w:color w:val="auto"/>
              </w:rPr>
              <w:t>2,160,865</w:t>
            </w:r>
          </w:p>
        </w:tc>
      </w:tr>
      <w:tr>
        <w:trPr>
          <w:trHeight w:val="261"/>
        </w:trPr>
        <w:tc>
          <w:tcPr>
            <w:tcW w:w="4680" w:type="dxa"/>
            <w:vAlign w:val="bottom"/>
          </w:tcPr>
          <w:p>
            <w:pPr>
              <w:ind w:left="20"/>
              <w:spacing w:after="0"/>
              <w:rPr>
                <w:sz w:val="20"/>
                <w:szCs w:val="20"/>
                <w:color w:val="auto"/>
              </w:rPr>
            </w:pPr>
            <w:r>
              <w:rPr>
                <w:rFonts w:ascii="Arial" w:cs="Arial" w:eastAsia="Arial" w:hAnsi="Arial"/>
                <w:sz w:val="18"/>
                <w:szCs w:val="18"/>
                <w:color w:val="auto"/>
              </w:rPr>
              <w:t>Audit-Related Fees(2)</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37,200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38,000</w:t>
            </w:r>
          </w:p>
        </w:tc>
      </w:tr>
      <w:tr>
        <w:trPr>
          <w:trHeight w:val="23"/>
        </w:trPr>
        <w:tc>
          <w:tcPr>
            <w:tcW w:w="4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64"/>
        </w:trPr>
        <w:tc>
          <w:tcPr>
            <w:tcW w:w="468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8"/>
                <w:szCs w:val="18"/>
                <w:color w:val="auto"/>
              </w:rPr>
              <w:t>Tax Fees(3)</w:t>
            </w:r>
          </w:p>
        </w:tc>
        <w:tc>
          <w:tcPr>
            <w:tcW w:w="200" w:type="dxa"/>
            <w:vAlign w:val="bottom"/>
            <w:tcBorders>
              <w:bottom w:val="single" w:sz="8" w:color="D9D9D9"/>
            </w:tcBorders>
            <w:shd w:val="clear" w:color="auto" w:fill="D9D9D9"/>
          </w:tcPr>
          <w:p>
            <w:pPr>
              <w:spacing w:after="0"/>
              <w:rPr>
                <w:sz w:val="22"/>
                <w:szCs w:val="22"/>
                <w:color w:val="auto"/>
              </w:rPr>
            </w:pPr>
          </w:p>
        </w:tc>
        <w:tc>
          <w:tcPr>
            <w:tcW w:w="1340" w:type="dxa"/>
            <w:vAlign w:val="bottom"/>
            <w:tcBorders>
              <w:bottom w:val="single" w:sz="8" w:color="D9D9D9"/>
            </w:tcBorders>
            <w:shd w:val="clear" w:color="auto" w:fill="D9D9D9"/>
          </w:tcPr>
          <w:p>
            <w:pPr>
              <w:jc w:val="right"/>
              <w:spacing w:after="0"/>
              <w:rPr>
                <w:sz w:val="20"/>
                <w:szCs w:val="20"/>
                <w:color w:val="auto"/>
              </w:rPr>
            </w:pPr>
            <w:r>
              <w:rPr>
                <w:rFonts w:ascii="Arial" w:cs="Arial" w:eastAsia="Arial" w:hAnsi="Arial"/>
                <w:sz w:val="18"/>
                <w:szCs w:val="18"/>
                <w:color w:val="auto"/>
              </w:rPr>
              <w:t>281,348</w:t>
            </w:r>
          </w:p>
        </w:tc>
        <w:tc>
          <w:tcPr>
            <w:tcW w:w="80" w:type="dxa"/>
            <w:vAlign w:val="bottom"/>
            <w:tcBorders>
              <w:bottom w:val="single" w:sz="8" w:color="D9D9D9"/>
            </w:tcBorders>
            <w:shd w:val="clear" w:color="auto" w:fill="D9D9D9"/>
          </w:tcPr>
          <w:p>
            <w:pPr>
              <w:spacing w:after="0"/>
              <w:rPr>
                <w:sz w:val="22"/>
                <w:szCs w:val="22"/>
                <w:color w:val="auto"/>
              </w:rPr>
            </w:pPr>
          </w:p>
        </w:tc>
        <w:tc>
          <w:tcPr>
            <w:tcW w:w="240" w:type="dxa"/>
            <w:vAlign w:val="bottom"/>
            <w:tcBorders>
              <w:bottom w:val="single" w:sz="8" w:color="D9D9D9"/>
            </w:tcBorders>
            <w:shd w:val="clear" w:color="auto" w:fill="D9D9D9"/>
          </w:tcPr>
          <w:p>
            <w:pPr>
              <w:spacing w:after="0"/>
              <w:rPr>
                <w:sz w:val="22"/>
                <w:szCs w:val="22"/>
                <w:color w:val="auto"/>
              </w:rPr>
            </w:pPr>
          </w:p>
        </w:tc>
        <w:tc>
          <w:tcPr>
            <w:tcW w:w="1440" w:type="dxa"/>
            <w:vAlign w:val="bottom"/>
            <w:tcBorders>
              <w:bottom w:val="single" w:sz="8" w:color="D9D9D9"/>
            </w:tcBorders>
            <w:shd w:val="clear" w:color="auto" w:fill="D9D9D9"/>
          </w:tcPr>
          <w:p>
            <w:pPr>
              <w:jc w:val="right"/>
              <w:spacing w:after="0"/>
              <w:rPr>
                <w:sz w:val="20"/>
                <w:szCs w:val="20"/>
                <w:color w:val="auto"/>
              </w:rPr>
            </w:pPr>
            <w:r>
              <w:rPr>
                <w:rFonts w:ascii="Arial" w:cs="Arial" w:eastAsia="Arial" w:hAnsi="Arial"/>
                <w:sz w:val="18"/>
                <w:szCs w:val="18"/>
                <w:color w:val="auto"/>
              </w:rPr>
              <w:t>745,207</w:t>
            </w:r>
          </w:p>
        </w:tc>
      </w:tr>
      <w:tr>
        <w:trPr>
          <w:trHeight w:val="260"/>
        </w:trPr>
        <w:tc>
          <w:tcPr>
            <w:tcW w:w="4680" w:type="dxa"/>
            <w:vAlign w:val="bottom"/>
          </w:tcPr>
          <w:p>
            <w:pPr>
              <w:ind w:left="20"/>
              <w:spacing w:after="0"/>
              <w:rPr>
                <w:sz w:val="20"/>
                <w:szCs w:val="20"/>
                <w:color w:val="auto"/>
              </w:rPr>
            </w:pPr>
            <w:r>
              <w:rPr>
                <w:rFonts w:ascii="Arial" w:cs="Arial" w:eastAsia="Arial" w:hAnsi="Arial"/>
                <w:sz w:val="18"/>
                <w:szCs w:val="18"/>
                <w:color w:val="auto"/>
              </w:rPr>
              <w:t>All Other Fees(4)</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1,895</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1,895</w:t>
            </w:r>
          </w:p>
        </w:tc>
      </w:tr>
      <w:tr>
        <w:trPr>
          <w:trHeight w:val="23"/>
        </w:trPr>
        <w:tc>
          <w:tcPr>
            <w:tcW w:w="4680" w:type="dxa"/>
            <w:vAlign w:val="bottom"/>
            <w:tcBorders>
              <w:bottom w:val="single" w:sz="8" w:color="D9D9D9"/>
            </w:tcBorders>
          </w:tcPr>
          <w:p>
            <w:pPr>
              <w:spacing w:after="0"/>
              <w:rPr>
                <w:sz w:val="2"/>
                <w:szCs w:val="2"/>
                <w:color w:val="auto"/>
              </w:rPr>
            </w:pPr>
          </w:p>
        </w:tc>
        <w:tc>
          <w:tcPr>
            <w:tcW w:w="200" w:type="dxa"/>
            <w:vAlign w:val="bottom"/>
            <w:tcBorders>
              <w:bottom w:val="single" w:sz="8" w:color="242424"/>
            </w:tcBorders>
          </w:tcPr>
          <w:p>
            <w:pPr>
              <w:spacing w:after="0"/>
              <w:rPr>
                <w:sz w:val="2"/>
                <w:szCs w:val="2"/>
                <w:color w:val="auto"/>
              </w:rPr>
            </w:pPr>
          </w:p>
        </w:tc>
        <w:tc>
          <w:tcPr>
            <w:tcW w:w="1340" w:type="dxa"/>
            <w:vAlign w:val="bottom"/>
            <w:tcBorders>
              <w:bottom w:val="single" w:sz="8" w:color="242424"/>
            </w:tcBorders>
          </w:tcPr>
          <w:p>
            <w:pPr>
              <w:spacing w:after="0"/>
              <w:rPr>
                <w:sz w:val="2"/>
                <w:szCs w:val="2"/>
                <w:color w:val="auto"/>
              </w:rPr>
            </w:pPr>
          </w:p>
        </w:tc>
        <w:tc>
          <w:tcPr>
            <w:tcW w:w="80" w:type="dxa"/>
            <w:vAlign w:val="bottom"/>
            <w:tcBorders>
              <w:bottom w:val="single" w:sz="8" w:color="D9D9D9"/>
            </w:tcBorders>
          </w:tcPr>
          <w:p>
            <w:pPr>
              <w:spacing w:after="0"/>
              <w:rPr>
                <w:sz w:val="2"/>
                <w:szCs w:val="2"/>
                <w:color w:val="auto"/>
              </w:rPr>
            </w:pPr>
          </w:p>
        </w:tc>
        <w:tc>
          <w:tcPr>
            <w:tcW w:w="240" w:type="dxa"/>
            <w:vAlign w:val="bottom"/>
            <w:tcBorders>
              <w:bottom w:val="single" w:sz="8" w:color="242424"/>
            </w:tcBorders>
          </w:tcPr>
          <w:p>
            <w:pPr>
              <w:spacing w:after="0"/>
              <w:rPr>
                <w:sz w:val="2"/>
                <w:szCs w:val="2"/>
                <w:color w:val="auto"/>
              </w:rPr>
            </w:pPr>
          </w:p>
        </w:tc>
        <w:tc>
          <w:tcPr>
            <w:tcW w:w="1440" w:type="dxa"/>
            <w:vAlign w:val="bottom"/>
            <w:tcBorders>
              <w:bottom w:val="single" w:sz="8" w:color="242424"/>
            </w:tcBorders>
          </w:tcPr>
          <w:p>
            <w:pPr>
              <w:spacing w:after="0"/>
              <w:rPr>
                <w:sz w:val="2"/>
                <w:szCs w:val="2"/>
                <w:color w:val="auto"/>
              </w:rPr>
            </w:pPr>
          </w:p>
        </w:tc>
      </w:tr>
      <w:tr>
        <w:trPr>
          <w:trHeight w:val="288"/>
        </w:trPr>
        <w:tc>
          <w:tcPr>
            <w:tcW w:w="468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2,344,727</w:t>
            </w:r>
          </w:p>
        </w:tc>
        <w:tc>
          <w:tcPr>
            <w:tcW w:w="80" w:type="dxa"/>
            <w:vAlign w:val="bottom"/>
            <w:tcBorders>
              <w:bottom w:val="single" w:sz="8" w:color="D9D9D9"/>
            </w:tcBorders>
            <w:shd w:val="clear" w:color="auto" w:fill="D9D9D9"/>
          </w:tcPr>
          <w:p>
            <w:pPr>
              <w:spacing w:after="0"/>
              <w:rPr>
                <w:sz w:val="24"/>
                <w:szCs w:val="24"/>
                <w:color w:val="auto"/>
              </w:rPr>
            </w:pPr>
          </w:p>
        </w:tc>
        <w:tc>
          <w:tcPr>
            <w:tcW w:w="240" w:type="dxa"/>
            <w:vAlign w:val="bottom"/>
            <w:tcBorders>
              <w:bottom w:val="single" w:sz="8" w:color="auto"/>
            </w:tcBorders>
            <w:shd w:val="clear" w:color="auto" w:fill="D9D9D9"/>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2,945,967</w:t>
            </w:r>
          </w:p>
        </w:tc>
      </w:tr>
      <w:tr>
        <w:trPr>
          <w:trHeight w:val="20"/>
        </w:trPr>
        <w:tc>
          <w:tcPr>
            <w:tcW w:w="4680" w:type="dxa"/>
            <w:vAlign w:val="bottom"/>
            <w:tcBorders>
              <w:top w:val="single" w:sz="8" w:color="D9D9D9"/>
            </w:tcBorders>
          </w:tcPr>
          <w:p>
            <w:pPr>
              <w:spacing w:after="0" w:line="20" w:lineRule="exact"/>
              <w:rPr>
                <w:sz w:val="1"/>
                <w:szCs w:val="1"/>
                <w:color w:val="auto"/>
              </w:rPr>
            </w:pPr>
          </w:p>
        </w:tc>
        <w:tc>
          <w:tcPr>
            <w:tcW w:w="200" w:type="dxa"/>
            <w:vAlign w:val="bottom"/>
            <w:tcBorders>
              <w:top w:val="single" w:sz="8" w:color="D9D9D9"/>
              <w:bottom w:val="single" w:sz="8" w:color="auto"/>
            </w:tcBorders>
          </w:tcPr>
          <w:p>
            <w:pPr>
              <w:spacing w:after="0" w:line="20" w:lineRule="exact"/>
              <w:rPr>
                <w:sz w:val="1"/>
                <w:szCs w:val="1"/>
                <w:color w:val="auto"/>
              </w:rPr>
            </w:pPr>
          </w:p>
        </w:tc>
        <w:tc>
          <w:tcPr>
            <w:tcW w:w="1340" w:type="dxa"/>
            <w:vAlign w:val="bottom"/>
            <w:tcBorders>
              <w:top w:val="single" w:sz="8" w:color="D9D9D9"/>
              <w:bottom w:val="single" w:sz="8" w:color="auto"/>
            </w:tcBorders>
          </w:tcPr>
          <w:p>
            <w:pPr>
              <w:spacing w:after="0" w:line="20" w:lineRule="exact"/>
              <w:rPr>
                <w:sz w:val="1"/>
                <w:szCs w:val="1"/>
                <w:color w:val="auto"/>
              </w:rPr>
            </w:pPr>
          </w:p>
        </w:tc>
        <w:tc>
          <w:tcPr>
            <w:tcW w:w="80" w:type="dxa"/>
            <w:vAlign w:val="bottom"/>
            <w:tcBorders>
              <w:top w:val="single" w:sz="8" w:color="D9D9D9"/>
            </w:tcBorders>
          </w:tcPr>
          <w:p>
            <w:pPr>
              <w:spacing w:after="0" w:line="20" w:lineRule="exact"/>
              <w:rPr>
                <w:sz w:val="1"/>
                <w:szCs w:val="1"/>
                <w:color w:val="auto"/>
              </w:rPr>
            </w:pPr>
          </w:p>
        </w:tc>
        <w:tc>
          <w:tcPr>
            <w:tcW w:w="240" w:type="dxa"/>
            <w:vAlign w:val="bottom"/>
            <w:tcBorders>
              <w:top w:val="single" w:sz="8" w:color="D9D9D9"/>
              <w:bottom w:val="single" w:sz="8" w:color="auto"/>
            </w:tcBorders>
          </w:tcPr>
          <w:p>
            <w:pPr>
              <w:spacing w:after="0" w:line="20" w:lineRule="exact"/>
              <w:rPr>
                <w:sz w:val="1"/>
                <w:szCs w:val="1"/>
                <w:color w:val="auto"/>
              </w:rPr>
            </w:pPr>
          </w:p>
        </w:tc>
        <w:tc>
          <w:tcPr>
            <w:tcW w:w="1440" w:type="dxa"/>
            <w:vAlign w:val="bottom"/>
            <w:tcBorders>
              <w:top w:val="single" w:sz="8" w:color="D9D9D9"/>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-574040</wp:posOffset>
            </wp:positionV>
            <wp:extent cx="2091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1"/>
          <w:szCs w:val="11"/>
          <w:color w:val="auto"/>
        </w:rPr>
        <w:t>___________________________</w:t>
      </w:r>
    </w:p>
    <w:p>
      <w:pPr>
        <w:spacing w:after="0" w:line="97" w:lineRule="exact"/>
        <w:rPr>
          <w:sz w:val="20"/>
          <w:szCs w:val="20"/>
          <w:color w:val="auto"/>
        </w:rPr>
      </w:pPr>
    </w:p>
    <w:p>
      <w:pPr>
        <w:jc w:val="both"/>
        <w:ind w:left="1800" w:hanging="496"/>
        <w:spacing w:after="0" w:line="268" w:lineRule="auto"/>
        <w:tabs>
          <w:tab w:leader="none" w:pos="1790" w:val="left"/>
        </w:tabs>
        <w:numPr>
          <w:ilvl w:val="0"/>
          <w:numId w:val="6"/>
        </w:numPr>
        <w:rPr>
          <w:rFonts w:ascii="Arial" w:cs="Arial" w:eastAsia="Arial" w:hAnsi="Arial"/>
          <w:sz w:val="18"/>
          <w:szCs w:val="18"/>
          <w:color w:val="auto"/>
        </w:rPr>
      </w:pPr>
      <w:r>
        <w:rPr>
          <w:rFonts w:ascii="Arial" w:cs="Arial" w:eastAsia="Arial" w:hAnsi="Arial"/>
          <w:sz w:val="18"/>
          <w:szCs w:val="18"/>
          <w:color w:val="auto"/>
        </w:rPr>
        <w:t>Audit fees consisted primarily of audit work related to preparation of our annual financial statements, audit of internal controls over financial reporting, review of the quarterly financial statements included in our quarterly reports on Form 10-Q and review of other SEC filings.</w:t>
      </w:r>
    </w:p>
    <w:p>
      <w:pPr>
        <w:spacing w:after="0" w:line="62" w:lineRule="exact"/>
        <w:rPr>
          <w:rFonts w:ascii="Arial" w:cs="Arial" w:eastAsia="Arial" w:hAnsi="Arial"/>
          <w:sz w:val="18"/>
          <w:szCs w:val="18"/>
          <w:color w:val="auto"/>
        </w:rPr>
      </w:pPr>
    </w:p>
    <w:p>
      <w:pPr>
        <w:ind w:left="1780" w:hanging="476"/>
        <w:spacing w:after="0"/>
        <w:tabs>
          <w:tab w:leader="none" w:pos="1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Audit-related fees consisted primarily of fees for the audit of our employee benefit plan.</w:t>
      </w:r>
    </w:p>
    <w:p>
      <w:pPr>
        <w:spacing w:after="0" w:line="117" w:lineRule="exact"/>
        <w:rPr>
          <w:rFonts w:ascii="Arial" w:cs="Arial" w:eastAsia="Arial" w:hAnsi="Arial"/>
          <w:sz w:val="18"/>
          <w:szCs w:val="18"/>
          <w:color w:val="auto"/>
        </w:rPr>
      </w:pPr>
    </w:p>
    <w:p>
      <w:pPr>
        <w:ind w:left="1780" w:hanging="476"/>
        <w:spacing w:after="0"/>
        <w:tabs>
          <w:tab w:leader="none" w:pos="1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Tax fees consisted primarily of fees for tax compliance and return preparation and tax planning and advice.</w:t>
      </w:r>
    </w:p>
    <w:p>
      <w:pPr>
        <w:spacing w:after="0" w:line="117" w:lineRule="exact"/>
        <w:rPr>
          <w:rFonts w:ascii="Arial" w:cs="Arial" w:eastAsia="Arial" w:hAnsi="Arial"/>
          <w:sz w:val="18"/>
          <w:szCs w:val="18"/>
          <w:color w:val="auto"/>
        </w:rPr>
      </w:pPr>
    </w:p>
    <w:p>
      <w:pPr>
        <w:ind w:left="1780" w:hanging="476"/>
        <w:spacing w:after="0"/>
        <w:tabs>
          <w:tab w:leader="none" w:pos="1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other fees consisted of $1,895 for the Deloitte online accounting research tool.</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about the Company's 2024 Annual Meeting of Shareholders, scheduled for June 20, 2024, is set forth in the Proxy Statement, which is revised to reflect the information set forth above. Except as specifically discussed in this Explanatory Note, this Amendment No. 1 does not otherwise modify or update any other disclosures in the Proxy Statement. The Proxy Statement, together with this Amendment No. 1, have been filed with the Securities and Exchange Commission and are also available for viewing at the website maintained for the annual meeting at www.proxyvote.com (as well as on the Company's website at www.apog.com).</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Shareholders who have already submitted proxies for this meeting may revoke them, or if they wish to change their vote, they may do so by:</w:t>
      </w:r>
    </w:p>
    <w:p>
      <w:pPr>
        <w:spacing w:after="0" w:line="27"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sending a written notice to the Company's Corporate Secretary; (ii) submitting a later-dated proxy to the Company's Corporate Secretary;</w:t>
      </w:r>
    </w:p>
    <w:p>
      <w:pPr>
        <w:spacing w:after="0" w:line="9" w:lineRule="exact"/>
        <w:rPr>
          <w:rFonts w:ascii="Arial" w:cs="Arial" w:eastAsia="Arial" w:hAnsi="Arial"/>
          <w:sz w:val="18"/>
          <w:szCs w:val="18"/>
          <w:color w:val="auto"/>
        </w:rPr>
      </w:pPr>
    </w:p>
    <w:p>
      <w:pPr>
        <w:jc w:val="both"/>
        <w:ind w:firstLine="8"/>
        <w:spacing w:after="0" w:line="263" w:lineRule="auto"/>
        <w:tabs>
          <w:tab w:leader="none" w:pos="318"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submitting a later-dated proxy via the Internet; (iv) submitting a later dated proxy by telephone; (v) voting in person at the meeting. Detailed information regarding voting procedures can be found in the Proxy Statement under Frequently Asked Questions - </w:t>
      </w:r>
      <w:r>
        <w:rPr>
          <w:rFonts w:ascii="Arial" w:cs="Arial" w:eastAsia="Arial" w:hAnsi="Arial"/>
          <w:sz w:val="18"/>
          <w:szCs w:val="18"/>
          <w:b w:val="1"/>
          <w:bCs w:val="1"/>
          <w:color w:val="487E8A"/>
        </w:rPr>
        <w:t>Can I change</w:t>
      </w:r>
      <w:r>
        <w:rPr>
          <w:rFonts w:ascii="Arial" w:cs="Arial" w:eastAsia="Arial" w:hAnsi="Arial"/>
          <w:sz w:val="18"/>
          <w:szCs w:val="18"/>
          <w:color w:val="auto"/>
        </w:rPr>
        <w:t xml:space="preserve"> </w:t>
      </w:r>
      <w:r>
        <w:rPr>
          <w:rFonts w:ascii="Arial" w:cs="Arial" w:eastAsia="Arial" w:hAnsi="Arial"/>
          <w:sz w:val="18"/>
          <w:szCs w:val="18"/>
          <w:b w:val="1"/>
          <w:bCs w:val="1"/>
          <w:color w:val="487E8A"/>
        </w:rPr>
        <w:t>my vote after submitting my proxy or voting instructions?</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67379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79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67379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7985" cy="8255"/>
                    </a:xfrm>
                    <a:prstGeom prst="rect">
                      <a:avLst/>
                    </a:prstGeom>
                    <a:noFill/>
                  </pic:spPr>
                </pic:pic>
              </a:graphicData>
            </a:graphic>
          </wp:anchor>
        </w:drawing>
      </w:r>
    </w:p>
    <w:sectPr>
      <w:pgSz w:w="11900" w:h="16838" w:orient="portrait"/>
      <w:cols w:equalWidth="0" w:num="1">
        <w:col w:w="11240"/>
      </w:cols>
      <w:pgMar w:left="320" w:top="10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lowerRoman"/>
      <w:start w:val="1"/>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2024-06-03T16:15:41Z</dcterms:created>
  <dcterms:modified xsi:type="dcterms:W3CDTF">2024-06-03T16:15:41Z</dcterms:modified>
</cp:coreProperties>
</file>