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95885</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52705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7"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May 30, 2026</w:t>
      </w:r>
    </w:p>
    <w:p>
      <w:pPr>
        <w:ind w:left="480" w:hanging="454"/>
        <w:spacing w:after="0" w:line="213"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1"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10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_________________________________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i w:val="1"/>
          <w:iCs w:val="1"/>
          <w:color w:val="auto"/>
        </w:rPr>
        <w:t>_________________________________</w:t>
      </w:r>
    </w:p>
    <w:p>
      <w:pPr>
        <w:spacing w:after="0" w:line="132"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51"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06"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7"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i w:val="1"/>
          <w:iCs w:val="1"/>
          <w:color w:val="auto"/>
        </w:rPr>
        <w:t>_________________________________</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810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7"/>
          <w:szCs w:val="17"/>
          <w:color w:val="auto"/>
        </w:rPr>
        <w:t>The Nasdaq Stock Market</w:t>
      </w:r>
    </w:p>
    <w:p>
      <w:pPr>
        <w:spacing w:after="0" w:line="19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5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35" w:right="339" w:bottom="1440" w:gutter="0" w:footer="0" w:header="0"/>
        </w:sectPr>
      </w:pPr>
    </w:p>
    <w:p>
      <w:pPr>
        <w:spacing w:after="0" w:line="20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560"/>
              <w:spacing w:after="0"/>
              <w:rPr>
                <w:sz w:val="20"/>
                <w:szCs w:val="20"/>
                <w:color w:val="auto"/>
              </w:rPr>
            </w:pPr>
            <w:r>
              <w:rPr>
                <w:rFonts w:ascii="Wingdings" w:cs="Wingdings" w:eastAsia="Wingdings" w:hAnsi="Wingdings"/>
                <w:sz w:val="16"/>
                <w:szCs w:val="16"/>
                <w:b w:val="1"/>
                <w:bCs w:val="1"/>
                <w:color w:val="auto"/>
              </w:rPr>
              <w:t>x</w:t>
            </w:r>
          </w:p>
        </w:tc>
        <w:tc>
          <w:tcPr>
            <w:tcW w:w="40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94"/>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Smaller reporting company</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3"/>
                <w:szCs w:val="23"/>
                <w:color w:val="auto"/>
              </w:rPr>
            </w:pPr>
          </w:p>
        </w:tc>
      </w:tr>
    </w:tbl>
    <w:p>
      <w:pPr>
        <w:ind w:left="20"/>
        <w:spacing w:after="0" w:line="23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37" w:lineRule="exact"/>
        <w:rPr>
          <w:sz w:val="24"/>
          <w:szCs w:val="24"/>
          <w:color w:val="auto"/>
        </w:rPr>
      </w:pPr>
    </w:p>
    <w:p>
      <w:pPr>
        <w:sectPr>
          <w:pgSz w:w="11900" w:h="16838" w:orient="portrait"/>
          <w:cols w:equalWidth="0" w:num="2">
            <w:col w:w="10160" w:space="400"/>
            <w:col w:w="680"/>
          </w:cols>
          <w:pgMar w:left="320" w:top="1235" w:right="339" w:bottom="1440" w:gutter="0" w:footer="0" w:header="0"/>
          <w:type w:val="continuous"/>
        </w:sectPr>
      </w:pPr>
    </w:p>
    <w:p>
      <w:pPr>
        <w:ind w:right="17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As of June 25, 2026, 20,868,294 shares of the registrant’s common stock, par value $0.33 1/3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400" w:type="dxa"/>
            <w:vAlign w:val="bottom"/>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4760" w:type="dxa"/>
            <w:vAlign w:val="bottom"/>
            <w:gridSpan w:val="10"/>
          </w:tcPr>
          <w:p>
            <w:pPr>
              <w:spacing w:after="0"/>
              <w:rPr>
                <w:sz w:val="19"/>
                <w:szCs w:val="19"/>
                <w:color w:val="auto"/>
              </w:rPr>
            </w:pPr>
          </w:p>
        </w:tc>
        <w:tc>
          <w:tcPr>
            <w:tcW w:w="2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000" w:type="dxa"/>
            <w:vAlign w:val="bottom"/>
            <w:gridSpan w:val="7"/>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Earnings</w:t>
            </w:r>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r>
      <w:tr>
        <w:trPr>
          <w:trHeight w:val="264"/>
        </w:trPr>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r>
      <w:tr>
        <w:trPr>
          <w:trHeight w:val="264"/>
        </w:trPr>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2"/>
                <w:szCs w:val="22"/>
                <w:color w:val="auto"/>
              </w:rPr>
            </w:pPr>
          </w:p>
        </w:tc>
        <w:tc>
          <w:tcPr>
            <w:tcW w:w="5160" w:type="dxa"/>
            <w:vAlign w:val="bottom"/>
            <w:gridSpan w:val="12"/>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7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43"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320" w:type="dxa"/>
            <w:vAlign w:val="bottom"/>
          </w:tcPr>
          <w:p>
            <w:pPr>
              <w:spacing w:after="0"/>
              <w:rPr>
                <w:sz w:val="19"/>
                <w:szCs w:val="19"/>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May 30, 2026</w:t>
            </w:r>
          </w:p>
        </w:tc>
        <w:tc>
          <w:tcPr>
            <w:tcW w:w="240" w:type="dxa"/>
            <w:vAlign w:val="bottom"/>
          </w:tcPr>
          <w:p>
            <w:pPr>
              <w:spacing w:after="0"/>
              <w:rPr>
                <w:sz w:val="19"/>
                <w:szCs w:val="19"/>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February 28, 2026</w:t>
            </w:r>
          </w:p>
        </w:tc>
      </w:tr>
      <w:tr>
        <w:trPr>
          <w:trHeight w:val="226"/>
        </w:trPr>
        <w:tc>
          <w:tcPr>
            <w:tcW w:w="7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39,523</w:t>
            </w:r>
          </w:p>
        </w:tc>
      </w:tr>
      <w:tr>
        <w:trPr>
          <w:trHeight w:val="229"/>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198,516</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98,059</w:t>
            </w:r>
          </w:p>
        </w:tc>
      </w:tr>
      <w:tr>
        <w:trPr>
          <w:trHeight w:val="229"/>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59,512</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w:t>
            </w:r>
          </w:p>
        </w:tc>
      </w:tr>
      <w:tr>
        <w:trPr>
          <w:trHeight w:val="223"/>
        </w:trPr>
        <w:tc>
          <w:tcPr>
            <w:tcW w:w="71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439,433</w:t>
            </w:r>
          </w:p>
        </w:tc>
      </w:tr>
      <w:tr>
        <w:trPr>
          <w:trHeight w:val="22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255,032</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48,736</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236,744</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111,261</w:t>
            </w:r>
          </w:p>
        </w:tc>
      </w:tr>
      <w:tr>
        <w:trPr>
          <w:trHeight w:val="22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31,139</w:t>
            </w:r>
          </w:p>
        </w:tc>
      </w:tr>
      <w:tr>
        <w:trPr>
          <w:trHeight w:val="223"/>
        </w:trPr>
        <w:tc>
          <w:tcPr>
            <w:tcW w:w="7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1,122,345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105,478</w:t>
            </w:r>
          </w:p>
        </w:tc>
      </w:tr>
      <w:tr>
        <w:trPr>
          <w:trHeight w:val="230"/>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w:t>
            </w:r>
          </w:p>
        </w:tc>
      </w:tr>
      <w:tr>
        <w:trPr>
          <w:trHeight w:val="229"/>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60,903</w:t>
            </w:r>
          </w:p>
        </w:tc>
      </w:tr>
      <w:tr>
        <w:trPr>
          <w:trHeight w:val="230"/>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46,079</w:t>
            </w:r>
          </w:p>
        </w:tc>
      </w:tr>
      <w:tr>
        <w:trPr>
          <w:trHeight w:val="223"/>
        </w:trPr>
        <w:tc>
          <w:tcPr>
            <w:tcW w:w="71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266,856</w:t>
            </w:r>
          </w:p>
        </w:tc>
      </w:tr>
      <w:tr>
        <w:trPr>
          <w:trHeight w:val="223"/>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232,279</w:t>
            </w: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r>
      <w:tr>
        <w:trPr>
          <w:trHeight w:val="229"/>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r>
      <w:tr>
        <w:trPr>
          <w:trHeight w:val="230"/>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5"/>
        </w:trPr>
        <w:tc>
          <w:tcPr>
            <w:tcW w:w="714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w:t>
            </w:r>
          </w:p>
        </w:tc>
        <w:tc>
          <w:tcPr>
            <w:tcW w:w="3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7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21,062,901 and 21,220,350, respectively</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r>
      <w:tr>
        <w:trPr>
          <w:trHeight w:val="230"/>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159,085</w:t>
            </w:r>
          </w:p>
        </w:tc>
      </w:tr>
      <w:tr>
        <w:trPr>
          <w:trHeight w:val="230"/>
        </w:trPr>
        <w:tc>
          <w:tcPr>
            <w:tcW w:w="7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376,438</w:t>
            </w:r>
          </w:p>
        </w:tc>
      </w:tr>
      <w:tr>
        <w:trPr>
          <w:trHeight w:val="230"/>
        </w:trPr>
        <w:tc>
          <w:tcPr>
            <w:tcW w:w="71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w:t>
            </w:r>
          </w:p>
        </w:tc>
      </w:tr>
      <w:tr>
        <w:trPr>
          <w:trHeight w:val="223"/>
        </w:trPr>
        <w:tc>
          <w:tcPr>
            <w:tcW w:w="7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511,794</w:t>
            </w:r>
          </w:p>
        </w:tc>
      </w:tr>
      <w:tr>
        <w:trPr>
          <w:trHeight w:val="223"/>
        </w:trPr>
        <w:tc>
          <w:tcPr>
            <w:tcW w:w="7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1,101,459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1,122,345</w:t>
            </w:r>
          </w:p>
        </w:tc>
      </w:tr>
      <w:tr>
        <w:trPr>
          <w:trHeight w:val="20"/>
        </w:trPr>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May 30, 2026</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May 31, 2025</w:t>
            </w: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271,497</w:t>
            </w:r>
          </w:p>
        </w:tc>
      </w:tr>
      <w:tr>
        <w:trPr>
          <w:trHeight w:val="223"/>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68,194</w:t>
            </w:r>
          </w:p>
        </w:tc>
      </w:tr>
      <w:tr>
        <w:trPr>
          <w:trHeight w:val="223"/>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21,338</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600"/>
        <w:spacing w:after="0" w:line="40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May 30, 2026</w:t>
            </w: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May 31, 2025</w:t>
            </w:r>
          </w:p>
        </w:tc>
      </w:tr>
      <w:tr>
        <w:trPr>
          <w:trHeight w:val="225"/>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808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marketable securities, net of $(29) and $10 of tax (benefit) expense,</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6"/>
        </w:trPr>
        <w:tc>
          <w:tcPr>
            <w:tcW w:w="80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(loss) on derivative instruments, net of $840 and $(32) of tax expense (benefit),</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8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23"/>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May 30, 2026</w:t>
            </w:r>
          </w:p>
        </w:tc>
        <w:tc>
          <w:tcPr>
            <w:tcW w:w="240" w:type="dxa"/>
            <w:vAlign w:val="bottom"/>
          </w:tcPr>
          <w:p>
            <w:pPr>
              <w:spacing w:after="0"/>
              <w:rPr>
                <w:sz w:val="18"/>
                <w:szCs w:val="18"/>
                <w:color w:val="auto"/>
              </w:rPr>
            </w:pP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May 31, 2025</w:t>
            </w:r>
          </w:p>
        </w:tc>
        <w:tc>
          <w:tcPr>
            <w:tcW w:w="0" w:type="dxa"/>
            <w:vAlign w:val="bottom"/>
          </w:tcPr>
          <w:p>
            <w:pPr>
              <w:spacing w:after="0"/>
              <w:rPr>
                <w:sz w:val="1"/>
                <w:szCs w:val="1"/>
                <w:color w:val="auto"/>
              </w:rPr>
            </w:pPr>
          </w:p>
        </w:tc>
      </w:tr>
      <w:tr>
        <w:trPr>
          <w:trHeight w:val="211"/>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(used in)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7,418</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Receivables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(16,639)</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0" w:type="dxa"/>
            <w:vAlign w:val="bottom"/>
          </w:tcPr>
          <w:p>
            <w:pPr>
              <w:spacing w:after="0"/>
              <w:rPr>
                <w:sz w:val="1"/>
                <w:szCs w:val="1"/>
                <w:color w:val="auto"/>
              </w:rPr>
            </w:pPr>
          </w:p>
        </w:tc>
      </w:tr>
      <w:tr>
        <w:trPr>
          <w:trHeight w:val="213"/>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(25,130)</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0" w:type="dxa"/>
            <w:vAlign w:val="bottom"/>
          </w:tcPr>
          <w:p>
            <w:pPr>
              <w:spacing w:after="0"/>
              <w:rPr>
                <w:sz w:val="1"/>
                <w:szCs w:val="1"/>
                <w:color w:val="auto"/>
              </w:rPr>
            </w:pPr>
          </w:p>
        </w:tc>
      </w:tr>
      <w:tr>
        <w:trPr>
          <w:trHeight w:val="19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2"/>
        </w:trPr>
        <w:tc>
          <w:tcPr>
            <w:tcW w:w="7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0" w:type="dxa"/>
            <w:vAlign w:val="bottom"/>
          </w:tcPr>
          <w:p>
            <w:pPr>
              <w:spacing w:after="0"/>
              <w:rPr>
                <w:sz w:val="1"/>
                <w:szCs w:val="1"/>
                <w:color w:val="auto"/>
              </w:rPr>
            </w:pPr>
          </w:p>
        </w:tc>
      </w:tr>
      <w:tr>
        <w:trPr>
          <w:trHeight w:val="19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Repayment on revolving credit facilities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term loans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0" w:type="dxa"/>
            <w:vAlign w:val="bottom"/>
          </w:tcPr>
          <w:p>
            <w:pPr>
              <w:spacing w:after="0"/>
              <w:rPr>
                <w:sz w:val="1"/>
                <w:szCs w:val="1"/>
                <w:color w:val="auto"/>
              </w:rPr>
            </w:pPr>
          </w:p>
        </w:tc>
      </w:tr>
      <w:tr>
        <w:trPr>
          <w:trHeight w:val="212"/>
        </w:trPr>
        <w:tc>
          <w:tcPr>
            <w:tcW w:w="78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17,645</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2"/>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41,448</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Non-cash Activity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in 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06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Par Value</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9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at February 28, 2026</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21,220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7,073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159,085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376,438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511,794</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(9,654)</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$0.27 per share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at May 30, 2026</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7,021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159,043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374,103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(28,148)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512,019</w:t>
            </w:r>
          </w:p>
        </w:tc>
        <w:tc>
          <w:tcPr>
            <w:tcW w:w="0" w:type="dxa"/>
            <w:vAlign w:val="bottom"/>
          </w:tcPr>
          <w:p>
            <w:pPr>
              <w:spacing w:after="0"/>
              <w:rPr>
                <w:sz w:val="1"/>
                <w:szCs w:val="1"/>
                <w:color w:val="auto"/>
              </w:rPr>
            </w:pPr>
          </w:p>
        </w:tc>
      </w:tr>
      <w:tr>
        <w:trPr>
          <w:trHeight w:val="364"/>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4060" w:type="dxa"/>
            <w:vAlign w:val="bottom"/>
            <w:gridSpan w:val="2"/>
            <w:vMerge w:val="continue"/>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Par Value</w:t>
            </w:r>
          </w:p>
        </w:tc>
        <w:tc>
          <w:tcPr>
            <w:tcW w:w="16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9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at March 1, 2025</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21,418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156,075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359,976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(35,292)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487,898</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$0.26 per share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0" w:type="dxa"/>
            <w:vAlign w:val="bottom"/>
          </w:tcPr>
          <w:p>
            <w:pPr>
              <w:spacing w:after="0"/>
              <w:rPr>
                <w:sz w:val="1"/>
                <w:szCs w:val="1"/>
                <w:color w:val="auto"/>
              </w:rPr>
            </w:pPr>
          </w:p>
        </w:tc>
      </w:tr>
      <w:tr>
        <w:trPr>
          <w:trHeight w:val="184"/>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at May 31, 2025</w:t>
            </w: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21,533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7,178</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157,788</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349,501</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(32,684)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481,783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(Apogee, we, us, our or the Company) have been prepared in accordance with accounting principles generally accepted in the United States (U.S. GAAP). The information included in this Form 10-Q should be read in conjunction with the Company’s Form 10-K for the year ended February 28, 2026. We use the same accounting policies in preparing quarterly and annual financial statements. All adjustments necessary for a fair presentation of quarterly and year to date operating results are reflected herein. The results of operations for the three month period ended May 30, 2026, are not necessarily indicative of the results to be expected for the full year.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(SG&amp;A)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pacing w:after="0" w:line="8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ectPr>
          <w:pgSz w:w="11900" w:h="16838" w:orient="portrait"/>
          <w:cols w:equalWidth="0" w:num="1">
            <w:col w:w="11240"/>
          </w:cols>
          <w:pgMar w:left="320" w:top="229" w:right="339" w:bottom="1440" w:gutter="0" w:footer="0" w:header="0"/>
        </w:sect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at shipment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(input method)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Recognized over time (output method)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24"/>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157,806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158,155</w:t>
            </w:r>
          </w:p>
        </w:tc>
      </w:tr>
      <w:tr>
        <w:trPr>
          <w:trHeight w:val="230"/>
        </w:trPr>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119,224</w:t>
            </w:r>
          </w:p>
        </w:tc>
      </w:tr>
      <w:tr>
        <w:trPr>
          <w:trHeight w:val="234"/>
        </w:trPr>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346,622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-333375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-633730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7260" w:space="720"/>
            <w:col w:w="3260"/>
          </w:cols>
          <w:pgMar w:left="320" w:top="229"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amount is no longer collectible.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60" w:type="dxa"/>
            <w:vAlign w:val="bottom"/>
          </w:tcPr>
          <w:p>
            <w:pPr>
              <w:spacing w:after="0"/>
              <w:rPr>
                <w:sz w:val="18"/>
                <w:szCs w:val="18"/>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28, 2026</w:t>
            </w:r>
          </w:p>
        </w:tc>
      </w:tr>
      <w:tr>
        <w:trPr>
          <w:trHeight w:val="230"/>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111,679</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88,445</w:t>
            </w: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200,124</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for the three months ended May 30,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30, 2026</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 against costs and expenses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0"/>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payment is due is not significant. In certain parts of our business that recognize revenue over time, progress billings follow an agreed-upon schedule of values.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60" w:type="dxa"/>
            <w:vAlign w:val="bottom"/>
          </w:tcPr>
          <w:p>
            <w:pPr>
              <w:spacing w:after="0"/>
              <w:rPr>
                <w:sz w:val="18"/>
                <w:szCs w:val="18"/>
                <w:color w:val="auto"/>
              </w:rPr>
            </w:pPr>
          </w:p>
        </w:tc>
        <w:tc>
          <w:tcPr>
            <w:tcW w:w="14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February 28, 2026</w:t>
            </w: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59,512</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60,903</w:t>
            </w:r>
          </w:p>
        </w:tc>
      </w:tr>
      <w:tr>
        <w:trPr>
          <w:trHeight w:val="40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contract-related disclosures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2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8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60" w:type="dxa"/>
            <w:vAlign w:val="bottom"/>
          </w:tcPr>
          <w:p>
            <w:pPr>
              <w:spacing w:after="0"/>
              <w:rPr>
                <w:sz w:val="16"/>
                <w:szCs w:val="16"/>
                <w:color w:val="auto"/>
              </w:rPr>
            </w:pPr>
          </w:p>
        </w:tc>
        <w:tc>
          <w:tcPr>
            <w:tcW w:w="14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29"/>
        </w:trPr>
        <w:tc>
          <w:tcPr>
            <w:tcW w:w="79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contract liabilities from prior year-end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r>
      <w:tr>
        <w:trPr>
          <w:trHeight w:val="23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prior satisfaction of performance obligations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 frame. The transaction price associated with performance obligations that were not yet satisfied as of May 30, 2026, will be recognized as revenue in the following estimated time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8"/>
                <w:szCs w:val="18"/>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May 30, 2026</w:t>
            </w:r>
          </w:p>
        </w:tc>
      </w:tr>
      <w:tr>
        <w:trPr>
          <w:trHeight w:val="230"/>
        </w:trPr>
        <w:tc>
          <w:tcPr>
            <w:tcW w:w="9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442,106</w:t>
            </w:r>
          </w:p>
        </w:tc>
      </w:tr>
      <w:tr>
        <w:trPr>
          <w:trHeight w:val="230"/>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Between one and two years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257,429</w:t>
            </w:r>
          </w:p>
        </w:tc>
      </w:tr>
      <w:tr>
        <w:trPr>
          <w:trHeight w:val="229"/>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Beyond two years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37,638</w:t>
            </w:r>
          </w:p>
        </w:tc>
      </w:tr>
      <w:tr>
        <w:trPr>
          <w:trHeight w:val="223"/>
        </w:trPr>
        <w:tc>
          <w:tcPr>
            <w:tcW w:w="9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737,173</w:t>
            </w:r>
          </w:p>
        </w:tc>
      </w:tr>
      <w:tr>
        <w:trPr>
          <w:trHeight w:val="21"/>
        </w:trPr>
        <w:tc>
          <w:tcPr>
            <w:tcW w:w="9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the work required under these long-term contracts, the estimation of total revenue and costs of sales is subject to many variables and requires significant judgment. We estimate variable consideration at the most likely amount to which we expect to be entitled. Our final cost of sales estimates are based largely on our assessments of anticipated performance and all information (historical, current and forecasted) that is reasonably available to us. Changes in estimated revenue, cost of sales and the related effect on operating income are recognized using a cumulative catch-up adjustment, which recognizes in the current period the cumulative effect of the changes on current and prior periods based on a long-term contracts percentage of completion. When the current estimates of total revenues and costs at completion for a long-term contract indicate a loss, a provision for the entire loss on the long-term contract is recognized.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cumulative catch-up adjustments on our longer-term contracts for changes in estimates had the following effect on the respective periods shown:</w:t>
      </w:r>
    </w:p>
    <w:p>
      <w:pPr>
        <w:spacing w:after="0" w:line="165"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earnings per share data)</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29"/>
        </w:trPr>
        <w:tc>
          <w:tcPr>
            <w:tcW w:w="8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040" w:type="dxa"/>
            <w:vAlign w:val="bottom"/>
            <w:tcBorders>
              <w:top w:val="single" w:sz="8" w:color="0000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67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98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60" w:type="dxa"/>
            <w:vAlign w:val="bottom"/>
          </w:tcPr>
          <w:p>
            <w:pPr>
              <w:spacing w:after="0"/>
              <w:rPr>
                <w:sz w:val="24"/>
                <w:szCs w:val="24"/>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February 28, 2026</w:t>
            </w:r>
          </w:p>
        </w:tc>
        <w:tc>
          <w:tcPr>
            <w:tcW w:w="0" w:type="dxa"/>
            <w:vAlign w:val="bottom"/>
          </w:tcPr>
          <w:p>
            <w:pPr>
              <w:spacing w:after="0"/>
              <w:rPr>
                <w:sz w:val="1"/>
                <w:szCs w:val="1"/>
                <w:color w:val="auto"/>
              </w:rPr>
            </w:pPr>
          </w:p>
        </w:tc>
      </w:tr>
      <w:tr>
        <w:trPr>
          <w:trHeight w:val="23"/>
        </w:trPr>
        <w:tc>
          <w:tcPr>
            <w:tcW w:w="7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43,441</w:t>
            </w:r>
          </w:p>
        </w:tc>
        <w:tc>
          <w:tcPr>
            <w:tcW w:w="0" w:type="dxa"/>
            <w:vAlign w:val="bottom"/>
          </w:tcPr>
          <w:p>
            <w:pPr>
              <w:spacing w:after="0"/>
              <w:rPr>
                <w:sz w:val="1"/>
                <w:szCs w:val="1"/>
                <w:color w:val="auto"/>
              </w:rPr>
            </w:pPr>
          </w:p>
        </w:tc>
      </w:tr>
      <w:tr>
        <w:trPr>
          <w:trHeight w:val="230"/>
        </w:trPr>
        <w:tc>
          <w:tcPr>
            <w:tcW w:w="7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29"/>
        </w:trPr>
        <w:tc>
          <w:tcPr>
            <w:tcW w:w="7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36,529</w:t>
            </w:r>
          </w:p>
        </w:tc>
        <w:tc>
          <w:tcPr>
            <w:tcW w:w="0" w:type="dxa"/>
            <w:vAlign w:val="bottom"/>
          </w:tcPr>
          <w:p>
            <w:pPr>
              <w:spacing w:after="0"/>
              <w:rPr>
                <w:sz w:val="1"/>
                <w:szCs w:val="1"/>
                <w:color w:val="auto"/>
              </w:rPr>
            </w:pPr>
          </w:p>
        </w:tc>
      </w:tr>
      <w:tr>
        <w:trPr>
          <w:trHeight w:val="223"/>
        </w:trPr>
        <w:tc>
          <w:tcPr>
            <w:tcW w:w="7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98,059</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7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40" w:type="dxa"/>
            <w:vAlign w:val="bottom"/>
            <w:vMerge w:val="continue"/>
          </w:tcPr>
          <w:p>
            <w:pPr>
              <w:spacing w:after="0"/>
              <w:rPr>
                <w:sz w:val="24"/>
                <w:szCs w:val="24"/>
                <w:color w:val="auto"/>
              </w:rPr>
            </w:pPr>
          </w:p>
        </w:tc>
        <w:tc>
          <w:tcPr>
            <w:tcW w:w="77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fixed-maturity investments: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28, 2026</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third-party agreements to meet statutory requirements. The reinsurance carrier requires Prism to maintain fixed-maturity investments, for the purpose of providing collateral for Prism's obligations under the reinsurance agreements.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amortized cost and estimated fair values of these investments at May 30, 2026,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8"/>
                <w:szCs w:val="18"/>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0"/>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use interest rate swaps, currency put options, forward purchase contracts, or other instruments to manage risks generally associated with foreign exchange rate, interest rate and commodity price fluctuations. The information that follows explains the various types of derivatives and financial instruments used, how such instruments are accounted for, and how such instruments impact our financial position and performance.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interest rate swaps with a total notional value of $125.0 million, with expiration dates throughout fiscal 2027, to hedge a portion of our exposure to variability in cash flows from interest payments on our floating-rate revolving credit facility.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multiple aluminum commodity swap contracts with an aggregate notional value of $27.7 million to hedge a portion of our exposure to variability in cash flows associated with forecasted aluminum purchases. These swap contracts mature over the next twelve months, with final settlements occurring by March 2027.</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mark-to-market adjustments on these derivative instruments are recorded within our Consolidated Balance Sheets within other current assets or other current liabilities. Gains or losses associated with these instruments are recorded as a component within the Consolidated Statements of Comprehensive Earnings until which time the hedged transaction is settled and gains or losses are recorded in net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were:</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3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30, 2026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28, 2026</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hedging contract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These assets are included within cash and cash equivalents on our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Municipal bonds were measured at fair value based on market prices from recent trades of similar securities and are classified within our Consolidated Balance Sheets as other current or other non-current assets based on maturity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swaps are measured at fair value using other observable market inputs, based off benchmark interest rates. Forward foreign exchange and forward purchase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8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We measure certain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 including goodwill, intangible assets, property and equipment, and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lease assets — at fair value on a nonrecurring basis when indicators of impairment are present. These assets, initially recorded at fair value upon acquisition or purchase, are evaluated periodically, and if impairment indicators exist, we compare their carrying values to their estimated fair values and recognize an impairment charge for any excess carrying value. See Note 1 for further information on impairment of long-lived assets.</w:t>
      </w:r>
    </w:p>
    <w:p>
      <w:pPr>
        <w:spacing w:after="0" w:line="8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floating rate revolving credit facility and a committed $250.0 million delayed draw term loan facility. Borrowings under the revolving credit facility can be in Canadian dollars (CAD) limited to $25.0 million USD. The term loan facility may be utilized in up to two draw downs, which are available to be made within one year after the closing date. The senior credit facility has a term of five years with a maturity date of July 19, 2029.</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two maintenance financial covenants that require our Consolidated Leverage Ratio (as defined in the Credit Agreement) to be less than 3.50 and our Consolidated Interest Coverage Ratio (as defined in the Credit Agreement) to exceed 3.00. At May 30, 2026, we were in compliance with all covenants as defined under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Outstanding borrowings under the term loan facility and current floating rate revolving facility were $209.4 million and $28.0 million, respectively, as of May 30, 2026. At May 30, 2026, we had a total of $2.6 million of ongoing letters of credit related to the senior credit facility, construction contracts and insurance collateral that expire in fiscal 2027 and reduce borrowing capacity under the floating rate revolving credit facility to an amount of $419.4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payments under the credit facilities were $3.0 million and $4.5 million for the three months ended May 30, 2026 and May 31, 2025, respectively. The weighted average interest rates on borrowings outstanding, inclusive of the impact of our interest rate swaps as of May 30, 2026, and February 28, 2026, were 4.43% and 4.44%, respectively.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60" w:type="dxa"/>
            <w:vAlign w:val="bottom"/>
          </w:tcPr>
          <w:p>
            <w:pPr>
              <w:spacing w:after="0"/>
              <w:rPr>
                <w:sz w:val="16"/>
                <w:szCs w:val="16"/>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expense (gain)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credit facility approximated carrying value at May 30, 2026, and would be classified as Level 2 within the fair value hierarchy described in Note 4, due to the variable interest rates on these instruments.</w:t>
      </w:r>
    </w:p>
    <w:p>
      <w:pPr>
        <w:spacing w:after="0" w:line="5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Bond commitments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Segment, we are required to provide surety or performance bonds that commit payments to our customers for non-performance against our contracts. At May 30, 2026, $1.1 billion of these types of bonds were outstanding, of which $239.8 million is in our backlog. These bonds have expiration dates that align with the completion of these contracts. We have never been required to make payments under surety or performance bonds with respect to our existing businesses.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and project-related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p>
      <w:pPr>
        <w:sectPr>
          <w:pgSz w:w="11900" w:h="16838" w:orient="portrait"/>
          <w:cols w:equalWidth="0" w:num="1">
            <w:col w:w="11240"/>
          </w:cols>
          <w:pgMar w:left="320" w:top="229" w:right="339" w:bottom="1440" w:gutter="0" w:footer="0" w:header="0"/>
        </w:sect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Additional provision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Claims paid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-5912485</wp:posOffset>
            </wp:positionH>
            <wp:positionV relativeFrom="paragraph">
              <wp:posOffset>33655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1360" w:hanging="1353"/>
        <w:spacing w:after="0"/>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12,903</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-5912485</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225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11" w:lineRule="exact"/>
        <w:rPr>
          <w:sz w:val="20"/>
          <w:szCs w:val="20"/>
          <w:color w:val="auto"/>
        </w:rPr>
      </w:pPr>
    </w:p>
    <w:p>
      <w:pPr>
        <w:ind w:left="1360" w:hanging="1353"/>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122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12255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720"/>
            <w:col w:w="1920"/>
          </w:cols>
          <w:pgMar w:left="320" w:top="229" w:right="339" w:bottom="1440" w:gutter="0" w:footer="0" w:header="0"/>
          <w:type w:val="continuous"/>
        </w:sectPr>
      </w:pP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in certain parts of our Architectural Metals Segment. We manage the risk of these exposures through contract negotiations, proactive project management and insurance coverages.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30, 2026, we had $2.6 million of ongoing letters of credit as discussed in Note 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$14.9 million as of May 30,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One such claim was resolved and paid during the first quarter of fiscal 2026, resulting in a payment of $24.7 million, which was reserved for during fiscal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6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Supplier Finance Program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operating activities in our Consolidated Statements of Cash Flows when settled.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obligation activity and outstanding balance for the three months ended May 30, 2026, that we have confirmed as valid to the administrators of our program:</w:t>
      </w:r>
    </w:p>
    <w:p>
      <w:pPr>
        <w:sectPr>
          <w:pgSz w:w="11900" w:h="16838" w:orient="portrait"/>
          <w:cols w:equalWidth="0" w:num="1">
            <w:col w:w="11240"/>
          </w:cols>
          <w:pgMar w:left="320" w:top="229"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Obligations added to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3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May 30, 2026</w:t>
            </w:r>
          </w:p>
        </w:tc>
      </w:tr>
      <w:tr>
        <w:trPr>
          <w:trHeight w:val="22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r>
      <w:tr>
        <w:trPr>
          <w:trHeight w:val="230"/>
        </w:trPr>
        <w:tc>
          <w:tcPr>
            <w:tcW w:w="3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w:t>
            </w:r>
          </w:p>
        </w:tc>
      </w:tr>
      <w:tr>
        <w:trPr>
          <w:trHeight w:val="234"/>
        </w:trPr>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(12,234)</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480" w:space="720"/>
            <w:col w:w="2040"/>
          </w:cols>
          <w:pgMar w:left="320" w:top="229" w:right="339" w:bottom="1440" w:gutter="0" w:footer="0" w:header="0"/>
          <w:type w:val="continuous"/>
        </w:sect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paid dividends totaling $5.6 million ($0.27 per share) in the first three months of fiscal 2027, compared to dividends paid of $5.5 million ($0.26 per share) in the comparable prior year period.</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fiscal 2004, the Board of Directors authorized a share repurchase program allowing us to repurchase shares of our outstanding common stock, with subsequent increases in authorization. During the three months ended May 30, 2026, we repurchased 269,500 shares under the program, for a total of $9.7 million. No shares were repurchased during the three months ended May 31, 2025. We have repurchased a total of 12,721,289 shares, at a total cost of $463.1 million, since the inception of this program in fiscal 2004. We have remaining authority to repurchase 1,528,711 shares under this program, which has no expiration date. We may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Junior Preferred Stock plan, under which 200,000 shares of $1.00 par value junior preferred stock are authorized, with zero shares issued and outstanding as of May 30, 2026.</w:t>
      </w:r>
    </w:p>
    <w:p>
      <w:pPr>
        <w:spacing w:after="0" w:line="5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compensation structure, we grant stock-based compensation awards to certain employees and non-employee directors during the fiscal year. We have a 2019 Stock Incentive Plan and a 2019 Non-Employee Director Stock Plan (the Plans) that provide for the issuance of 2,150,000 and 300,000 shares, respectively, for various forms of stock-based compensation to employees and non-employee directors. Awards under these Plans may be in the form of incentive stock options (to employees only), non-statutory options, stock-settled stock appreciation rights (SARs), restricted stock awards, 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performance share unit awards, all of which are granted at a price or with an exercise price equal to the fair market value of the Company’s stock at the date of award.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stock-based compensation awards granted during the three months ended May 30, 2026, along with the weighted average grant date fair value: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60" w:type="dxa"/>
            <w:vAlign w:val="bottom"/>
          </w:tcPr>
          <w:p>
            <w:pPr>
              <w:spacing w:after="0"/>
              <w:rPr>
                <w:sz w:val="13"/>
                <w:szCs w:val="13"/>
                <w:color w:val="auto"/>
              </w:rPr>
            </w:pPr>
          </w:p>
        </w:tc>
        <w:tc>
          <w:tcPr>
            <w:tcW w:w="17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7"/>
        </w:trPr>
        <w:tc>
          <w:tcPr>
            <w:tcW w:w="7360" w:type="dxa"/>
            <w:vAlign w:val="bottom"/>
            <w:gridSpan w:val="2"/>
            <w:vMerge w:val="continue"/>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6"/>
        </w:trPr>
        <w:tc>
          <w:tcPr>
            <w:tcW w:w="724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Restricted stock awards and restricted stock units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30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Performance share units </w:t>
            </w:r>
            <w:r>
              <w:rPr>
                <w:rFonts w:ascii="Times New Roman" w:cs="Times New Roman" w:eastAsia="Times New Roman" w:hAnsi="Times New Roman"/>
                <w:sz w:val="23"/>
                <w:szCs w:val="23"/>
                <w:color w:val="auto"/>
                <w:vertAlign w:val="superscript"/>
              </w:rPr>
              <w:t>(2)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60" w:hanging="366"/>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service condition awards which generally vest over a two- or three-year period.</w:t>
      </w:r>
    </w:p>
    <w:p>
      <w:pPr>
        <w:spacing w:after="0" w:line="41" w:lineRule="exact"/>
        <w:rPr>
          <w:rFonts w:ascii="Times New Roman" w:cs="Times New Roman" w:eastAsia="Times New Roman" w:hAnsi="Times New Roman"/>
          <w:sz w:val="14"/>
          <w:szCs w:val="14"/>
          <w:color w:val="auto"/>
        </w:rPr>
      </w:pPr>
    </w:p>
    <w:p>
      <w:pPr>
        <w:jc w:val="both"/>
        <w:ind w:left="560" w:right="20" w:hanging="366"/>
        <w:spacing w:after="0" w:line="234" w:lineRule="auto"/>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share-based compensation expense, in which we account for any forfeitures as they occur,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May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May 31,</w:t>
            </w:r>
          </w:p>
        </w:tc>
      </w:tr>
      <w:tr>
        <w:trPr>
          <w:trHeight w:val="21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48"/>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May 30, 2026, there was $14.9 million of total unrecognized compensation cost related to nonvested share and nonvested share unit awards, which is expected to be recognized over a weighted average period of approximately 2.1 years. The total fair value of shares vested during the three months ended May 30, 2026, was $3.0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certain states), Canada, Brazil and other international jurisdictions and is generally subject to limited audit activity. The Internal Revenue Service is in the process of conducting a U.S. federal examination for fiscal year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May 30, 2026 was 27.6%, compared to 211.9% for the same period last year. In the prior year-quarter, pretax income was low, resulting in a disproportionately high effective tax rate due to the impact of unfavorable discrete tax items.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ectPr>
          <w:pgSz w:w="11900" w:h="16838" w:orient="portrait"/>
          <w:cols w:equalWidth="0" w:num="1">
            <w:col w:w="11240"/>
          </w:cols>
          <w:pgMar w:left="320" w:top="229" w:right="339" w:bottom="1440" w:gutter="0" w:footer="0" w:header="0"/>
        </w:sect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Basic earnings per share – weighted average common shares outstanding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Weighted average effect of nonvested share grants and assumed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Diluted earnings (loss) per share – weighted average common shares and potential common shares outstanding</w:t>
      </w:r>
    </w:p>
    <w:p>
      <w:pPr>
        <w:spacing w:after="0" w:line="27" w:lineRule="exact"/>
        <w:rPr>
          <w:sz w:val="20"/>
          <w:szCs w:val="20"/>
          <w:color w:val="auto"/>
        </w:rPr>
      </w:pPr>
    </w:p>
    <w:p>
      <w:pPr>
        <w:ind w:left="80"/>
        <w:spacing w:after="0" w:line="234" w:lineRule="auto"/>
        <w:rPr>
          <w:sz w:val="20"/>
          <w:szCs w:val="20"/>
          <w:color w:val="auto"/>
        </w:rPr>
      </w:pPr>
      <w:r>
        <w:rPr>
          <w:rFonts w:ascii="Times New Roman" w:cs="Times New Roman" w:eastAsia="Times New Roman" w:hAnsi="Times New Roman"/>
          <w:sz w:val="18"/>
          <w:szCs w:val="18"/>
          <w:color w:val="auto"/>
        </w:rPr>
        <w:t>Stock awards excluded from the calculation of earnings (loss) per share because the effect was anti-dilutive (award price greater than average market price of the shares)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33655</wp:posOffset>
            </wp:positionV>
            <wp:extent cx="1705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May 30, 2026</w:t>
      </w:r>
      <w:r>
        <w:rPr>
          <w:sz w:val="20"/>
          <w:szCs w:val="20"/>
          <w:color w:val="auto"/>
        </w:rPr>
        <w:tab/>
      </w:r>
      <w:r>
        <w:rPr>
          <w:rFonts w:ascii="Times New Roman" w:cs="Times New Roman" w:eastAsia="Times New Roman" w:hAnsi="Times New Roman"/>
          <w:sz w:val="14"/>
          <w:szCs w:val="14"/>
          <w:b w:val="1"/>
          <w:bCs w:val="1"/>
          <w:color w:val="auto"/>
        </w:rPr>
        <w:t>May 31, 2025</w:t>
      </w:r>
    </w:p>
    <w:p>
      <w:pPr>
        <w:spacing w:after="0" w:line="61" w:lineRule="exact"/>
        <w:rPr>
          <w:sz w:val="20"/>
          <w:szCs w:val="20"/>
          <w:color w:val="auto"/>
        </w:rPr>
      </w:pPr>
    </w:p>
    <w:p>
      <w:pPr>
        <w:ind w:left="480"/>
        <w:spacing w:after="0"/>
        <w:tabs>
          <w:tab w:leader="none" w:pos="1860" w:val="left"/>
        </w:tabs>
        <w:rPr>
          <w:sz w:val="20"/>
          <w:szCs w:val="20"/>
          <w:color w:val="auto"/>
        </w:rPr>
      </w:pPr>
      <w:r>
        <w:rPr>
          <w:rFonts w:ascii="Times New Roman" w:cs="Times New Roman" w:eastAsia="Times New Roman" w:hAnsi="Times New Roman"/>
          <w:sz w:val="17"/>
          <w:szCs w:val="17"/>
          <w:color w:val="auto"/>
        </w:rPr>
        <w:t>21,045</w:t>
      </w:r>
      <w:r>
        <w:rPr>
          <w:sz w:val="20"/>
          <w:szCs w:val="20"/>
          <w:color w:val="auto"/>
        </w:rPr>
        <w:tab/>
      </w:r>
      <w:r>
        <w:rPr>
          <w:rFonts w:ascii="Times New Roman" w:cs="Times New Roman" w:eastAsia="Times New Roman" w:hAnsi="Times New Roman"/>
          <w:sz w:val="17"/>
          <w:szCs w:val="17"/>
          <w:color w:val="auto"/>
        </w:rPr>
        <w:t>21,338</w:t>
      </w:r>
    </w:p>
    <w:p>
      <w:pPr>
        <w:spacing w:after="0" w:line="39" w:lineRule="exact"/>
        <w:rPr>
          <w:sz w:val="20"/>
          <w:szCs w:val="20"/>
          <w:color w:val="auto"/>
        </w:rPr>
      </w:pPr>
    </w:p>
    <w:p>
      <w:pPr>
        <w:ind w:left="2180" w:hanging="1472"/>
        <w:spacing w:after="0"/>
        <w:tabs>
          <w:tab w:leader="none" w:pos="2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21,312</w:t>
      </w:r>
      <w:r>
        <w:rPr>
          <w:rFonts w:ascii="Times New Roman" w:cs="Times New Roman" w:eastAsia="Times New Roman" w:hAnsi="Times New Roman"/>
          <w:sz w:val="17"/>
          <w:szCs w:val="17"/>
          <w:color w:val="auto"/>
        </w:rPr>
        <w:t>21,338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43180</wp:posOffset>
            </wp:positionV>
            <wp:extent cx="1705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19" w:lineRule="exact"/>
        <w:rPr>
          <w:sz w:val="20"/>
          <w:szCs w:val="20"/>
          <w:color w:val="auto"/>
        </w:rPr>
      </w:pPr>
    </w:p>
    <w:p>
      <w:pPr>
        <w:jc w:val="both"/>
        <w:ind w:left="700"/>
        <w:spacing w:after="0"/>
        <w:tabs>
          <w:tab w:leader="none" w:pos="2080" w:val="left"/>
        </w:tabs>
        <w:rPr>
          <w:sz w:val="20"/>
          <w:szCs w:val="20"/>
          <w:color w:val="auto"/>
        </w:rPr>
      </w:pPr>
      <w:r>
        <w:rPr>
          <w:rFonts w:ascii="Times New Roman" w:cs="Times New Roman" w:eastAsia="Times New Roman" w:hAnsi="Times New Roman"/>
          <w:sz w:val="18"/>
          <w:szCs w:val="18"/>
          <w:color w:val="auto"/>
        </w:rPr>
        <w:t>343</w:t>
      </w:r>
      <w:r>
        <w:rPr>
          <w:sz w:val="20"/>
          <w:szCs w:val="20"/>
          <w:color w:val="auto"/>
        </w:rPr>
        <w:tab/>
      </w:r>
      <w:r>
        <w:rPr>
          <w:rFonts w:ascii="Times New Roman" w:cs="Times New Roman" w:eastAsia="Times New Roman" w:hAnsi="Times New Roman"/>
          <w:sz w:val="18"/>
          <w:szCs w:val="18"/>
          <w:color w:val="auto"/>
        </w:rPr>
        <w:t>224</w:t>
      </w:r>
    </w:p>
    <w:p>
      <w:pPr>
        <w:spacing w:after="0" w:line="212" w:lineRule="exact"/>
        <w:rPr>
          <w:sz w:val="20"/>
          <w:szCs w:val="20"/>
          <w:color w:val="auto"/>
        </w:rPr>
      </w:pPr>
    </w:p>
    <w:p>
      <w:pPr>
        <w:sectPr>
          <w:pgSz w:w="11900" w:h="16838" w:orient="portrait"/>
          <w:cols w:equalWidth="0" w:num="2">
            <w:col w:w="8360" w:space="440"/>
            <w:col w:w="24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 Data</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four operating segments which are also reportable segments. Each of our four segments has distinct economic characteristics, including products and services provided, production processes and varying ranges in performance and results:</w:t>
      </w:r>
    </w:p>
    <w:p>
      <w:pPr>
        <w:spacing w:after="0" w:line="50" w:lineRule="exact"/>
        <w:rPr>
          <w:sz w:val="20"/>
          <w:szCs w:val="20"/>
          <w:color w:val="auto"/>
        </w:rPr>
      </w:pPr>
    </w:p>
    <w:p>
      <w:pPr>
        <w:ind w:left="340" w:hanging="170"/>
        <w:spacing w:after="0" w:line="28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Metals Segment</w:t>
      </w:r>
      <w:r>
        <w:rPr>
          <w:rFonts w:ascii="Times New Roman" w:cs="Times New Roman" w:eastAsia="Times New Roman" w:hAnsi="Times New Roman"/>
          <w:sz w:val="18"/>
          <w:szCs w:val="18"/>
          <w:color w:val="auto"/>
        </w:rPr>
        <w:t xml:space="preserve"> designs, engineers, fabricates and finishes aluminum window, curtainwall, storefront and entrance systems used primarily in non-residential construction.</w:t>
      </w:r>
    </w:p>
    <w:p>
      <w:pPr>
        <w:spacing w:after="0" w:line="46" w:lineRule="exact"/>
        <w:rPr>
          <w:rFonts w:ascii="Times New Roman" w:cs="Times New Roman" w:eastAsia="Times New Roman" w:hAnsi="Times New Roman"/>
          <w:sz w:val="18"/>
          <w:szCs w:val="18"/>
          <w:color w:val="auto"/>
        </w:rPr>
      </w:pPr>
    </w:p>
    <w:p>
      <w:pPr>
        <w:ind w:left="340" w:hanging="170"/>
        <w:spacing w:after="0" w:line="28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Services Segment</w:t>
      </w:r>
      <w:r>
        <w:rPr>
          <w:rFonts w:ascii="Times New Roman" w:cs="Times New Roman" w:eastAsia="Times New Roman" w:hAnsi="Times New Roman"/>
          <w:sz w:val="18"/>
          <w:szCs w:val="18"/>
          <w:color w:val="auto"/>
        </w:rPr>
        <w:t xml:space="preserve"> integrates technical services, project management, and field installation services to design, engineer, fabricate, and install architectural curtainwall and other façade-related systems primarily in non-residential construction.</w:t>
      </w:r>
    </w:p>
    <w:p>
      <w:pPr>
        <w:spacing w:after="0" w:line="46" w:lineRule="exact"/>
        <w:rPr>
          <w:rFonts w:ascii="Times New Roman" w:cs="Times New Roman" w:eastAsia="Times New Roman" w:hAnsi="Times New Roman"/>
          <w:sz w:val="18"/>
          <w:szCs w:val="18"/>
          <w:color w:val="auto"/>
        </w:rPr>
      </w:pPr>
    </w:p>
    <w:p>
      <w:pPr>
        <w:ind w:left="340" w:hanging="170"/>
        <w:spacing w:after="0" w:line="28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Architectural Glass Segment</w:t>
      </w:r>
      <w:r>
        <w:rPr>
          <w:rFonts w:ascii="Times New Roman" w:cs="Times New Roman" w:eastAsia="Times New Roman" w:hAnsi="Times New Roman"/>
          <w:sz w:val="18"/>
          <w:szCs w:val="18"/>
          <w:color w:val="auto"/>
        </w:rPr>
        <w:t xml:space="preserve"> cuts, treats, coats and fabricates high-performance glass used in custom window and wall systems primarily for non-residential buildings.</w:t>
      </w:r>
    </w:p>
    <w:p>
      <w:pPr>
        <w:spacing w:after="0" w:line="46" w:lineRule="exact"/>
        <w:rPr>
          <w:rFonts w:ascii="Times New Roman" w:cs="Times New Roman" w:eastAsia="Times New Roman" w:hAnsi="Times New Roman"/>
          <w:sz w:val="18"/>
          <w:szCs w:val="18"/>
          <w:color w:val="auto"/>
        </w:rPr>
      </w:pPr>
    </w:p>
    <w:p>
      <w:pPr>
        <w:ind w:left="340" w:hanging="170"/>
        <w:spacing w:after="0" w:line="28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Performance Surfaces Segment</w:t>
      </w:r>
      <w:r>
        <w:rPr>
          <w:rFonts w:ascii="Times New Roman" w:cs="Times New Roman" w:eastAsia="Times New Roman" w:hAnsi="Times New Roman"/>
          <w:sz w:val="18"/>
          <w:szCs w:val="18"/>
          <w:color w:val="auto"/>
        </w:rPr>
        <w:t xml:space="preserve"> develops and manufactures high-performance coated materials for a variety of applications, including wall decor, museums, graphic design, digital displays, architectural interiors, and industrial flooring.</w:t>
      </w:r>
    </w:p>
    <w:p>
      <w:pPr>
        <w:spacing w:after="0" w:line="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The CODM utilizes segment net sales and adjusted EBITDA to assess segment performance and make decisions about the allocation of operating and capital resources by analyzing recent results, trends, and variances of each segment in relation to forecasts and historical performance.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adjusted cost of sales, adjusted SG&amp;A, adjusted other expense, net, adjusted depreciation and amortization and the resulting adjusted EBITDA for each of the Company’s four reportable segments are presented below. Segment net sales is defined as net sales of the segment including sales related to intersegment transactions. We present intersegment net sales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May 30, 2026</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3"/>
                <w:szCs w:val="13"/>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342,684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349,716</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(275,755)</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other expense, net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6"/>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May 31, 2025</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80" w:type="dxa"/>
            <w:vAlign w:val="bottom"/>
          </w:tcPr>
          <w:p>
            <w:pPr>
              <w:spacing w:after="0"/>
              <w:rPr>
                <w:sz w:val="13"/>
                <w:szCs w:val="13"/>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346,622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segment net sales</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350,652</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(268,243)</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SG&amp;A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other expense, net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60" w:hanging="366"/>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sales excludes $6.9 million related to acquisition and restructuring expense for the three months ended May 31, 2025.</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SG&amp;A expense excludes $5.8 million related to acquisition and restructuring expense for the three months ended May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adjusted EBITDA to net earnings, the nearest measurement under U.S. GAAP:</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40" w:type="dxa"/>
            <w:vAlign w:val="bottom"/>
            <w:tcBorders>
              <w:bottom w:val="single" w:sz="8" w:color="auto"/>
            </w:tcBorders>
          </w:tcPr>
          <w:p>
            <w:pPr>
              <w:spacing w:after="0"/>
              <w:rPr>
                <w:sz w:val="18"/>
                <w:szCs w:val="18"/>
                <w:color w:val="auto"/>
              </w:rPr>
            </w:pPr>
          </w:p>
        </w:tc>
      </w:tr>
      <w:tr>
        <w:trPr>
          <w:trHeight w:val="158"/>
        </w:trPr>
        <w:tc>
          <w:tcPr>
            <w:tcW w:w="7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May 30,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May 31,</w:t>
            </w:r>
          </w:p>
        </w:tc>
        <w:tc>
          <w:tcPr>
            <w:tcW w:w="640" w:type="dxa"/>
            <w:vAlign w:val="bottom"/>
          </w:tcPr>
          <w:p>
            <w:pPr>
              <w:spacing w:after="0"/>
              <w:rPr>
                <w:sz w:val="13"/>
                <w:szCs w:val="13"/>
                <w:color w:val="auto"/>
              </w:rPr>
            </w:pPr>
          </w:p>
        </w:tc>
      </w:tr>
      <w:tr>
        <w:trPr>
          <w:trHeight w:val="21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8"/>
                <w:szCs w:val="18"/>
                <w:color w:val="auto"/>
              </w:rPr>
            </w:pPr>
          </w:p>
        </w:tc>
      </w:tr>
      <w:tr>
        <w:trPr>
          <w:trHeight w:val="225"/>
        </w:trPr>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36,809</w:t>
            </w:r>
          </w:p>
        </w:tc>
      </w:tr>
      <w:tr>
        <w:trPr>
          <w:trHeight w:val="230"/>
        </w:trPr>
        <w:tc>
          <w:tcPr>
            <w:tcW w:w="7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expenses </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229"/>
        </w:trPr>
        <w:tc>
          <w:tcPr>
            <w:tcW w:w="7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acquisition-related costs </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7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restructuring costs </w:t>
            </w:r>
            <w:r>
              <w:rPr>
                <w:rFonts w:ascii="Times New Roman" w:cs="Times New Roman" w:eastAsia="Times New Roman" w:hAnsi="Times New Roman"/>
                <w:sz w:val="23"/>
                <w:szCs w:val="23"/>
                <w:color w:val="auto"/>
                <w:vertAlign w:val="superscript"/>
              </w:rPr>
              <w:t>(3)</w:t>
            </w:r>
          </w:p>
        </w:tc>
        <w:tc>
          <w:tcPr>
            <w:tcW w:w="12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(12,718)</w:t>
            </w: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(12,579)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(12,436)</w:t>
            </w: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w:t>
            </w: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r>
      <w:tr>
        <w:trPr>
          <w:trHeight w:val="223"/>
        </w:trPr>
        <w:tc>
          <w:tcPr>
            <w:tcW w:w="7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earnings (loss)</w:t>
            </w:r>
          </w:p>
        </w:tc>
        <w:tc>
          <w:tcPr>
            <w:tcW w:w="12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1"/>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60" w:right="20" w:hanging="366"/>
        <w:spacing w:after="0" w:line="241" w:lineRule="auto"/>
        <w:tabs>
          <w:tab w:leader="none" w:pos="5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$0.8 million in acquisition related costs incurred at Corporate for the pending Keller Companies, Inc. acquisition in the three months ended May 30, 2026. Includes $2.6 million of restructuring costs in the three months ended May 31, 2025.</w:t>
      </w:r>
    </w:p>
    <w:p>
      <w:pPr>
        <w:spacing w:after="0" w:line="14"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incurred to integrate the UW Solutions acquisition.</w:t>
      </w:r>
    </w:p>
    <w:p>
      <w:pPr>
        <w:spacing w:after="0" w:line="41" w:lineRule="exact"/>
        <w:rPr>
          <w:rFonts w:ascii="Times New Roman" w:cs="Times New Roman" w:eastAsia="Times New Roman" w:hAnsi="Times New Roman"/>
          <w:sz w:val="14"/>
          <w:szCs w:val="14"/>
          <w:color w:val="auto"/>
        </w:rPr>
      </w:pPr>
    </w:p>
    <w:p>
      <w:pPr>
        <w:ind w:left="560" w:hanging="366"/>
        <w:spacing w:after="0"/>
        <w:tabs>
          <w:tab w:leader="none" w:pos="5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restructuring charges related to Project Fortify Phase 2.</w:t>
      </w:r>
    </w:p>
    <w:p>
      <w:pPr>
        <w:spacing w:after="0" w:line="2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 Fortify, announced in the fourth quarter of fiscal 2024, was a restructuring program designed to streamline operations, improve cost efficiency, and enhance the Company’s operating model, primarily within the Architectural Metals Segment. The program also included process and resource optimization within the Architectural Services Segment and Corporate and Other and was completed in the fourth quarter of fiscal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second phase of Project Fortify (Phase 2) was announced on April 23, 2025, focused on driving additional cost efficiencies and further optimizing the Company’s operating footprint and resource alignment. The actions associated with Phase 2 were substantially completed in the fourth quarter of fiscal 2026, and therefore no further activity occurred during the first quarter of fiscal 2027.</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2026, we incurred $15.3 million of pre-tax costs associated with Phase 2, of which $6.9 million was included in cost of sales and $8.4 million was included within SG&amp;A. The SG&amp;A charges include a $5.0 million non-cash intangible asset impairment charge in the Architectural Services Segment and $2.6 million of a non-cash asset write-off and other charges in Corporate and Other.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pretax impact of Project Fortify for the quarter ended May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May 31, 2025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Termination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restructuring related accrual balances included within accrued payroll and related benefits and other current liabilities in the Consolidated Balance Sheets. All remaining accrual balances are expected to be paid within fiscal 2027.</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Architectural</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80" w:type="dxa"/>
            <w:vAlign w:val="bottom"/>
          </w:tcPr>
          <w:p>
            <w:pPr>
              <w:spacing w:after="0"/>
              <w:rPr>
                <w:sz w:val="16"/>
                <w:szCs w:val="16"/>
                <w:color w:val="auto"/>
              </w:rPr>
            </w:pPr>
          </w:p>
        </w:tc>
        <w:tc>
          <w:tcPr>
            <w:tcW w:w="102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Metals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May 30,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0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February 28, 2026, and in subsequent filings with the U.S. Securities and Exchange Commission, including this Quarterly Report on Form 10-Q.</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strategy is based on the following three key elements:</w:t>
      </w:r>
    </w:p>
    <w:p>
      <w:pPr>
        <w:spacing w:after="0" w:line="113" w:lineRule="exact"/>
        <w:rPr>
          <w:sz w:val="20"/>
          <w:szCs w:val="20"/>
          <w:color w:val="auto"/>
        </w:rPr>
      </w:pPr>
    </w:p>
    <w:p>
      <w:pPr>
        <w:jc w:val="both"/>
        <w:ind w:left="660" w:hanging="328"/>
        <w:spacing w:after="0" w:line="221" w:lineRule="exact"/>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 Leadership in Target Markets. </w:t>
      </w:r>
      <w:r>
        <w:rPr>
          <w:rFonts w:ascii="Times New Roman" w:cs="Times New Roman" w:eastAsia="Times New Roman" w:hAnsi="Times New Roman"/>
          <w:sz w:val="18"/>
          <w:szCs w:val="18"/>
          <w:color w:val="auto"/>
        </w:rPr>
        <w:t>We intend to enhance our position in targeted end markets by differentiating through deep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 and insight, using an informed understanding of customer needs to shape our offerings and delivery models. By aligning our capabilities, investments, and operating approach around this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focused strategy, we believe we will be better positioned to differentiate, compete effectively, and strengthen our position in the markets we serve.</w:t>
      </w:r>
    </w:p>
    <w:p>
      <w:pPr>
        <w:spacing w:after="0" w:line="88"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 and Strengthen the Portfolio. </w:t>
      </w:r>
      <w:r>
        <w:rPr>
          <w:rFonts w:ascii="Times New Roman" w:cs="Times New Roman" w:eastAsia="Times New Roman" w:hAnsi="Times New Roman"/>
          <w:sz w:val="18"/>
          <w:szCs w:val="18"/>
          <w:color w:val="auto"/>
        </w:rPr>
        <w:t>We seek to grow and strengthen our portfolio through disciplined organic and inorganic investments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differentiated solutions that align with evolving customer needs. By prioritizing opportunities that enhance our competitive positioning and directly address customer challenges, we will reinforce our disciplined approach to portfolio growth and improvement.</w:t>
      </w:r>
    </w:p>
    <w:p>
      <w:pPr>
        <w:spacing w:after="0" w:line="6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Core Capabilities. </w:t>
      </w:r>
      <w:r>
        <w:rPr>
          <w:rFonts w:ascii="Times New Roman" w:cs="Times New Roman" w:eastAsia="Times New Roman" w:hAnsi="Times New Roman"/>
          <w:sz w:val="18"/>
          <w:szCs w:val="18"/>
          <w:color w:val="auto"/>
        </w:rPr>
        <w:t>We expect to advance core capabilities by fostering a culture of continuous improvement grounded in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excellence, talent development, and disciplined process execution. Through targeted investments in people, systems, and technology, we will strengthen our ability to deliver consistent performance and enhance the customer experience across the organization.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On May 27, 2026, we entered into a definitive agreement to acquire Keller Companies, Inc. (“KCI”), the controlling shareholder of Kalwall Corporation and Structures Unlimited Inc., for approximately $105 million in cash, subject to certain customary purchase price adjustments. The sellers may also receive up to $10 million in additional earn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consideration based on achieving certain financial objectives as defined in the agreement. We expect to fund the transaction with cash on hand and borrowings under our existing credit facility, and closing is anticipated in early July, subject to customary conditions. Upon closing, the acquired business is expected to be integrated into our Architectural Glass Segment and its results will be included in our consolidated results of operations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28, 2026, and the consolidated financial statements, including the notes to consolidated financial statements, included therein.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financial condition and results of operations during the three months ended May 30, 2026 and the three months ended May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80" w:type="dxa"/>
            <w:vAlign w:val="bottom"/>
            <w:gridSpan w:val="3"/>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3"/>
        </w:trPr>
        <w:tc>
          <w:tcPr>
            <w:tcW w:w="5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19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00" w:type="dxa"/>
            <w:vAlign w:val="bottom"/>
          </w:tcPr>
          <w:p>
            <w:pPr>
              <w:spacing w:after="0"/>
              <w:rPr>
                <w:sz w:val="16"/>
                <w:szCs w:val="16"/>
                <w:color w:val="auto"/>
              </w:rPr>
            </w:pPr>
          </w:p>
        </w:tc>
        <w:tc>
          <w:tcPr>
            <w:tcW w:w="14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14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29"/>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342,684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346,622</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267,654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271,497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78.3 %</w:t>
            </w:r>
          </w:p>
        </w:tc>
      </w:tr>
      <w:tr>
        <w:trPr>
          <w:trHeight w:val="223"/>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75,030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75,125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56,191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68,194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23"/>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18,839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15,932</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4,397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11,535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Non-GAAP Measures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32,115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34,384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12,117</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11,850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2027 to First Quarter Fiscal 2026</w:t>
      </w:r>
    </w:p>
    <w:p>
      <w:pPr>
        <w:spacing w:after="0" w:line="119" w:lineRule="exact"/>
        <w:rPr>
          <w:sz w:val="20"/>
          <w:szCs w:val="20"/>
          <w:color w:val="auto"/>
        </w:rPr>
      </w:pPr>
    </w:p>
    <w:p>
      <w:pPr>
        <w:ind w:left="660" w:right="1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sales decreased 1.1%, to $342.7 million, driven by lower volume within our Architectural Metals and Glass Segments, partially offset by volume improvement within our Architectural Services Segment. Improved pricing and mix within the Architectural Metals Segment offset part of the volume decline.</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20 basis to 21.9%, compared to 21.7%, primarily due to price, productivity improvements including savings from Project Fortify Phase 2, and favorable mix, partially offset by higher material and freight costs and impacts from lower volume.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(SG&amp;A) expense as a percent of net sales decreased to 16.4%, compared to 19.7%. This improvement was primarily driven by the benefits from cost savings included in Project Fortify Phase 2.</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to $18.8 million from $6.9 million, and operating margin increased 350 basis points to 5.5%.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to $2.8 million, due to a lower average debt balance in the first quarter of fiscal 2027 compared to the prior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was $0.1 million compared to $0.7 million due to a decline in value of company-owned life insurance assets.</w:t>
      </w:r>
    </w:p>
    <w:p>
      <w:pPr>
        <w:spacing w:after="0" w:line="11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as a percentage of earnings before income tax was 27.6%, compared to 211.9%. The decline in the effective tax rate was primarily due to generating greater earnings before income taxes compared to the first quarter of last year.</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were $11.5 million compared to net loss of $2.7 million.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$32.1 million, compared to $34.4 million, and adjusted EBITDA margin decreased to 9.4%, compared to 9.9%. The decrease in adjusted EBITDA margin was primarily driven by higher material and freight costs and the impacts from lower volume, partially offset by productivity improvements and benefits from cost savings of Fortify Phase 2.</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were $12.1 million compared to $11.9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U.S. GAAP, we also provide certain non-GAAP financial measures. These measures are not in accordance with, nor are they a substitute for U.S. GAAP measures, and may not be comparable to similarly titled measures used by other companies. Management uses non-GAAP measures to evaluate the Company’s historical and prospective financial performance, measure operational profitability on a consistent basis, as a factor in determining executive compensation, and to provide enhanced transparency to the investment community. For each of these non-GAAP measures, we provide a reconciliation between the non-GAAP measure and the most directly comparable U.S. GAAP measure, and an explanation of why we believe the non-GAAP measure provides useful information to management and investors.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measures include:</w:t>
      </w:r>
    </w:p>
    <w:p>
      <w:pPr>
        <w:spacing w:after="0" w:line="117" w:lineRule="exact"/>
        <w:rPr>
          <w:sz w:val="20"/>
          <w:szCs w:val="20"/>
          <w:color w:val="auto"/>
        </w:rPr>
      </w:pPr>
    </w:p>
    <w:p>
      <w:pPr>
        <w:ind w:left="340" w:right="380" w:hanging="170"/>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and adjusted earnings per diluted share (adjusted diluted EPS), used by the Company to provide meaningful supplemental information about its operating performance by excluding amounts that are not considered part of core operating results, to enhance comparability from period-to-period.</w:t>
      </w:r>
    </w:p>
    <w:p>
      <w:pPr>
        <w:spacing w:after="0" w:line="67" w:lineRule="exact"/>
        <w:rPr>
          <w:rFonts w:ascii="Times New Roman" w:cs="Times New Roman" w:eastAsia="Times New Roman" w:hAnsi="Times New Roman"/>
          <w:sz w:val="18"/>
          <w:szCs w:val="18"/>
          <w:color w:val="auto"/>
        </w:rPr>
      </w:pPr>
    </w:p>
    <w:p>
      <w:pPr>
        <w:jc w:val="both"/>
        <w:ind w:left="340" w:hanging="170"/>
        <w:spacing w:after="0" w:line="26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defined as adjusted net earnings before interest, taxes, depreciation, and amortization, and adjusted EBITDA margin, defined as adjusted EBITDA as a percentage of net sales. We use adjusted EBITDA and adjusted EBITDA margin to assess segment performance and make decisions about the allocation of operating and capital resources by analyzing recent results, trends, and variances of each segment in relation to forecasts and historical performance.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EBITDA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230" w:lineRule="exact"/>
        <w:rPr>
          <w:sz w:val="20"/>
          <w:szCs w:val="20"/>
          <w:color w:val="auto"/>
        </w:rPr>
      </w:pPr>
    </w:p>
    <w:p>
      <w:pPr>
        <w:ind w:left="20" w:right="260"/>
        <w:spacing w:after="0" w:line="316" w:lineRule="auto"/>
        <w:rPr>
          <w:sz w:val="20"/>
          <w:szCs w:val="20"/>
          <w:color w:val="auto"/>
        </w:rPr>
      </w:pPr>
      <w:r>
        <w:rPr>
          <w:rFonts w:ascii="Times New Roman" w:cs="Times New Roman" w:eastAsia="Times New Roman" w:hAnsi="Times New Roman"/>
          <w:sz w:val="16"/>
          <w:szCs w:val="16"/>
          <w:color w:val="auto"/>
        </w:rPr>
        <w:t>EBITDA margin Adjusted EBITDA margin</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earnings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expense (income), net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expense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EBITDA</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Acquisition-related costs </w:t>
      </w:r>
      <w:r>
        <w:rPr>
          <w:rFonts w:ascii="Times New Roman" w:cs="Times New Roman" w:eastAsia="Times New Roman" w:hAnsi="Times New Roman"/>
          <w:sz w:val="21"/>
          <w:szCs w:val="21"/>
          <w:color w:val="auto"/>
          <w:vertAlign w:val="superscript"/>
        </w:rPr>
        <w:t>(1)</w:t>
      </w:r>
    </w:p>
    <w:p>
      <w:pPr>
        <w:ind w:left="20"/>
        <w:spacing w:after="0"/>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1"/>
          <w:szCs w:val="21"/>
          <w:color w:val="auto"/>
          <w:vertAlign w:val="superscript"/>
        </w:rPr>
        <w:t>(2)</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230" w:lineRule="exact"/>
        <w:rPr>
          <w:sz w:val="20"/>
          <w:szCs w:val="20"/>
          <w:color w:val="auto"/>
        </w:rPr>
      </w:pPr>
    </w:p>
    <w:p>
      <w:pPr>
        <w:ind w:left="20" w:right="260"/>
        <w:spacing w:after="0" w:line="316" w:lineRule="auto"/>
        <w:rPr>
          <w:sz w:val="20"/>
          <w:szCs w:val="20"/>
          <w:color w:val="auto"/>
        </w:rPr>
      </w:pPr>
      <w:r>
        <w:rPr>
          <w:rFonts w:ascii="Times New Roman" w:cs="Times New Roman" w:eastAsia="Times New Roman" w:hAnsi="Times New Roman"/>
          <w:sz w:val="16"/>
          <w:szCs w:val="16"/>
          <w:color w:val="auto"/>
        </w:rPr>
        <w:t>EBITDA margin Adjusted EBITDA margin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Apogee Enterprises, Inc.</w:t>
      </w:r>
    </w:p>
    <w:p>
      <w:pPr>
        <w:spacing w:after="0" w:line="32"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p>
      <w:pPr>
        <w:spacing w:after="0" w:line="32"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6"/>
          <w:szCs w:val="16"/>
          <w:b w:val="1"/>
          <w:bCs w:val="1"/>
          <w:color w:val="auto"/>
        </w:rPr>
        <w:t>Adjusted EBITDA and Adjusted EBITDA Margin</w:t>
      </w:r>
    </w:p>
    <w:p>
      <w:pPr>
        <w:spacing w:after="0" w:line="34"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16"/>
          <w:szCs w:val="16"/>
          <w:color w:val="auto"/>
        </w:rPr>
        <w:t>(Unaudited)</w:t>
      </w:r>
    </w:p>
    <w:p>
      <w:pPr>
        <w:spacing w:after="0" w:line="26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Three Months Ended May 30,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right"/>
              <w:ind w:right="240"/>
              <w:spacing w:after="0" w:line="161"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Architectural Glass</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3"/>
          </w:tcPr>
          <w:p>
            <w:pPr>
              <w:jc w:val="right"/>
              <w:ind w:right="220"/>
              <w:spacing w:after="0" w:line="161"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160"/>
              <w:spacing w:after="0" w:line="161"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80" w:type="dxa"/>
            <w:vAlign w:val="bottom"/>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9,759</w:t>
            </w:r>
          </w:p>
        </w:tc>
        <w:tc>
          <w:tcPr>
            <w:tcW w:w="80" w:type="dxa"/>
            <w:vAlign w:val="bottom"/>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Pr>
          <w:p>
            <w:pPr>
              <w:spacing w:after="0"/>
              <w:rPr>
                <w:sz w:val="16"/>
                <w:szCs w:val="16"/>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2,628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11,535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4,397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3,554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3,950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12,579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13,699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6,578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31,345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4"/>
                <w:szCs w:val="14"/>
                <w:color w:val="auto"/>
              </w:rPr>
              <w:t>13,699</w:t>
            </w:r>
          </w:p>
        </w:tc>
        <w:tc>
          <w:tcPr>
            <w:tcW w:w="8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w:t>
            </w:r>
          </w:p>
        </w:tc>
        <w:tc>
          <w:tcPr>
            <w:tcW w:w="10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6"/>
              <w:spacing w:after="0"/>
              <w:rPr>
                <w:sz w:val="20"/>
                <w:szCs w:val="20"/>
                <w:color w:val="auto"/>
              </w:rPr>
            </w:pPr>
            <w:r>
              <w:rPr>
                <w:rFonts w:ascii="Times New Roman" w:cs="Times New Roman" w:eastAsia="Times New Roman" w:hAnsi="Times New Roman"/>
                <w:sz w:val="14"/>
                <w:szCs w:val="14"/>
                <w:color w:val="auto"/>
              </w:rPr>
              <w:t>6,578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32,115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453"/>
        </w:trPr>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May 31, 2025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Architectural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Architectural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right"/>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Corporate and</w:t>
            </w:r>
          </w:p>
        </w:tc>
        <w:tc>
          <w:tcPr>
            <w:tcW w:w="160" w:type="dxa"/>
            <w:vAlign w:val="bottom"/>
          </w:tcPr>
          <w:p>
            <w:pPr>
              <w:spacing w:after="0"/>
              <w:rPr>
                <w:sz w:val="13"/>
                <w:szCs w:val="13"/>
                <w:color w:val="auto"/>
              </w:rPr>
            </w:pPr>
          </w:p>
        </w:tc>
        <w:tc>
          <w:tcPr>
            <w:tcW w:w="122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Metals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Glass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Surfaces</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3,669</w:t>
            </w:r>
          </w:p>
        </w:tc>
        <w:tc>
          <w:tcPr>
            <w:tcW w:w="8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(6,193)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10,202</w:t>
            </w:r>
          </w:p>
        </w:tc>
        <w:tc>
          <w:tcPr>
            <w:tcW w:w="100" w:type="dxa"/>
            <w:vAlign w:val="bottom"/>
          </w:tcPr>
          <w:p>
            <w:pPr>
              <w:spacing w:after="0"/>
              <w:rPr>
                <w:sz w:val="16"/>
                <w:szCs w:val="16"/>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160" w:type="dxa"/>
            <w:vAlign w:val="bottom"/>
          </w:tcPr>
          <w:p>
            <w:pPr>
              <w:jc w:val="right"/>
              <w:ind w:right="126"/>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12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(14,498)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(2,688)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3,586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5,053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26"/>
              <w:spacing w:after="0"/>
              <w:rPr>
                <w:sz w:val="20"/>
                <w:szCs w:val="20"/>
                <w:color w:val="auto"/>
              </w:rPr>
            </w:pPr>
            <w:r>
              <w:rPr>
                <w:rFonts w:ascii="Times New Roman" w:cs="Times New Roman" w:eastAsia="Times New Roman" w:hAnsi="Times New Roman"/>
                <w:sz w:val="14"/>
                <w:szCs w:val="14"/>
                <w:color w:val="auto"/>
              </w:rPr>
              <w:t>3,550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731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12,436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7,895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13,417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26"/>
              <w:spacing w:after="0"/>
              <w:rPr>
                <w:sz w:val="20"/>
                <w:szCs w:val="20"/>
                <w:color w:val="auto"/>
              </w:rPr>
            </w:pPr>
            <w:r>
              <w:rPr>
                <w:rFonts w:ascii="Times New Roman" w:cs="Times New Roman" w:eastAsia="Times New Roman" w:hAnsi="Times New Roman"/>
                <w:sz w:val="14"/>
                <w:szCs w:val="14"/>
                <w:color w:val="auto"/>
              </w:rPr>
              <w:t>7,682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(5,128)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18,685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26"/>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1,471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11,248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Times New Roman" w:cs="Times New Roman" w:eastAsia="Times New Roman" w:hAnsi="Times New Roman"/>
                <w:sz w:val="14"/>
                <w:szCs w:val="14"/>
                <w:color w:val="auto"/>
              </w:rPr>
              <w:t>2,631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8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9,366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6,067</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color w:val="auto"/>
              </w:rPr>
              <w:t>13,417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color w:val="auto"/>
              </w:rPr>
              <w:t>7,959</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4"/>
                <w:szCs w:val="14"/>
                <w:color w:val="auto"/>
              </w:rPr>
              <w:t>(2,425)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34,384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5"/>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-3147695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-2873375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-2599055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-2315845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-3430270</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-1236345</wp:posOffset>
            </wp:positionV>
            <wp:extent cx="711517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-961390</wp:posOffset>
            </wp:positionV>
            <wp:extent cx="711517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-687070</wp:posOffset>
            </wp:positionV>
            <wp:extent cx="711517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-396240</wp:posOffset>
            </wp:positionV>
            <wp:extent cx="71151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-121920</wp:posOffset>
            </wp:positionV>
            <wp:extent cx="71151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-1518920</wp:posOffset>
            </wp:positionV>
            <wp:extent cx="711517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2000" w:space="520"/>
            <w:col w:w="8720"/>
          </w:cols>
          <w:pgMar w:left="320" w:top="229" w:right="339" w:bottom="1440" w:gutter="0" w:footer="0" w:header="0"/>
          <w:type w:val="continuous"/>
        </w:sectPr>
      </w:pPr>
    </w:p>
    <w:p>
      <w:pPr>
        <w:ind w:left="560" w:right="20" w:hanging="366"/>
        <w:spacing w:after="0" w:line="251" w:lineRule="auto"/>
        <w:tabs>
          <w:tab w:leader="none" w:pos="5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associated with the pending Keller Companies, Inc. acquisition in fiscal 2027 and UW Solutions acquisition in fiscal 2026, respectively, which management does not consider reflective of core operating performance for the periods presented.</w:t>
      </w:r>
    </w:p>
    <w:p>
      <w:pPr>
        <w:ind w:left="560" w:hanging="366"/>
        <w:spacing w:after="0"/>
        <w:tabs>
          <w:tab w:leader="none" w:pos="5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Phase 2, including $7.4 million of asset impairment charges in fiscal 2026.</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Net Earnings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May 30, 2026</w:t>
            </w:r>
          </w:p>
        </w:tc>
        <w:tc>
          <w:tcPr>
            <w:tcW w:w="220" w:type="dxa"/>
            <w:vAlign w:val="bottom"/>
          </w:tcPr>
          <w:p>
            <w:pPr>
              <w:spacing w:after="0"/>
              <w:rPr>
                <w:sz w:val="18"/>
                <w:szCs w:val="18"/>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May 31, 2025</w:t>
            </w:r>
          </w:p>
        </w:tc>
      </w:tr>
      <w:tr>
        <w:trPr>
          <w:trHeight w:val="225"/>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15,350</w:t>
            </w:r>
          </w:p>
        </w:tc>
      </w:tr>
      <w:tr>
        <w:trPr>
          <w:trHeight w:val="229"/>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Income tax impact on above adjustments </w:t>
            </w:r>
            <w:r>
              <w:rPr>
                <w:rFonts w:ascii="Times New Roman" w:cs="Times New Roman" w:eastAsia="Times New Roman" w:hAnsi="Times New Roman"/>
                <w:sz w:val="9"/>
                <w:szCs w:val="9"/>
                <w:color w:val="auto"/>
              </w:rPr>
              <w:t>(3)</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2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r>
    </w:tbl>
    <w:p>
      <w:pPr>
        <w:spacing w:after="0" w:line="207" w:lineRule="exact"/>
        <w:rPr>
          <w:sz w:val="20"/>
          <w:szCs w:val="20"/>
          <w:color w:val="auto"/>
        </w:rPr>
      </w:pPr>
    </w:p>
    <w:p>
      <w:pPr>
        <w:ind w:left="520" w:right="20" w:hanging="346"/>
        <w:spacing w:after="0" w:line="251"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 associated with the pending Keller Companies, Inc. acquisition in fiscal 2027 and UW Solutions acquisition in fiscal 2026, respectively, which management does not consider reflective of core operating performance for the periods presented.</w:t>
      </w:r>
    </w:p>
    <w:p>
      <w:pPr>
        <w:ind w:left="520" w:hanging="34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related to Project Fortify Phase 2, including $7.4 million of asset impairment charges in fiscal 2026.</w:t>
      </w:r>
    </w:p>
    <w:p>
      <w:pPr>
        <w:spacing w:after="0" w:line="41" w:lineRule="exact"/>
        <w:rPr>
          <w:rFonts w:ascii="Times New Roman" w:cs="Times New Roman" w:eastAsia="Times New Roman" w:hAnsi="Times New Roman"/>
          <w:sz w:val="14"/>
          <w:szCs w:val="14"/>
          <w:color w:val="auto"/>
        </w:rPr>
      </w:pPr>
    </w:p>
    <w:p>
      <w:pPr>
        <w:ind w:left="520" w:hanging="346"/>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impact reflects the estimated blended statutory tax rate for the jurisdictions in which the charge or income occurred.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Disclosures related to our business segments are included in Note 12 of our Consolidated Financial Statements. We manage our business in four reportable segments: Architectural Metals, Architectural Services, Architectural Glass and Performance Surfaces.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adjusted EBITDA and adjusted EBITDA margin by segment and the consolidated total.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percentages)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00" w:type="dxa"/>
            <w:vAlign w:val="bottom"/>
          </w:tcPr>
          <w:p>
            <w:pPr>
              <w:spacing w:after="0"/>
              <w:rPr>
                <w:sz w:val="16"/>
                <w:szCs w:val="16"/>
                <w:color w:val="auto"/>
              </w:rPr>
            </w:pP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May 31, 2025</w:t>
            </w:r>
          </w:p>
        </w:tc>
        <w:tc>
          <w:tcPr>
            <w:tcW w:w="100" w:type="dxa"/>
            <w:vAlign w:val="bottom"/>
          </w:tcPr>
          <w:p>
            <w:pPr>
              <w:spacing w:after="0"/>
              <w:rPr>
                <w:sz w:val="16"/>
                <w:szCs w:val="16"/>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122,443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128,624</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115,237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106,505</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67,712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73,273</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44,324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42,250</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segment sales</w:t>
            </w:r>
          </w:p>
        </w:tc>
        <w:tc>
          <w:tcPr>
            <w:tcW w:w="2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349,716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350,652</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(4,030)</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74.5%</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342,684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346,622</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9,366</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46.3%</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6,067</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tcPr>
          <w:p>
            <w:pPr>
              <w:spacing w:after="0"/>
              <w:rPr>
                <w:sz w:val="19"/>
                <w:szCs w:val="19"/>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13,417</w:t>
            </w:r>
          </w:p>
        </w:tc>
        <w:tc>
          <w:tcPr>
            <w:tcW w:w="10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(56.1)%</w:t>
            </w: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7,959</w:t>
            </w:r>
          </w:p>
        </w:tc>
        <w:tc>
          <w:tcPr>
            <w:tcW w:w="10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(17.4)%</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(2,425)</w:t>
            </w:r>
          </w:p>
        </w:tc>
        <w:tc>
          <w:tcPr>
            <w:tcW w:w="10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92.0%</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34,384</w:t>
            </w:r>
          </w:p>
        </w:tc>
        <w:tc>
          <w:tcPr>
            <w:tcW w:w="1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Metals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Architectural Services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Architectural Glass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Surfaces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Metals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2027 to First Quarter Fiscal 2026</w:t>
      </w:r>
    </w:p>
    <w:p>
      <w:pPr>
        <w:spacing w:after="0" w:line="11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$122.4 million, compared to $128.6 million, primarily due to lower volume, partially offset by favorable price and product mix.</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$13.7 million, or 11.2% of net sales, compared to $9.4 million, or 7.3% of net sales. The higher adjusted EBITDA margin was primarily driven by improved mix and favorable productivity including cost savings related to Project Fortify Phase 2, partially offset by the impact of lower volume and the impact from higher aluminum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2027 to First Quarter Fiscal 2026</w:t>
      </w:r>
    </w:p>
    <w:p>
      <w:pPr>
        <w:spacing w:after="0" w:line="11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$115.2 million, compared to $106.5 million, driven by increased volume.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remained relatively consistent at $6.1 million, or 5.3% of net sales, compared to $6.1 million, or 5.7% of net sales. The decline in adjusted EBITDA margin was driven by unfavorable project mix, mostly offset by benefits from the actions of Project Fortify Phase 2 to reduce the impact of tariffs, and the impact from increased volume.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catch-up adjustments on our longer-term contracts for changes in estimates were as follows:</w:t>
      </w:r>
    </w:p>
    <w:p>
      <w:pPr>
        <w:spacing w:after="0" w:line="54"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30, 2026</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May 31, 2025</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2027 to First Quarter Fiscal 2026</w:t>
      </w:r>
    </w:p>
    <w:p>
      <w:pPr>
        <w:spacing w:after="0" w:line="119" w:lineRule="exact"/>
        <w:rPr>
          <w:sz w:val="20"/>
          <w:szCs w:val="20"/>
          <w:color w:val="auto"/>
        </w:rPr>
      </w:pPr>
    </w:p>
    <w:p>
      <w:pPr>
        <w:ind w:left="660" w:right="1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$67.7 million, compared to $73.3 million, driven by lower price and volume due to continued end market softness, partially offset by favorable mix.</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$5.9 million, or 8.7% of net sales, compared to $13.4 million, or 18.3% of net sales. The decrease in adjusted EBITDA margin was primarily driven by lower price, reduced volume, and material inflation.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Surfaces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2027 to First Quarter Fiscal 2026</w:t>
      </w:r>
    </w:p>
    <w:p>
      <w:pPr>
        <w:spacing w:after="0" w:line="11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$44.3 million, compared to $42.3 million, driven by increased volume and favorable price.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$6.6 million, or 14.8% of net sales, compared to $8.0 million, or 18.8% of net sales. The decrease in adjusted EBITDA margin was primarily driven by the net impact of higher material and freight costs, partially offset by productivity.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First Quarter Fiscal 2027 to First Quarter Fiscal 2026</w:t>
      </w:r>
    </w:p>
    <w:p>
      <w:pPr>
        <w:spacing w:after="0" w:line="11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adjusted EBITDA expense was $0.2 million, compared to $2.4 million, primarily due to an insurance-related benefit.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is defined as the dollar amount of signed contracts or firm orders, generally as a result of a competitive bidding process, which is expected to be recognized as revenue. Backlog is an operating measure used by management to assess future potential sales revenue. Backlog is not a term defined under U.S. GAAP and is not a measure of contract profitability. Backlog should not be used as the sole indicator of future revenue because we have a substantial number of projects with short lead times that book-and-bill within the same reporting period that are not included in backlog. It is most meaningful for the Architectural Services segment, due to the long-term nature of their projects.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30, 2026, segment backlog in the Architectural Services Segment was approximately $734.5 million, compared to approximately $682.9 million at the end of the first quarter of fiscal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cash provided by operations for our ongoing cash requirements, including working capital needs, capital expenditures, satisfaction of contractual commitments (including principal and interest payments on our outstanding indebtedness) and shareholder return through dividend payments and share repurchases.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$7.4 million for the first three months of fiscal 2027, compared to a use of $19.8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prior year period. The increase in net cash provided by operating activities was driven by higher net earnings and an arbitration settlement payment in the prior year that did not recur.</w:t>
      </w:r>
    </w:p>
    <w:p>
      <w:pPr>
        <w:spacing w:after="0" w:line="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$9.8 million for the first three months of fiscal 2027, compared to $7.0 million in the prior-year period. The increase net cash used in investing activities was primarily related purchases of marketable securities.</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$11.1 million for the first three months of fiscal 2027, compared to $17.6 million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by financing activities in the prior year period. The change in net cash provided by financing activities was driven by lower net proceeds received from our revolving credit facility, partially offset by $9.7 million of repurchases of common stock.</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Liquidity Considerations. </w:t>
      </w:r>
      <w:r>
        <w:rPr>
          <w:rFonts w:ascii="Times New Roman" w:cs="Times New Roman" w:eastAsia="Times New Roman" w:hAnsi="Times New Roman"/>
          <w:sz w:val="18"/>
          <w:szCs w:val="18"/>
          <w:color w:val="auto"/>
        </w:rPr>
        <w:t>We periodically evaluate our liquidity requirements, cash needs and availability of debt resources relative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plans, significant capital plans, and other working capital needs. See Note 5 to our Consolidated Financial Statements for more information related to our debt agreements.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term loan facility were $209.4 million as of May 30, 2026. Outstanding borrowings under the revolving credit facility were $28.0 million as of May 30, 2026.</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May 30, 2026, we had a total of $2.6 million of ongoing letters of credit related to the senior credit facility, construction contracts and insurance collateral that expire in fiscal 2027 and reduce borrowing capacity under the revolving credit facility. As of May 30, 2026, the amount available for revolving borrowings was $419.4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Future payments for such leases, excluding leases with initial terms of one year or less, were $56.8 million at May 30, 2026, with $11.8 million payable during the remainder of fiscal 2027.</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30, 2026, we had $14.9 million of open purchase obligations, of which payments totaling $7.4 million are expected to become due during the remainder of fiscal 2027.</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May 30, 2026, $1.1 billion of these types of bonds were outstanding, of which $239.8 million is in our backlog. These bonds have expiration dates that align with completion of the purchase order or contract. We have not been required to make any payments under these bonds with respect to our existing businesses.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28,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from those disclosed in our Annual Report on Form 10-K for the fiscal year ended February 28,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fiscal year ended February 28, 2026, for a discussion of the Company’s market risk. There have been no material changes in market risk since February 28, 2026.</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May 30, 2026,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or additions to our risk factors discussed in our Annual Report on Form 10-K for the fiscal year ended February 28, 2026.</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first quarter of fiscal 2027: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8"/>
        </w:trPr>
        <w:tc>
          <w:tcPr>
            <w:tcW w:w="440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01, 2026 to March 28, 2026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1,798,211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29, 2026 to April 25, 2026</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1,798,211</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26, 2026 to May 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269,500</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1,528,711</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269,500</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1,528,711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82" w:lineRule="auto"/>
        <w:tabs>
          <w:tab w:leader="none" w:pos="33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includes shares repurchased pursuant to our publicly announced repurchase program and, to the extent applicable, shares that were surrendered by plan participants to satisfy withholding tax obligations related to share-based compensation.</w:t>
      </w:r>
    </w:p>
    <w:p>
      <w:pPr>
        <w:spacing w:after="0" w:line="67" w:lineRule="exact"/>
        <w:rPr>
          <w:rFonts w:ascii="Times New Roman" w:cs="Times New Roman" w:eastAsia="Times New Roman" w:hAnsi="Times New Roman"/>
          <w:sz w:val="14"/>
          <w:szCs w:val="14"/>
          <w:color w:val="auto"/>
        </w:rPr>
      </w:pPr>
    </w:p>
    <w:p>
      <w:pPr>
        <w:jc w:val="both"/>
        <w:ind w:left="340" w:hanging="332"/>
        <w:spacing w:after="0" w:line="279"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pacing w:after="0" w:line="2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30, 2026, none of our directors or officers (as defined in Rule 16a-1(f) of the Exchange Act) adopted or terminated any “Rule 10b5-1 trading arrangement” or any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0" w:lineRule="exact"/>
        <w:rPr>
          <w:sz w:val="20"/>
          <w:szCs w:val="20"/>
          <w:color w:val="auto"/>
        </w:rPr>
      </w:pPr>
    </w:p>
    <w:p>
      <w:pPr>
        <w:ind w:left="20"/>
        <w:spacing w:after="0"/>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62">
        <w:r>
          <w:rPr>
            <w:rFonts w:ascii="Times New Roman" w:cs="Times New Roman" w:eastAsia="Times New Roman" w:hAnsi="Times New Roman"/>
            <w:sz w:val="18"/>
            <w:szCs w:val="18"/>
            <w:u w:val="single" w:color="auto"/>
            <w:color w:val="0000FF"/>
          </w:rPr>
          <w:t>Merger Agreement, dated as of May 27 2026, by and among Keller Companies, Inc., Robert Keller Family Trust (2007), Bruce M. Keller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029450"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029450" cy="377190"/>
                    </a:xfrm>
                    <a:prstGeom prst="rect">
                      <a:avLst/>
                    </a:prstGeom>
                    <a:noFill/>
                  </pic:spPr>
                </pic:pic>
              </a:graphicData>
            </a:graphic>
          </wp:anchor>
        </w:drawing>
      </w:r>
    </w:p>
    <w:p>
      <w:pPr>
        <w:ind w:left="780"/>
        <w:spacing w:after="0" w:line="219" w:lineRule="auto"/>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2012 Irrevocable Trust, Richard R. Keller 2012 Irrevocable Trust, Ark 2012 Irrevocable Trust, Scott F. Keller 2012 Irrevocable Trust and</w:t>
        </w:r>
      </w:hyperlink>
    </w:p>
    <w:p>
      <w:pPr>
        <w:jc w:val="center"/>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Apogee Enterprises, Inc. Incorporate by reference to Exhibit 2.1 to Registrant's Current Report on Form 8-K filed on May 28, 2026.</w:t>
        </w:r>
      </w:hyperlink>
    </w:p>
    <w:p>
      <w:pPr>
        <w:spacing w:after="0" w:line="7" w:lineRule="exact"/>
        <w:rPr>
          <w:sz w:val="20"/>
          <w:szCs w:val="20"/>
          <w:color w:val="auto"/>
        </w:rPr>
      </w:pPr>
    </w:p>
    <w:p>
      <w:pPr>
        <w:jc w:val="both"/>
        <w:ind w:left="780" w:hanging="755"/>
        <w:spacing w:after="0" w:line="234"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64">
        <w:r>
          <w:rPr>
            <w:rFonts w:ascii="Times New Roman" w:cs="Times New Roman" w:eastAsia="Times New Roman" w:hAnsi="Times New Roman"/>
            <w:sz w:val="18"/>
            <w:szCs w:val="18"/>
            <w:u w:val="single" w:color="auto"/>
            <w:color w:val="0000FF"/>
          </w:rPr>
          <w:t>Restated Articles of Incorporation. (Incorporated by reference to Exhibit 3.1 to Registrant's Annual Report on Form 10-K for the year-ended</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February 28, 2004.)</w:t>
        </w:r>
      </w:hyperlink>
    </w:p>
    <w:p>
      <w:pPr>
        <w:ind w:left="20"/>
        <w:spacing w:after="0" w:line="238"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65">
        <w:r>
          <w:rPr>
            <w:rFonts w:ascii="Times New Roman" w:cs="Times New Roman" w:eastAsia="Times New Roman" w:hAnsi="Times New Roman"/>
            <w:sz w:val="18"/>
            <w:szCs w:val="18"/>
            <w:u w:val="single" w:color="auto"/>
            <w:color w:val="0000FF"/>
          </w:rPr>
          <w:t>Articles of Amendment to Restated Articles of Incorporation. Incorporated by reference to Exhibit 3.1 to Registrant's Current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02945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ind w:left="78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8-K filed on January 16, 2020.</w:t>
        </w:r>
      </w:hyperlink>
    </w:p>
    <w:p>
      <w:pPr>
        <w:spacing w:after="0" w:line="16" w:lineRule="exact"/>
        <w:rPr>
          <w:sz w:val="20"/>
          <w:szCs w:val="20"/>
          <w:color w:val="auto"/>
        </w:rPr>
      </w:pPr>
    </w:p>
    <w:p>
      <w:pPr>
        <w:jc w:val="both"/>
        <w:ind w:left="780" w:hanging="755"/>
        <w:spacing w:after="0" w:line="237"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67">
        <w:r>
          <w:rPr>
            <w:rFonts w:ascii="Times New Roman" w:cs="Times New Roman" w:eastAsia="Times New Roman" w:hAnsi="Times New Roman"/>
            <w:sz w:val="18"/>
            <w:szCs w:val="18"/>
            <w:u w:val="single" w:color="auto"/>
            <w:color w:val="0000FF"/>
          </w:rPr>
          <w:t>Amended and Restated Bylaws of Apogee Enterprises, Inc. (Incorporated by reference to Exhibit 3.3 to the Registrant’s Quarterly Report on</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Form 10-Q filed on July 1, 2021.)</w:t>
        </w:r>
      </w:hyperlink>
    </w:p>
    <w:p>
      <w:pPr>
        <w:spacing w:after="0" w:line="10"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2945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2945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 Act of</w:t>
      </w:r>
    </w:p>
    <w:p>
      <w:pPr>
        <w:ind w:left="78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5"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w:t>
      </w:r>
    </w:p>
    <w:p>
      <w:pPr>
        <w:ind w:left="78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16" w:lineRule="exact"/>
        <w:rPr>
          <w:sz w:val="20"/>
          <w:szCs w:val="20"/>
          <w:color w:val="auto"/>
        </w:rPr>
      </w:pPr>
    </w:p>
    <w:p>
      <w:pPr>
        <w:jc w:val="both"/>
        <w:ind w:left="780" w:hanging="759"/>
        <w:spacing w:after="0" w:line="24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Apogee Enterprises, Inc.’s Quarterly Report on Form 10-Q for the quarter ended May 30, 2026, formatted in iXBRL (Inline Extensible Business Reporting Language): (i) the Consolidated Balance Sheets as of May 30, 2026 and February 28, 2026, (ii) the Consolidated Results of Operations for the three months ended May 30, 2026 and May 31, 2025, (iii) the Consolidated Statements of Comprehensive Earnings for the three months ended May 30, 2026 and May 31, 2025, (iv) the Consolidated Statements of Cash Flows for the three-months ended May 30, 2026 and May 31, 2025, (v) the Consolidated Statements of Shareholders' Equity for the three months ended May 30, 2026 and May 31, 2025,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029450" cy="8058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029450" cy="805815"/>
                    </a:xfrm>
                    <a:prstGeom prst="rect">
                      <a:avLst/>
                    </a:prstGeom>
                    <a:noFill/>
                  </pic:spPr>
                </pic:pic>
              </a:graphicData>
            </a:graphic>
          </wp:anchor>
        </w:drawing>
      </w:r>
    </w:p>
    <w:p>
      <w:pPr>
        <w:spacing w:after="0" w:line="2" w:lineRule="exact"/>
        <w:rPr>
          <w:sz w:val="20"/>
          <w:szCs w:val="20"/>
          <w:color w:val="auto"/>
        </w:rPr>
      </w:pPr>
    </w:p>
    <w:p>
      <w:pPr>
        <w:ind w:left="20"/>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945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Exhibits marked with a (#) sign are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color w:val="auto"/>
        </w:rPr>
        <w:t>By: /s/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17145</wp:posOffset>
            </wp:positionV>
            <wp:extent cx="36087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Donald A. Nolan</w:t>
      </w:r>
    </w:p>
    <w:p>
      <w:pPr>
        <w:ind w:left="6040"/>
        <w:spacing w:after="0" w:line="219" w:lineRule="auto"/>
        <w:rPr>
          <w:sz w:val="20"/>
          <w:szCs w:val="20"/>
          <w:color w:val="auto"/>
        </w:rPr>
      </w:pPr>
      <w:r>
        <w:rPr>
          <w:rFonts w:ascii="Times New Roman" w:cs="Times New Roman" w:eastAsia="Times New Roman" w:hAnsi="Times New Roman"/>
          <w:sz w:val="18"/>
          <w:szCs w:val="18"/>
          <w:color w:val="auto"/>
        </w:rPr>
        <w:t>Executive Chair and Chief Executive Officer</w:t>
      </w:r>
    </w:p>
    <w:p>
      <w:pPr>
        <w:ind w:left="6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554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color w:val="auto"/>
        </w:rPr>
        <w:t>By: /s/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17145</wp:posOffset>
            </wp:positionV>
            <wp:extent cx="3617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Mark R. Augdahl</w:t>
      </w:r>
    </w:p>
    <w:p>
      <w:pPr>
        <w:ind w:left="6020"/>
        <w:spacing w:after="0" w:line="203"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229"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Donald A. Nolan, certify that:</w:t>
      </w:r>
    </w:p>
    <w:p>
      <w:pPr>
        <w:spacing w:after="0" w:line="117"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hanging="652"/>
        <w:spacing w:after="0" w:line="266" w:lineRule="auto"/>
        <w:tabs>
          <w:tab w:leader="none" w:pos="19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 June 30, 2026</w:t>
      </w:r>
    </w:p>
    <w:p>
      <w:pPr>
        <w:spacing w:after="0" w:line="7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43180</wp:posOffset>
            </wp:positionV>
            <wp:extent cx="33947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8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Donald A. Nolan</w:t>
      </w:r>
    </w:p>
    <w:p>
      <w:pPr>
        <w:spacing w:after="0" w:line="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Chair, President and Chief Executive Officer</w:t>
      </w:r>
    </w:p>
    <w:p>
      <w:pPr>
        <w:sectPr>
          <w:pgSz w:w="11900" w:h="16838" w:orient="portrait"/>
          <w:cols w:equalWidth="0" w:num="1">
            <w:col w:w="11240"/>
          </w:cols>
          <w:pgMar w:left="320" w:top="914"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R. Augdahl, certify that:</w:t>
      </w:r>
    </w:p>
    <w:p>
      <w:pPr>
        <w:spacing w:after="0" w:line="117"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20" w:hanging="652"/>
        <w:spacing w:after="0" w:line="266" w:lineRule="auto"/>
        <w:tabs>
          <w:tab w:leader="none" w:pos="2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300" w:hanging="652"/>
        <w:spacing w:after="0" w:line="266" w:lineRule="auto"/>
        <w:tabs>
          <w:tab w:leader="none" w:pos="22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60" w:hanging="652"/>
        <w:spacing w:after="0" w:line="282" w:lineRule="auto"/>
        <w:tabs>
          <w:tab w:leader="none" w:pos="2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Date: June 30, 2026</w:t>
      </w:r>
    </w:p>
    <w:p>
      <w:pPr>
        <w:spacing w:after="0" w:line="3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30861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Mark R. Augdahl</w:t>
      </w:r>
    </w:p>
    <w:p>
      <w:pPr>
        <w:ind w:left="64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88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May 30, 2026 as filed with the Securities and Exchange Commission (the “Report”), I, Donald A. Nolan, Executive Chair, President and Chief Executive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Donald A.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A. Nolan</w:t>
      </w:r>
    </w:p>
    <w:p>
      <w:pPr>
        <w:ind w:left="20"/>
        <w:spacing w:after="0"/>
        <w:rPr>
          <w:sz w:val="20"/>
          <w:szCs w:val="20"/>
          <w:color w:val="auto"/>
        </w:rPr>
      </w:pPr>
      <w:r>
        <w:rPr>
          <w:rFonts w:ascii="Times New Roman" w:cs="Times New Roman" w:eastAsia="Times New Roman" w:hAnsi="Times New Roman"/>
          <w:sz w:val="18"/>
          <w:szCs w:val="18"/>
          <w:color w:val="auto"/>
        </w:rPr>
        <w:t>Executive Chair, 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30, 2026</w:t>
      </w:r>
    </w:p>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May 30, 2026 as filed with the Securities and Exchange Commission (the “Report”), I, Mark R. Augdahl, Executive Vice President and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R. Augdahl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R. Augdahl</w:t>
      </w:r>
    </w:p>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30,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5"/>
    </w:lvl>
  </w:abstractNum>
  <w:abstractNum w:abstractNumId="5">
    <w:nsid w:val="62BBD95A"/>
    <w:multiLevelType w:val="hybridMultilevel"/>
    <w:lvl w:ilvl="0">
      <w:lvlJc w:val="left"/>
      <w:lvlText w:val="%1."/>
      <w:numFmt w:val="decimal"/>
      <w:start w:val="6"/>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267"/>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lvl w:ilvl="1">
      <w:lvlJc w:val="left"/>
      <w:lvlText w:val="(%2)"/>
      <w:numFmt w:val="decimal"/>
      <w:start w:val="1"/>
    </w:lvl>
  </w:abstractNum>
  <w:abstractNum w:abstractNumId="16">
    <w:nsid w:val="4353D0CD"/>
    <w:multiLevelType w:val="hybridMultilevel"/>
    <w:lvl w:ilvl="0">
      <w:lvlJc w:val="left"/>
      <w:lvlText w:val="%1."/>
      <w:numFmt w:val="decimal"/>
      <w:start w:val="13"/>
    </w:lvl>
    <w:lvl w:ilvl="1">
      <w:lvlJc w:val="left"/>
      <w:lvlText w:val="%2"/>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6"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62" Type="http://schemas.openxmlformats.org/officeDocument/2006/relationships/hyperlink" Target="https://www.sec.gov/ix?doc=/Archives/edgar/data/6845/000000684526000044/apog-20260527_d2.htm" TargetMode="External"/><Relationship Id="rId64" Type="http://schemas.openxmlformats.org/officeDocument/2006/relationships/hyperlink" Target="https://www.sec.gov/Archives/edgar/data/6845/000119312504079352/dex31.htm" TargetMode="External"/><Relationship Id="rId65" Type="http://schemas.openxmlformats.org/officeDocument/2006/relationships/hyperlink" Target="https://www.sec.gov/Archives/edgar/data/6845/000119312520008887/d874518dex31.htm" TargetMode="External"/><Relationship Id="rId67" Type="http://schemas.openxmlformats.org/officeDocument/2006/relationships/hyperlink" Target="https://www.sec.gov/Archives/edgar/data/0000006845/000000684521000020/apog-ex33arbylawsfinalap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2026-06-30T14:06:26Z</dcterms:created>
  <dcterms:modified xsi:type="dcterms:W3CDTF">2026-06-30T14:06:26Z</dcterms:modified>
</cp:coreProperties>
</file>