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00" w:hanging="474"/>
        <w:spacing w:after="0" w:line="195" w:lineRule="auto"/>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1, 2024</w:t>
      </w:r>
    </w:p>
    <w:p>
      <w:pPr>
        <w:ind w:left="480" w:hanging="454"/>
        <w:spacing w:after="0" w:line="206"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7"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37"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92"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37"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500"/>
        <w:spacing w:after="0"/>
        <w:tabs>
          <w:tab w:leader="none" w:pos="5320" w:val="left"/>
          <w:tab w:leader="none" w:pos="810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7"/>
          <w:szCs w:val="17"/>
          <w:color w:val="auto"/>
        </w:rPr>
        <w:t>The Nasdaq Stock Market</w:t>
      </w:r>
    </w:p>
    <w:p>
      <w:pPr>
        <w:spacing w:after="0" w:line="9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2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0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08" w:right="339" w:bottom="1440" w:gutter="0" w:footer="0" w:header="0"/>
        </w:sectPr>
      </w:pP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60"/>
              <w:spacing w:after="0"/>
              <w:rPr>
                <w:sz w:val="20"/>
                <w:szCs w:val="20"/>
                <w:color w:val="auto"/>
              </w:rPr>
            </w:pPr>
            <w:r>
              <w:rPr>
                <w:rFonts w:ascii="Wingdings" w:cs="Wingdings" w:eastAsia="Wingdings" w:hAnsi="Wingdings"/>
                <w:sz w:val="18"/>
                <w:szCs w:val="18"/>
                <w:b w:val="1"/>
                <w:bCs w:val="1"/>
                <w:color w:val="auto"/>
              </w:rPr>
              <w:t>x</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9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9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33"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8"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08" w:right="339" w:bottom="1440" w:gutter="0" w:footer="0" w:header="0"/>
          <w:type w:val="continuous"/>
        </w:sectPr>
      </w:pPr>
    </w:p>
    <w:bookmarkStart w:id="1" w:name="page2"/>
    <w:bookmarkEnd w:id="1"/>
    <w:p>
      <w:pPr>
        <w:ind w:right="599"/>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As of July 5, 2024, 21,933,163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5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40" w:type="dxa"/>
            <w:vAlign w:val="bottom"/>
            <w:gridSpan w:val="6"/>
          </w:tcPr>
          <w:p>
            <w:pPr>
              <w:ind w:left="2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760" w:type="dxa"/>
            <w:vAlign w:val="bottom"/>
            <w:gridSpan w:val="10"/>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Earnings</w:t>
            </w:r>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22"/>
                <w:szCs w:val="22"/>
                <w:color w:val="auto"/>
              </w:rPr>
            </w:pPr>
          </w:p>
        </w:tc>
      </w:tr>
      <w:tr>
        <w:trPr>
          <w:trHeight w:val="88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7"/>
                <w:szCs w:val="17"/>
                <w:color w:val="auto"/>
                <w:w w:val="70"/>
              </w:rPr>
              <w:t>3</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58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9"/>
        </w:trPr>
        <w:tc>
          <w:tcPr>
            <w:tcW w:w="7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75"/>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2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June 1, 2024</w:t>
            </w:r>
          </w:p>
        </w:tc>
        <w:tc>
          <w:tcPr>
            <w:tcW w:w="22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top w:val="single" w:sz="8" w:color="auto"/>
            </w:tcBorders>
            <w:shd w:val="clear" w:color="auto" w:fill="CCEEFF"/>
          </w:tcPr>
          <w:p>
            <w:pPr>
              <w:spacing w:after="0"/>
              <w:rPr>
                <w:sz w:val="19"/>
                <w:szCs w:val="19"/>
                <w:color w:val="auto"/>
              </w:rPr>
            </w:pPr>
          </w:p>
        </w:tc>
        <w:tc>
          <w:tcPr>
            <w:tcW w:w="6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173,557</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69,240</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49,502</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29,124</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358,639</w:t>
            </w:r>
          </w:p>
        </w:tc>
      </w:tr>
      <w:tr>
        <w:trPr>
          <w:trHeight w:val="223"/>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$452,711 and $445,017</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244,216</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40,221</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129,182</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66,114</w:t>
            </w:r>
          </w:p>
        </w:tc>
      </w:tr>
      <w:tr>
        <w:trPr>
          <w:trHeight w:val="229"/>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45,692</w:t>
            </w:r>
          </w:p>
        </w:tc>
      </w:tr>
      <w:tr>
        <w:trPr>
          <w:trHeight w:val="223"/>
        </w:trPr>
        <w:tc>
          <w:tcPr>
            <w:tcW w:w="620" w:type="dxa"/>
            <w:vAlign w:val="bottom"/>
          </w:tcPr>
          <w:p>
            <w:pPr>
              <w:spacing w:after="0"/>
              <w:rPr>
                <w:sz w:val="19"/>
                <w:szCs w:val="19"/>
                <w:color w:val="auto"/>
              </w:rPr>
            </w:pPr>
          </w:p>
        </w:tc>
        <w:tc>
          <w:tcPr>
            <w:tcW w:w="7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888,979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884,064</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84,755</w:t>
            </w:r>
          </w:p>
        </w:tc>
      </w:tr>
      <w:tr>
        <w:trPr>
          <w:trHeight w:val="230"/>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53,801</w:t>
            </w:r>
          </w:p>
        </w:tc>
      </w:tr>
      <w:tr>
        <w:trPr>
          <w:trHeight w:val="229"/>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34,755</w:t>
            </w:r>
          </w:p>
        </w:tc>
      </w:tr>
      <w:tr>
        <w:trPr>
          <w:trHeight w:val="230"/>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59,108</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244,705</w:t>
            </w:r>
          </w:p>
        </w:tc>
      </w:tr>
      <w:tr>
        <w:trPr>
          <w:trHeight w:val="223"/>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30,552</w:t>
            </w:r>
          </w:p>
        </w:tc>
      </w:tr>
      <w:tr>
        <w:trPr>
          <w:trHeight w:val="229"/>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43,875</w:t>
            </w:r>
          </w:p>
        </w:tc>
      </w:tr>
      <w:tr>
        <w:trPr>
          <w:trHeight w:val="230"/>
        </w:trPr>
        <w:tc>
          <w:tcPr>
            <w:tcW w:w="7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6)</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Junior preferred stock of $1.00 par value; authorized 200,000 shares; zero issued and outstanding</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860" w:type="dxa"/>
            <w:vAlign w:val="bottom"/>
            <w:gridSpan w:val="4"/>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21,936,674 and 22,089,265, respectively</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152,818</w:t>
            </w:r>
          </w:p>
        </w:tc>
      </w:tr>
      <w:tr>
        <w:trPr>
          <w:trHeight w:val="229"/>
        </w:trPr>
        <w:tc>
          <w:tcPr>
            <w:tcW w:w="78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340,375</w:t>
            </w:r>
          </w:p>
        </w:tc>
      </w:tr>
      <w:tr>
        <w:trPr>
          <w:trHeight w:val="230"/>
        </w:trPr>
        <w:tc>
          <w:tcPr>
            <w:tcW w:w="78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(29,531)</w:t>
            </w:r>
          </w:p>
        </w:tc>
      </w:tr>
      <w:tr>
        <w:trPr>
          <w:trHeight w:val="223"/>
        </w:trPr>
        <w:tc>
          <w:tcPr>
            <w:tcW w:w="6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471,025</w:t>
            </w: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884,064</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1, 2024</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May 27, 2023</w:t>
            </w:r>
          </w:p>
        </w:tc>
      </w:tr>
      <w:tr>
        <w:trPr>
          <w:trHeight w:val="225"/>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361,713</w:t>
            </w: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268,727</w:t>
            </w:r>
          </w:p>
        </w:tc>
      </w:tr>
      <w:tr>
        <w:trPr>
          <w:trHeight w:val="223"/>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92,986</w:t>
            </w: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59,219</w:t>
            </w:r>
          </w:p>
        </w:tc>
      </w:tr>
      <w:tr>
        <w:trPr>
          <w:trHeight w:val="223"/>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33,767</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31,443</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23,576</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21,883</w:t>
            </w: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w:t>
            </w: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1, 2024</w:t>
            </w:r>
          </w:p>
        </w:tc>
        <w:tc>
          <w:tcPr>
            <w:tcW w:w="200" w:type="dxa"/>
            <w:vAlign w:val="bottom"/>
          </w:tcPr>
          <w:p>
            <w:pPr>
              <w:spacing w:after="0"/>
              <w:rPr>
                <w:sz w:val="18"/>
                <w:szCs w:val="18"/>
                <w:color w:val="auto"/>
              </w:rPr>
            </w:pPr>
          </w:p>
        </w:tc>
        <w:tc>
          <w:tcPr>
            <w:tcW w:w="13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May 27, 2023</w:t>
            </w:r>
          </w:p>
        </w:tc>
      </w:tr>
      <w:tr>
        <w:trPr>
          <w:trHeight w:val="225"/>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23,576</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gain on marketable securities, net of $(1) and $33 of tax (benefit) expense, respectively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176"/>
        </w:trPr>
        <w:tc>
          <w:tcPr>
            <w:tcW w:w="808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gain (loss) on derivative instruments, net of $364 and $(121) of tax expense (benefit),</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3"/>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1, 2024</w:t>
            </w:r>
          </w:p>
        </w:tc>
        <w:tc>
          <w:tcPr>
            <w:tcW w:w="20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May 27, 2023</w:t>
            </w:r>
          </w:p>
        </w:tc>
        <w:tc>
          <w:tcPr>
            <w:tcW w:w="0" w:type="dxa"/>
            <w:vAlign w:val="bottom"/>
          </w:tcPr>
          <w:p>
            <w:pPr>
              <w:spacing w:after="0"/>
              <w:rPr>
                <w:sz w:val="1"/>
                <w:szCs w:val="1"/>
                <w:color w:val="auto"/>
              </w:rPr>
            </w:pPr>
          </w:p>
        </w:tc>
      </w:tr>
      <w:tr>
        <w:trPr>
          <w:trHeight w:val="225"/>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14,368</w:t>
            </w: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29"/>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Sales/maturities of marketable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105,852</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on revolving credit facilities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21,473</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declared but not yet paid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(Unaudited)</w:t>
      </w:r>
    </w:p>
    <w:p>
      <w:pPr>
        <w:spacing w:after="0" w:line="116"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6"/>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352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 2024</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22,089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7,363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152,818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340,375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(29,531)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471,025</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31,011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31,011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170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2,704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2,704</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(13,120)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(15,061)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(4,206)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(4,836)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Declared dividends</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(5,409)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(5,409)</w:t>
            </w: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35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1, 2024</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21,937</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7,312</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153,002</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348,651</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(29,010)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479,955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40" w:type="dxa"/>
            <w:vAlign w:val="bottom"/>
          </w:tcPr>
          <w:p>
            <w:pPr>
              <w:spacing w:after="0"/>
              <w:rPr>
                <w:sz w:val="11"/>
                <w:szCs w:val="11"/>
                <w:color w:val="auto"/>
              </w:rPr>
            </w:pPr>
          </w:p>
        </w:tc>
        <w:tc>
          <w:tcPr>
            <w:tcW w:w="11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Common Stock at</w:t>
            </w:r>
          </w:p>
        </w:tc>
        <w:tc>
          <w:tcPr>
            <w:tcW w:w="120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1200" w:type="dxa"/>
            <w:vAlign w:val="bottom"/>
            <w:gridSpan w:val="5"/>
            <w:vMerge w:val="continue"/>
          </w:tcPr>
          <w:p>
            <w:pPr>
              <w:spacing w:after="0"/>
              <w:rPr>
                <w:sz w:val="11"/>
                <w:szCs w:val="11"/>
                <w:color w:val="auto"/>
              </w:rPr>
            </w:pPr>
          </w:p>
        </w:tc>
        <w:tc>
          <w:tcPr>
            <w:tcW w:w="122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36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February 25, 2023</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22,224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7,408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146,816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273,740</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(31,556)</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396,408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1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Share repurchases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share retirements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Cash dividends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May 27, 2023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22,219</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7,406</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147,897</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286,300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(31,397)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410,206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(U.S. GAAP). The information included in this Form 10-Q should be read in conjunction with the Company’s Form 10-K for the year ended March 2, 2024.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three-month period ended June 1, 2024 are not necessarily indicative of the results to be expected for the full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Improvements to Reportable Segment Disclosures, which expands the required disclosure for reportable segments. This guidance requires entities to disclose significant segment expenses and other segment items on an annual and interim basis and to provide in interim periods all segment disclosures which are currently required annually. This ASU additionally requires entities to disclose the title and position of the individual or the name of the group or committee identified as its chief operating decision-maker. Such guidance, which is required to be applied retrospectively, is effective for fiscal years beginning after December 15, 2023, and interim periods within fiscal years beginning after December 15, 2024, although early adoption is permitted. While the adoption of this ASU will not have an impact on our financial position and/or results of operations, we are currently evaluating the impact to our segment disclosures for the year ended March 1, 2025 and future interim periods.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intended to enhance the transparency and decision-usefulness of income tax disclosures. Such guidance requires entities to provide additional information within their income tax rate reconciliation, including further disclosure of federal, state, and foreign income taxes and to provide more details about these reconciling items if a quantitative threshold is met. This guidance additionally requires expanded disclosure of income taxes paid, including amounts paid for federal, state, and foreign taxes. This ASU, which is required to be applied prospectively, is effective for fiscal years beginning after December 15, 2024, although early adoption and retrospective application is permitted. While the adoption of this ASU will not have an impact on our financial position and/or results of operations, we are currently evaluating the impact on our income tax disclosures, including the processes and controls around the collection of this information.</w:t>
      </w:r>
    </w:p>
    <w:p>
      <w:pPr>
        <w:spacing w:after="0" w:line="21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12 for disclosure of revenue by segment):</w:t>
      </w:r>
    </w:p>
    <w:p>
      <w:pPr>
        <w:sectPr>
          <w:pgSz w:w="11900" w:h="16838" w:orient="portrait"/>
          <w:cols w:equalWidth="0" w:num="1">
            <w:col w:w="11240"/>
          </w:cols>
          <w:pgMar w:left="320" w:top="121" w:right="339" w:bottom="1440" w:gutter="0" w:footer="0" w:header="0"/>
        </w:sect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at shipment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(input method)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(output method)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May 27, 2023</w:t>
            </w:r>
          </w:p>
        </w:tc>
      </w:tr>
      <w:tr>
        <w:trPr>
          <w:trHeight w:val="224"/>
        </w:trPr>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152,655</w:t>
            </w:r>
          </w:p>
        </w:tc>
      </w:tr>
      <w:tr>
        <w:trPr>
          <w:trHeight w:val="230"/>
        </w:trPr>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123,381</w:t>
            </w:r>
          </w:p>
        </w:tc>
      </w:tr>
      <w:tr>
        <w:trPr>
          <w:trHeight w:val="234"/>
        </w:trPr>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85,677</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361,713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-333375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-633730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forecasted economic conditions and other relevant factors. Upon billing, aging of receivables is monitored until collection. An account is considered current when it is within agreed upon payment terms. An account is written off when it is determined that the asset is no longer collectible.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22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2, 2024</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115,061</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61,879</w:t>
            </w: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176,940</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for the three-month period ended: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8"/>
        </w:trPr>
        <w:tc>
          <w:tcPr>
            <w:tcW w:w="7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1, 2024</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Reductions to allowance of credit losses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effects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deferred revenue on contracts.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payment is due is not significant. In certain parts of our business that recognize revenue over time, progress billings follow an agreed-upon schedule of values.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contract assets and contract liabilities were mainly due to timing of project activity within our businesses that operate under long-term contracts.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240" w:type="dxa"/>
            <w:vAlign w:val="bottom"/>
          </w:tcPr>
          <w:p>
            <w:pPr>
              <w:spacing w:after="0"/>
              <w:rPr>
                <w:sz w:val="16"/>
                <w:szCs w:val="16"/>
                <w:color w:val="auto"/>
              </w:rPr>
            </w:pPr>
          </w:p>
        </w:tc>
        <w:tc>
          <w:tcPr>
            <w:tcW w:w="13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May 27, 2023</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contract liabilities from prior year-end</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22,745</w:t>
            </w:r>
          </w:p>
        </w:tc>
      </w:tr>
      <w:tr>
        <w:trPr>
          <w:trHeight w:val="23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prior satisfaction of performance obligations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The transaction prices associated with unsatisfied performance obligations at June 1, 2024 are expected to be satisfied, and the corresponding revenue to be recognized, over the following estimated time periods:</w:t>
      </w:r>
    </w:p>
    <w:p>
      <w:pPr>
        <w:sectPr>
          <w:pgSz w:w="11900" w:h="16838" w:orient="portrait"/>
          <w:cols w:equalWidth="0" w:num="1">
            <w:col w:w="11240"/>
          </w:cols>
          <w:pgMar w:left="320" w:top="121" w:right="339" w:bottom="1440" w:gutter="0" w:footer="0" w:header="0"/>
        </w:sectPr>
      </w:pP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Within one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one and two years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Beyond two years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Work-in-process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inventories, net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June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33655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1700"/>
        <w:spacing w:after="0"/>
        <w:tabs>
          <w:tab w:leader="none" w:pos="2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608,606</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352,707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109,831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14605</wp:posOffset>
            </wp:positionV>
            <wp:extent cx="1003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1" w:lineRule="exact"/>
        <w:rPr>
          <w:sz w:val="20"/>
          <w:szCs w:val="20"/>
          <w:color w:val="auto"/>
        </w:rPr>
      </w:pPr>
    </w:p>
    <w:p>
      <w:pPr>
        <w:ind w:left="1700"/>
        <w:spacing w:after="0"/>
        <w:tabs>
          <w:tab w:leader="none" w:pos="2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1,071,144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17145</wp:posOffset>
            </wp:positionV>
            <wp:extent cx="1003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43180</wp:posOffset>
            </wp:positionV>
            <wp:extent cx="10033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220" w:type="dxa"/>
            <w:vAlign w:val="bottom"/>
          </w:tcPr>
          <w:p>
            <w:pPr>
              <w:spacing w:after="0"/>
              <w:rPr>
                <w:sz w:val="16"/>
                <w:szCs w:val="16"/>
                <w:color w:val="auto"/>
              </w:rPr>
            </w:pPr>
          </w:p>
        </w:tc>
        <w:tc>
          <w:tcPr>
            <w:tcW w:w="13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2, 2024</w:t>
            </w:r>
          </w:p>
        </w:tc>
      </w:tr>
      <w:tr>
        <w:trPr>
          <w:trHeight w:val="24"/>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33,970</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31,363</w:t>
            </w:r>
          </w:p>
        </w:tc>
      </w:tr>
      <w:tr>
        <w:trPr>
          <w:trHeight w:val="230"/>
        </w:trPr>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w:t>
            </w:r>
          </w:p>
        </w:tc>
      </w:tr>
      <w:tr>
        <w:trPr>
          <w:trHeight w:val="234"/>
        </w:trPr>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25,586</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-333375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-633730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fixed-maturity investments: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2024</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values of these investments at June 1, 2024, by contractual maturity, are shown below. Expected maturities may differ from contractual maturities, as borrowers may have the right to call or prepay obligations with or without penalty.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interest rate swaps, currency put options,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2020, we entered into an interest rate swap to hedge exposure to variability in cash flows from interest payments on our floating-rate revolving credit facility. As of June 1, 2024, the interest rate swap contract had a notional value of $30.0 million and has a maturity date of February 5, 2026.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enter into forward purchase contracts and/or fixed/floating swaps to manage the risk associated with fluctuations in aluminum prices and fluctuations in foreign exchange rates. These contracts generally have an original maturity date of less than one year. As of June 1, 2024, we held aluminum purchase contracts and foreign exchange option contracts with U.S. dollar notional values of $4.7 million and $0.7 million,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 to market adjustments on these derivative instruments are recorded within our consolidated balance sheets within other current assets and other current liabilities. Gains or losses associated with these instruments are recorded as a component of accumulated other comprehensive loss until which time the hedged transaction is settled and gains or losses are reclassified to net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26,529</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forward/option contract</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1, 2024, we had a committed revolving credit facility with Wells Fargo Bank, N.A. as administrative agent, and other lenders (U.S. credit facility) with maximum borrowings of up to $385 million and a maturity date of August 5, 2027. Outstanding borrowings under the revolving credit facility were $65.0 million and $50.0 million as of June 1, 2024 and March 2, 2024, respectively.</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maintain two Canadian committed, revolving credit facilities with the Bank of Montreal totaling $25.0 million USD (Canadian facilities). The Canadian facilities expire annually in February, but can be renewed each year solely at our discretion until August 2027. Therefore, we have classified all outstanding amounts under these facilities as long-term debt within our consolidated balance sheets. As of June 1, 2024 and March 2, 2024, we had no outstanding borrowings under these Canadian facilities.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revolving credit facilities contain two maintenance financial covenants that require us to stay below a maximum debt-to-EBITDA ratio of 3.25 and maintain a minimum ratio of EBITDA-to-interest expense of 3.00. Both ratios are computed quarterly, with EBITDA calculated on a rolling four-quarter basis. At June 1, 2024, we were in compliance with both financial covenants.</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revolving credit facilities also contain an acquisition holiday. In the event we make an acquisition for which the purchase price is greater than $75 million, we can elect to increase the maximum debt-to-EBITDA ratio to 3.75 for a period of four consecutive fiscal quarters, commencing with the fiscal quarter in which a qualifying acquisition occurs. No more than two acquisition "holidays" can occur during the term of the facility, and at least two fiscal quarters must separate qualifying acquisitions.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Borrowings under the credit facilities bear floating interest at either the Base Rate or Term Secured Overnight Financing Rate (SOFR), or, in the case of the Canadian facilities, Canadian Overnight Repo Rate Average (CORRA) plus, in each a margin based on the Leverage Ratio (as defined in the Credit Agreements). For Base Rate borrowings, the margin ranges from 0.125% to 0.75%. For Term SOFR and CORRA borrowings, the margin ranges from 1.125% to 1.75%, with an incremental Term SOFR and CORRA adjustment of 0.10% and 0.29547%, respectively.</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credit facility also contains an "accordion" provision. Under this provision, we can request that the facility be increased by as much as $200.0 million. Any lender may elect or decline to participate in the requested increase at their sole discretion.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1, 2024, we had a total of $15.0 million of ongoing letters of credit related to industrial revenue bonds, construction contracts and insurance collateral that expire in fiscal years 2026 through 2032 and reduce borrowing capacity under the revolving credit facility. As of June 1, 2024, the amount available for revolving borrowings was $305.0 million and $25.0 million under the U.S. credit facility and Canadian facilities,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1, 2024, debt included $12.0 million of industrial revenue bonds that mature in fiscal years 2036 through 2043.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of our U.S. credit facility, Canadian credit facilities and industrial revenue bonds approximated carrying values at June 1, 2024, and would be classified as Level 2 within the fair value hierarchy described in Note 4, due to the variable interest rates on these instruments.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1, 2024</w:t>
            </w:r>
          </w:p>
        </w:tc>
        <w:tc>
          <w:tcPr>
            <w:tcW w:w="1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May 27, 2023</w:t>
            </w:r>
          </w:p>
        </w:tc>
      </w:tr>
      <w:tr>
        <w:trPr>
          <w:trHeight w:val="226"/>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gain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4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Interest payments under the U.S. and Canadian credit facilities were $1.1 million and $2.4 million for the three months ended June 1, 2024 and May 27, 2023, respectively.</w:t>
      </w:r>
    </w:p>
    <w:p>
      <w:pPr>
        <w:spacing w:after="0" w:line="213"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June 1, 2024, $1.3 billion of these types of bonds were outstanding, of which $434.7 million is in our backlog. These bonds have expiration dates that align with completion of the sales order or contract.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the following: changes in manufacturing quality, changes in product mix, and any significant changes in sales volume.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968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Pr>
          <w:p>
            <w:pPr>
              <w:spacing w:after="0"/>
              <w:rPr>
                <w:sz w:val="16"/>
                <w:szCs w:val="16"/>
                <w:color w:val="auto"/>
              </w:rPr>
            </w:pPr>
          </w:p>
        </w:tc>
        <w:tc>
          <w:tcPr>
            <w:tcW w:w="14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1, 2024</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21,362</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accruals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r>
      <w:tr>
        <w:trPr>
          <w:trHeight w:val="223"/>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20,232</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in certain parts of our Architectural Framing Systems Segment. We manage the risk of these exposures through contract negotiations, proactive project management and insurance coverages.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June 1, 2024, we had $15.0 million of ongoing letters of credit, all of which have been issued under our committed revolving credit facility, as discussed in Note 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$17.9 million as of June 1,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two outstanding NMTC arrangements which help to support operational expansion. Proceeds received from investors on these transactions are included within other non-current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in our consolidated balance sheets. These costs will be recognized in conjunction with the recognition of the related proceeds on each arrangement. During the construction phase or for working capital purposes for each</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 we are required to hold cash dedicated to fund each project, which is classified as restricted cash in our consolidated balance sheets. As a result of the structure of these transactions, variable-interest entities were created. As the other investors in these programs do not have a material interest in the entities' underlying economics, we include 100% of the results of the variable-interest entities in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estimated benefits related to our outstanding NMTC transactions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Inception date</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2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Deferred Benefit</w:t>
            </w:r>
          </w:p>
        </w:tc>
        <w:tc>
          <w:tcPr>
            <w:tcW w:w="24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Deferred costs</w:t>
            </w: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Net benefit</w:t>
            </w:r>
          </w:p>
        </w:tc>
      </w:tr>
      <w:tr>
        <w:trPr>
          <w:trHeight w:val="226"/>
        </w:trPr>
        <w:tc>
          <w:tcPr>
            <w:tcW w:w="278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May 2022</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r>
      <w:tr>
        <w:trPr>
          <w:trHeight w:val="229"/>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48"/>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Continuation of the August 2018 NMTC financing transaction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6"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Supplier Finance Program Obligations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the first quarter of fiscal 2024, we implemented a supplier financing arrangement that enables our suppliers, at their sole discretion, to sell our receivables (i.e., our payment obligations to the suppliers) on a non-recourse basis in order to be paid earlier than our payment terms provide. Our suppliers’ voluntary inclusion of invoices in the supplier financing arrangement has no bearing on our payment terms, the amounts we pay, or our liquidity. We have no economic interest in a supplier’s decision to participate in the supplier financing program, and we do not provide any guarantees in connection with it. These balances are reflected in accounts payable in the consolidated balance sheets and are reflected in net cash provided by operating activities in our consolidated statements of cash flows when settled.</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obligation activity and outstanding balances as of June 1, 2024 and March 2, 2024 that we have confirmed as valid to the administrators of our program:</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1, 2024</w:t>
            </w:r>
          </w:p>
        </w:tc>
        <w:tc>
          <w:tcPr>
            <w:tcW w:w="240" w:type="dxa"/>
            <w:vAlign w:val="bottom"/>
          </w:tcPr>
          <w:p>
            <w:pPr>
              <w:spacing w:after="0"/>
              <w:rPr>
                <w:sz w:val="18"/>
                <w:szCs w:val="18"/>
                <w:color w:val="auto"/>
              </w:rPr>
            </w:pP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March 2, 2024</w:t>
            </w:r>
          </w:p>
        </w:tc>
      </w:tr>
      <w:tr>
        <w:trPr>
          <w:trHeight w:val="226"/>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added to the program</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33,133</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w:t>
            </w:r>
          </w:p>
        </w:tc>
      </w:tr>
      <w:tr>
        <w:trPr>
          <w:trHeight w:val="22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declared dividends totaling $5.4 million ($0.25 per share) in the first three months of fiscal 2025, compared to dividends paid of $5.2 million ($0.24 per share) in the comparable prior year period.</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During fiscal 2004, the Board of Directors authorized a share repurchase program allowing us to repurchase shares of our outstanding common stock, with subsequent increases in authorization. During the three-months ended June 1, 2024, we repurchased 241,573 shares under the program, for a total cost of $15.1 million, inclusive of the applicable excise tax. During the three-months ended May 27, 2023, we repurchased 119,916 shares under the program, for a total cost of $5.2 million. We have repurchased a total of 11,518,090 shares, at a total cost of $408.5 million, since the inception of this program in fiscal 2004. We have remaining authority to repurchase 2,731,910 shares under this program, which has no expiration date. We may also elect to repurchase additional shares of common stock under our authorization, subject to limitations contained in our debt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213"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part of our compensation structure, we grant stock-based compensation awards to certain employees and non-employee directors during the fiscal year. These awards may be in the form of incentive stock options (to employees only), nonstatutory options, or nonvested share awards and units, all of which are granted at a price or with an exercise price equal to the fair market value of the Company’s stock at the date of award, unless the date of the award is on a day the Nasdaq Stock Market is not open for trading, then the exercise price shall equal the fair market value on the most recent preceding date when such market is open.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stock-based compensation awards granted during the three-months ended June 1, 2024, along with the weighted average grant date fair value: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60" w:type="dxa"/>
            <w:vAlign w:val="bottom"/>
          </w:tcPr>
          <w:p>
            <w:pPr>
              <w:spacing w:after="0"/>
              <w:rPr>
                <w:sz w:val="13"/>
                <w:szCs w:val="13"/>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5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6"/>
        </w:trPr>
        <w:tc>
          <w:tcPr>
            <w:tcW w:w="790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Restricted stock awards and restricted stock units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0" w:type="dxa"/>
            <w:vAlign w:val="bottom"/>
          </w:tcPr>
          <w:p>
            <w:pPr>
              <w:spacing w:after="0"/>
              <w:rPr>
                <w:sz w:val="1"/>
                <w:szCs w:val="1"/>
                <w:color w:val="auto"/>
              </w:rPr>
            </w:pPr>
          </w:p>
        </w:tc>
      </w:tr>
      <w:tr>
        <w:trPr>
          <w:trHeight w:val="312"/>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Performance share units </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80" w:hanging="154"/>
        <w:spacing w:after="0"/>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 service condition awards which generally vest over a two- or three-year period.</w:t>
      </w:r>
    </w:p>
    <w:p>
      <w:pPr>
        <w:spacing w:after="0" w:line="23" w:lineRule="exact"/>
        <w:rPr>
          <w:rFonts w:ascii="Times New Roman" w:cs="Times New Roman" w:eastAsia="Times New Roman" w:hAnsi="Times New Roman"/>
          <w:sz w:val="19"/>
          <w:szCs w:val="19"/>
          <w:color w:val="auto"/>
          <w:vertAlign w:val="superscript"/>
        </w:rPr>
      </w:pPr>
    </w:p>
    <w:p>
      <w:pPr>
        <w:ind w:left="180" w:right="20" w:hanging="154"/>
        <w:spacing w:after="0" w:line="219" w:lineRule="auto"/>
        <w:tabs>
          <w:tab w:leader="none" w:pos="181"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 performance condition awards with the grant equal to the target number of performance shares based on the share price at grant date. These grants allow for the right to receive a variable number of shares, between 0% and 200% of target, dependent on being employed at the end of the performance period and achieving defined performance goals for average return on invested capital and cumulative earnings per share.</w:t>
      </w: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$2.7 million for the three-month period ended June 1, 2024, and $2.2 million for the three-month period ended May 27,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1, 2024, there was $10.6 million of total unrecognized compensation cost related to nonvested share and nonvested share unit awards, which is expected to be recognized over a weighted average period of approximately 19 months. The total fair value of shares vested during the three-months ended June 1, 2024 was $9.0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file income tax returns in the U.S. federal jurisdiction, various U.S. state and local jurisdictions, Canada, Brazil and other international jurisdictions. We are no longer subject to U.S. federal tax examinations for years prior to fiscal 2021, or state and local income tax examinations for years prior to fiscal 2015. We are not currently under U.S. federal examination for years subsequent to fiscal year 2020, and there is very limited audit activity of our income tax returns in U.S. state jurisdictions or international jurisdictions.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For interim periods, our income tax expense and resulting effective tax rate are based upon an estimated annual effective tax rate adjusted for the effects of items required to be treated as discrete to the period, including changes in tax laws, changes in estimated exposures for uncertain tax positions and other items. Income tax expense as a percentage of earnings before income tax was 24.5%, compared to 25.0% for the same period last year. The decrease in the effective tax rate was primarily due to a decrease in tax expense for discrete items, partially offset by an increase in non-deductible executive compensation expense.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liability for unrecognized tax benefits was $5.6 million at June 1, 2024 compared to $5.1 million at March 2, 2024, respectively. Penalties and interest related to unrecognized tax benefits are recorded in income tax expense.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 (diluted EPS):</w:t>
      </w:r>
    </w:p>
    <w:p>
      <w:pPr>
        <w:sectPr>
          <w:pgSz w:w="11900" w:h="16838" w:orient="portrait"/>
          <w:cols w:equalWidth="0" w:num="1">
            <w:col w:w="11240"/>
          </w:cols>
          <w:pgMar w:left="320" w:top="121" w:right="339" w:bottom="1440" w:gutter="0" w:footer="0" w:header="0"/>
        </w:sect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0341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earnings per share – weighted average common shares outstanding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effect of nonvested share grants and assumed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0341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earnings per share – weighted average common shares and potential common shares outstanding</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Stock awards excluded from the calculation of earnings per share because the effect was anti-dilutive (award price greater than average market price of the shares)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15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May 27, 2023</w:t>
            </w:r>
          </w:p>
        </w:tc>
      </w:tr>
    </w:tbl>
    <w:p>
      <w:pPr>
        <w:spacing w:after="0" w:line="21" w:lineRule="exact"/>
        <w:rPr>
          <w:sz w:val="20"/>
          <w:szCs w:val="20"/>
          <w:color w:val="auto"/>
        </w:rPr>
      </w:pPr>
    </w:p>
    <w:p>
      <w:pPr>
        <w:ind w:left="880"/>
        <w:spacing w:after="0"/>
        <w:tabs>
          <w:tab w:leader="none" w:pos="2400" w:val="left"/>
        </w:tabs>
        <w:rPr>
          <w:sz w:val="20"/>
          <w:szCs w:val="20"/>
          <w:color w:val="auto"/>
        </w:rPr>
      </w:pPr>
      <w:r>
        <w:rPr>
          <w:rFonts w:ascii="Times New Roman" w:cs="Times New Roman" w:eastAsia="Times New Roman" w:hAnsi="Times New Roman"/>
          <w:sz w:val="18"/>
          <w:szCs w:val="18"/>
          <w:color w:val="auto"/>
        </w:rPr>
        <w:t>21,823</w:t>
      </w:r>
      <w:r>
        <w:rPr>
          <w:sz w:val="20"/>
          <w:szCs w:val="20"/>
          <w:color w:val="auto"/>
        </w:rPr>
        <w:tab/>
      </w:r>
      <w:r>
        <w:rPr>
          <w:rFonts w:ascii="Times New Roman" w:cs="Times New Roman" w:eastAsia="Times New Roman" w:hAnsi="Times New Roman"/>
          <w:sz w:val="18"/>
          <w:szCs w:val="18"/>
          <w:color w:val="auto"/>
        </w:rPr>
        <w:t>21,883</w:t>
      </w:r>
    </w:p>
    <w:p>
      <w:pPr>
        <w:spacing w:after="0" w:line="27" w:lineRule="exact"/>
        <w:rPr>
          <w:sz w:val="20"/>
          <w:szCs w:val="20"/>
          <w:color w:val="auto"/>
        </w:rPr>
      </w:pPr>
    </w:p>
    <w:p>
      <w:pPr>
        <w:ind w:left="2640" w:hanging="1543"/>
        <w:spacing w:after="0"/>
        <w:tabs>
          <w:tab w:leader="none" w:pos="2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503</w:t>
      </w:r>
    </w:p>
    <w:p>
      <w:pPr>
        <w:spacing w:after="0" w:line="31"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22,061</w:t>
      </w:r>
      <w:r>
        <w:rPr>
          <w:rFonts w:ascii="Times New Roman" w:cs="Times New Roman" w:eastAsia="Times New Roman" w:hAnsi="Times New Roman"/>
          <w:sz w:val="17"/>
          <w:szCs w:val="17"/>
          <w:color w:val="auto"/>
        </w:rPr>
        <w:t>22,386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18859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19" w:lineRule="exact"/>
        <w:rPr>
          <w:sz w:val="20"/>
          <w:szCs w:val="20"/>
          <w:color w:val="auto"/>
        </w:rPr>
      </w:pPr>
    </w:p>
    <w:p>
      <w:pPr>
        <w:jc w:val="both"/>
        <w:ind w:left="1180"/>
        <w:spacing w:after="0"/>
        <w:tabs>
          <w:tab w:leader="none" w:pos="26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229</w:t>
      </w:r>
    </w:p>
    <w:p>
      <w:pPr>
        <w:spacing w:after="0" w:line="212" w:lineRule="exact"/>
        <w:rPr>
          <w:sz w:val="20"/>
          <w:szCs w:val="20"/>
          <w:color w:val="auto"/>
        </w:rPr>
      </w:pPr>
    </w:p>
    <w:p>
      <w:pPr>
        <w:sectPr>
          <w:pgSz w:w="11900" w:h="16838" w:orient="portrait"/>
          <w:cols w:equalWidth="0" w:num="2">
            <w:col w:w="7940" w:space="120"/>
            <w:col w:w="3180"/>
          </w:cols>
          <w:pgMar w:left="320" w:top="121" w:right="3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reporting segments:</w:t>
      </w:r>
    </w:p>
    <w:p>
      <w:pPr>
        <w:spacing w:after="0" w:line="27" w:lineRule="exact"/>
        <w:rPr>
          <w:sz w:val="20"/>
          <w:szCs w:val="20"/>
          <w:color w:val="auto"/>
        </w:rPr>
      </w:pPr>
    </w:p>
    <w:p>
      <w:pPr>
        <w:ind w:left="660" w:hanging="328"/>
        <w:spacing w:after="0" w:line="24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Framing Systems Segment</w:t>
      </w:r>
      <w:r>
        <w:rPr>
          <w:rFonts w:ascii="Times New Roman" w:cs="Times New Roman" w:eastAsia="Times New Roman" w:hAnsi="Times New Roman"/>
          <w:sz w:val="18"/>
          <w:szCs w:val="18"/>
          <w:color w:val="auto"/>
        </w:rPr>
        <w:t xml:space="preserve"> designs, engineers, fabricates and finishes aluminum window, curtainwall, storefront and entrance systems for the exterior of buildings.</w:t>
      </w:r>
    </w:p>
    <w:p>
      <w:pPr>
        <w:spacing w:after="0" w:line="1" w:lineRule="exact"/>
        <w:rPr>
          <w:rFonts w:ascii="Times New Roman" w:cs="Times New Roman" w:eastAsia="Times New Roman" w:hAnsi="Times New Roman"/>
          <w:sz w:val="18"/>
          <w:szCs w:val="18"/>
          <w:color w:val="auto"/>
        </w:rPr>
      </w:pPr>
    </w:p>
    <w:p>
      <w:pPr>
        <w:ind w:left="660" w:hanging="328"/>
        <w:spacing w:after="0" w:line="24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 Segment</w:t>
      </w:r>
      <w:r>
        <w:rPr>
          <w:rFonts w:ascii="Times New Roman" w:cs="Times New Roman" w:eastAsia="Times New Roman" w:hAnsi="Times New Roman"/>
          <w:sz w:val="18"/>
          <w:szCs w:val="18"/>
          <w:color w:val="auto"/>
        </w:rPr>
        <w:t xml:space="preserve"> coats and fabricates, high-performance glass used in custom window and wall systems on non-residential buildings.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 Segment</w:t>
      </w:r>
      <w:r>
        <w:rPr>
          <w:rFonts w:ascii="Times New Roman" w:cs="Times New Roman" w:eastAsia="Times New Roman" w:hAnsi="Times New Roman"/>
          <w:sz w:val="18"/>
          <w:szCs w:val="18"/>
          <w:color w:val="auto"/>
        </w:rPr>
        <w:t xml:space="preserve"> integrates technical services, project management, and field installation services to design, engineer, fabricate, and install building glass and curtainwall systems.</w:t>
      </w:r>
    </w:p>
    <w:p>
      <w:pPr>
        <w:ind w:left="660" w:right="2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Large-Scale Optical (LSO) Segment</w:t>
      </w:r>
      <w:r>
        <w:rPr>
          <w:rFonts w:ascii="Times New Roman" w:cs="Times New Roman" w:eastAsia="Times New Roman" w:hAnsi="Times New Roman"/>
          <w:sz w:val="18"/>
          <w:szCs w:val="18"/>
          <w:color w:val="auto"/>
        </w:rPr>
        <w:t xml:space="preserve"> manufactures high-performance glass and acrylic products for the custom framing, fine art, and engineered optics markets.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net sales is defined as net sales for a certain segment and includes revenue related to intersegment transactions. We report net sales intersegment eliminations separately to exclude these sales from our consolidated total. Segment operating income is equal to net sales, less cost of goods sold, selling, general and administrative expenses, and any asset impairment charges associated with the segment. Segment operating income includes operating income related to intersegment sales transactions and excludes certain corporate costs that are not allocated at a segment level. We report these unallocated corporate costs in Corporate and Other. Operating income does not include other income or expense, interest expense or a provision for income taxes.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9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260" w:type="dxa"/>
            <w:vAlign w:val="bottom"/>
          </w:tcPr>
          <w:p>
            <w:pPr>
              <w:spacing w:after="0"/>
              <w:rPr>
                <w:sz w:val="16"/>
                <w:szCs w:val="16"/>
                <w:color w:val="auto"/>
              </w:rPr>
            </w:pPr>
          </w:p>
        </w:tc>
        <w:tc>
          <w:tcPr>
            <w:tcW w:w="13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May 27, 2023</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164,162</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97,202</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89,418</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361,713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0" w:type="dxa"/>
            <w:vAlign w:val="bottom"/>
          </w:tcPr>
          <w:p>
            <w:pPr>
              <w:spacing w:after="0"/>
              <w:rPr>
                <w:sz w:val="1"/>
                <w:szCs w:val="1"/>
                <w:color w:val="auto"/>
              </w:rPr>
            </w:pPr>
          </w:p>
        </w:tc>
      </w:tr>
      <w:tr>
        <w:trPr>
          <w:trHeight w:val="223"/>
        </w:trPr>
        <w:tc>
          <w:tcPr>
            <w:tcW w:w="7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33,767</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25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During the fourth quarter of fiscal 2024, we announced strategic actions to further streamline our business operations, enable a more efficient cost model, and better position the Company for profitable growth (referred to as “Project Fortify”). Project Fortify primarily impacts the Architectural Framing Systems Segment and includes:</w:t>
      </w:r>
    </w:p>
    <w:p>
      <w:pPr>
        <w:spacing w:after="0" w:line="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certain lower-margin product and service offerings, enabling consolidation into a single operating entity.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production operations from the Company’s facility in Walker, Michigan, to the Company’s facilities in Monett, Missouri and Wausau, Wisconsin.</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Simplifying the segment’s brand portfolio and commercial model to improve flexibility, better leverage the Company’s capabilities, and enhance</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 service.</w:t>
      </w:r>
    </w:p>
    <w:p>
      <w:pPr>
        <w:spacing w:after="0"/>
        <w:rPr>
          <w:sz w:val="20"/>
          <w:szCs w:val="20"/>
          <w:color w:val="auto"/>
        </w:rPr>
      </w:pPr>
      <w:r>
        <w:rPr>
          <w:rFonts w:ascii="Times New Roman" w:cs="Times New Roman" w:eastAsia="Times New Roman" w:hAnsi="Times New Roman"/>
          <w:sz w:val="18"/>
          <w:szCs w:val="18"/>
          <w:color w:val="auto"/>
        </w:rPr>
        <w:t>Additionally, the Company has implemented actions to optimize processes and streamline resources in its Architectural Services Segment and Corporate.</w:t>
      </w:r>
    </w:p>
    <w:p>
      <w:pPr>
        <w:spacing w:after="0" w:line="2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expects these actions to be substantially complete by the third quarter of fiscal 2025. The Company now expects to incur approximately $15.0 million to $16.0 million of pre-tax charges in connection with Project Fortify leading to annualized cost savings of $12 million to $14 million. Restructuring charges are expected to include:</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to $7.5 million of severance and employee related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to $2.0 million of contract termination costs: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million to $7.0 million of other expenses.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2025, we incurred $1.1 million of pre-tax costs associated with Project Fortify, of which $0.6 million was included within cost of sales and $0.5 million was included within selling, general and administrative expenses. During the fourth quarter of fiscal 2024, we incurred $12.4 million of pre-tax costs associated with Project Fortify, of which $5.5 million was included within cost of sales and $6.9 million was included within selling,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Corporate &amp;</w:t>
            </w:r>
          </w:p>
        </w:tc>
        <w:tc>
          <w:tcPr>
            <w:tcW w:w="280" w:type="dxa"/>
            <w:vAlign w:val="bottom"/>
          </w:tcPr>
          <w:p>
            <w:pPr>
              <w:spacing w:after="0"/>
              <w:rPr>
                <w:sz w:val="16"/>
                <w:szCs w:val="16"/>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Framing</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1, 2024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benefits and other current liabilities in the consolidated balance sheets. All remaining accrual balances are expected to be paid within fiscal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Corporate &amp;</w:t>
            </w:r>
          </w:p>
        </w:tc>
        <w:tc>
          <w:tcPr>
            <w:tcW w:w="280" w:type="dxa"/>
            <w:vAlign w:val="bottom"/>
          </w:tcPr>
          <w:p>
            <w:pPr>
              <w:spacing w:after="0"/>
              <w:rPr>
                <w:sz w:val="16"/>
                <w:szCs w:val="16"/>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Framing</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 2024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charges presented in the rollforward of our restructuring accruals do not include items charged directly to expense as incurred, as those items are not reflected in accrued payroll and related benefits and other 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Quarterly Report on Form 10-Q, including the section, Management’s Discussion and Analysis of Financial Condition and Results of Operations,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“Risk Factors” section of our Annual Report on Form 10-K for the year ended March 2, 2024 and in subsequent filings with the U.S. Securities and Exchange Commission, including this Quarterly Report on Form 10-Q.</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included in this report measures of financial performance that are not defined by U.S. GAAP. We believe that these measures provide useful information and include these measures in other communications to investors. For each of these non-GAAP financial measures, we provide a reconciliation of the differences between the non-GAAP measure and the most directly comparable U.S. GAAP measure (see "Reconciliation of Non-GAAP Financial Measures" in this Item 2 below), and an explanation of why we believe the non-GAAP measure provides useful information to management and investors. These non-GAAP measures should be viewed in addition to, and not in lieu of, the comparable U.S. GAAP measure.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leading provider of architectural products and services for enclosing buildings, and high-performance glass and acrylic products used in applications for preservation, protection and enhanced viewing. Our four reporting segments are: Architectural Framing Systems, Architectural Glass, Architectural Services and Large-Scale Optical (LSO).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strategy is based on the following three key elements:</w:t>
      </w:r>
    </w:p>
    <w:p>
      <w:pPr>
        <w:spacing w:after="0" w:line="27" w:lineRule="exact"/>
        <w:rPr>
          <w:sz w:val="20"/>
          <w:szCs w:val="20"/>
          <w:color w:val="auto"/>
        </w:rPr>
      </w:pP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Become the economic leader in our target markets. </w:t>
      </w:r>
      <w:r>
        <w:rPr>
          <w:rFonts w:ascii="Times New Roman" w:cs="Times New Roman" w:eastAsia="Times New Roman" w:hAnsi="Times New Roman"/>
          <w:sz w:val="18"/>
          <w:szCs w:val="18"/>
          <w:color w:val="auto"/>
        </w:rPr>
        <w:t>We are developing a deep understanding of our target markets and aligning our businesses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clear go-to-market strategies to drive value for our customers through differentiated product and service offerings. We are focused on operational execution, driving productivity improvements, and maintaining a competitive cost structure, so that we may bring more value to our customers and improve our own profitability.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Actively manage our portfolio to drive higher margins and returns. </w:t>
      </w:r>
      <w:r>
        <w:rPr>
          <w:rFonts w:ascii="Times New Roman" w:cs="Times New Roman" w:eastAsia="Times New Roman" w:hAnsi="Times New Roman"/>
          <w:sz w:val="18"/>
          <w:szCs w:val="18"/>
          <w:color w:val="auto"/>
        </w:rPr>
        <w:t>We are shifting our business mix toward higher operating margin offerings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to improve our return on invested capital performance. We expect to accomplish this by allocating resources to grow our top performing businesses, actively addressing underperforming businesses, and investing to add new differentiated product and service offerings to accelerate our growth and increase margins.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our core capabilities. </w:t>
      </w:r>
      <w:r>
        <w:rPr>
          <w:rFonts w:ascii="Times New Roman" w:cs="Times New Roman" w:eastAsia="Times New Roman" w:hAnsi="Times New Roman"/>
          <w:sz w:val="18"/>
          <w:szCs w:val="18"/>
          <w:color w:val="auto"/>
        </w:rPr>
        <w:t>We are shifting from our historical, decentralized operating model to one with center-led functional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enables us to leverage the scale of the enterprise to better support the needs of the business. In fiscal 2022, we established a Company-wide operating system with common tools and processes based on the foundation of Lean and Continuous Improvement, which we call the "Apogee Management System". Our strategy is supported by a robust talent management program and a commitment to strong governance to ensure compliance and drive sustainable performance.</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set this strategy by developing a deep knowledge of the markets we serve and by gaining extensive input from customers and industry influencers, along with detailed competitive benchmarking. We continually analyze our portfolio of products,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services, and capabilities to identify the best areas for future profitable growth. We also evaluate our operating model to ensure we have the organizational structure and capabilities needed to deliver consistent profitable growth. Through this work, we validate strengths that we can leverage and identify opportunities to improve our performance.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fiscal 2024, we drove further progress toward our strategic goals and financial targets. We continued the deployment of the Apogee Management System across our business, supporting sustainable cost and productivity improvements. We invested in organic growth initiatives, including capacity expansion in the Large-Scale Optical Segment and geographic growth in the Architectural Services Segment. We increased our focus on differentiated products and services, and continued to diversify the mix of architectural projects that we serve while leaning more heavily into higher, value-added products. We also advanced several initiatives to strengthen our core capabilities, driving the standardization of key business processes and systems, and strengthening talent management and leadership development programs.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March 2, 2024 and the consolidated financial statements, including the notes to consolidated financial statements,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various components of operations as year over year U.S. dollar and percentage change, as well as a percentage of net sales.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0" w:type="dxa"/>
            <w:vAlign w:val="bottom"/>
          </w:tcPr>
          <w:p>
            <w:pPr>
              <w:spacing w:after="0"/>
              <w:rPr>
                <w:sz w:val="1"/>
                <w:szCs w:val="1"/>
                <w:color w:val="auto"/>
              </w:rPr>
            </w:pPr>
          </w:p>
        </w:tc>
      </w:tr>
      <w:tr>
        <w:trPr>
          <w:trHeight w:val="23"/>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May 27, 2023</w:t>
            </w:r>
          </w:p>
        </w:tc>
        <w:tc>
          <w:tcPr>
            <w:tcW w:w="80" w:type="dxa"/>
            <w:vAlign w:val="bottom"/>
          </w:tcPr>
          <w:p>
            <w:pPr>
              <w:spacing w:after="0"/>
              <w:rPr>
                <w:sz w:val="16"/>
                <w:szCs w:val="16"/>
                <w:color w:val="auto"/>
              </w:rPr>
            </w:pPr>
          </w:p>
        </w:tc>
        <w:tc>
          <w:tcPr>
            <w:tcW w:w="140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5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14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May 27, 2023</w:t>
            </w:r>
          </w:p>
        </w:tc>
        <w:tc>
          <w:tcPr>
            <w:tcW w:w="0" w:type="dxa"/>
            <w:vAlign w:val="bottom"/>
          </w:tcPr>
          <w:p>
            <w:pPr>
              <w:spacing w:after="0"/>
              <w:rPr>
                <w:sz w:val="1"/>
                <w:szCs w:val="1"/>
                <w:color w:val="auto"/>
              </w:rPr>
            </w:pPr>
          </w:p>
        </w:tc>
      </w:tr>
      <w:tr>
        <w:trPr>
          <w:trHeight w:val="229"/>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361,713</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268,727</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59,219</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80" w:type="dxa"/>
            <w:vAlign w:val="bottom"/>
          </w:tcPr>
          <w:p>
            <w:pPr>
              <w:spacing w:after="0"/>
              <w:rPr>
                <w:sz w:val="19"/>
                <w:szCs w:val="19"/>
                <w:color w:val="auto"/>
              </w:rPr>
            </w:pP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N/M</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31,443</w:t>
            </w:r>
          </w:p>
        </w:tc>
        <w:tc>
          <w:tcPr>
            <w:tcW w:w="80" w:type="dxa"/>
            <w:vAlign w:val="bottom"/>
          </w:tcPr>
          <w:p>
            <w:pPr>
              <w:spacing w:after="0"/>
              <w:rPr>
                <w:sz w:val="19"/>
                <w:szCs w:val="19"/>
                <w:color w:val="auto"/>
              </w:rPr>
            </w:pPr>
          </w:p>
        </w:tc>
        <w:tc>
          <w:tcPr>
            <w:tcW w:w="14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4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4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N/M Indicates calculation not meaningful.</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2025 to First Quarter Fiscal 2024</w:t>
      </w:r>
    </w:p>
    <w:p>
      <w:pPr>
        <w:ind w:left="640" w:hanging="308"/>
        <w:spacing w:after="0" w:line="227" w:lineRule="auto"/>
        <w:tabs>
          <w:tab w:leader="none" w:pos="640"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Consolidated net sales decreased 8.3%, to $331.5 million, primarily driven by lower volume.</w:t>
      </w:r>
    </w:p>
    <w:p>
      <w:pPr>
        <w:spacing w:after="0" w:line="225" w:lineRule="exact"/>
        <w:rPr>
          <w:rFonts w:ascii="Calibri" w:cs="Calibri" w:eastAsia="Calibri" w:hAnsi="Calibri"/>
          <w:sz w:val="20"/>
          <w:szCs w:val="20"/>
          <w:b w:val="1"/>
          <w:bCs w:val="1"/>
          <w:color w:val="auto"/>
        </w:rPr>
      </w:pPr>
    </w:p>
    <w:p>
      <w:pPr>
        <w:jc w:val="both"/>
        <w:ind w:left="660" w:hanging="328"/>
        <w:spacing w:after="0" w:line="244"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Gross margin increased to 29.8%, compared to 25.7%, primarily driven by a more favorable mix of projects in Architectural Services, favorable material costs, lower insurance-related costs, and productivity gains, partially offset by the impact of lower volume and $0.6 million of restructuring costs associated with Project Fortify.</w:t>
      </w:r>
    </w:p>
    <w:p>
      <w:pPr>
        <w:spacing w:after="0" w:line="208" w:lineRule="exact"/>
        <w:rPr>
          <w:rFonts w:ascii="Calibri" w:cs="Calibri" w:eastAsia="Calibri" w:hAnsi="Calibri"/>
          <w:sz w:val="20"/>
          <w:szCs w:val="20"/>
          <w:b w:val="1"/>
          <w:bCs w:val="1"/>
          <w:color w:val="auto"/>
        </w:rPr>
      </w:pPr>
    </w:p>
    <w:p>
      <w:pPr>
        <w:ind w:left="660" w:hanging="328"/>
        <w:spacing w:after="0" w:line="239"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Selling, general and administrative (SG&amp;A) expenses decreased $1.7 million to 17.3% of net sales, compared to 16.4% of net sales. The increase in SG&amp;A as a percentage of sales was primarily due to unfavorable sales leverage, partially offset by lower bad debt expense.</w:t>
      </w:r>
    </w:p>
    <w:p>
      <w:pPr>
        <w:spacing w:after="0" w:line="212" w:lineRule="exact"/>
        <w:rPr>
          <w:rFonts w:ascii="Calibri" w:cs="Calibri" w:eastAsia="Calibri" w:hAnsi="Calibri"/>
          <w:sz w:val="20"/>
          <w:szCs w:val="20"/>
          <w:b w:val="1"/>
          <w:bCs w:val="1"/>
          <w:color w:val="auto"/>
        </w:rPr>
      </w:pPr>
    </w:p>
    <w:p>
      <w:pPr>
        <w:jc w:val="both"/>
        <w:ind w:left="660" w:hanging="328"/>
        <w:spacing w:after="0" w:line="236" w:lineRule="auto"/>
        <w:tabs>
          <w:tab w:leader="none" w:pos="653"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grew to $41.4 million from $33.8 million, and operating margin increased 320 basis points to 12.5%. The improvement in operating margin was primarily driven by a more favorable mix of projects in Architectural Services, favorable material costs, lower insurance-related costs, productivity gains, and lower bad debt expense, which more than offset the impact of lower volume, $1.1 million of restructuring costs related to Project Fortify, and unfavorable segment mix. Adjusted operating income grew 25.9% to $42.5 million, and adjusted operating margin improved to 12.8%.</w:t>
      </w:r>
    </w:p>
    <w:p>
      <w:pPr>
        <w:spacing w:after="0" w:line="205" w:lineRule="exact"/>
        <w:rPr>
          <w:rFonts w:ascii="Calibri" w:cs="Calibri" w:eastAsia="Calibri" w:hAnsi="Calibri"/>
          <w:sz w:val="20"/>
          <w:szCs w:val="20"/>
          <w:b w:val="1"/>
          <w:bCs w:val="1"/>
          <w:color w:val="auto"/>
        </w:rPr>
      </w:pPr>
    </w:p>
    <w:p>
      <w:pPr>
        <w:ind w:left="640" w:hanging="308"/>
        <w:spacing w:after="0"/>
        <w:tabs>
          <w:tab w:leader="none" w:pos="640" w:val="left"/>
        </w:tabs>
        <w:numPr>
          <w:ilvl w:val="0"/>
          <w:numId w:val="17"/>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Interest expense, net was $0.5 million, compared to $2.0 million, primarily driven by lower average debt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hanging="328"/>
        <w:spacing w:after="0" w:line="238" w:lineRule="auto"/>
        <w:tabs>
          <w:tab w:leader="none" w:pos="653" w:val="left"/>
        </w:tabs>
        <w:numPr>
          <w:ilvl w:val="0"/>
          <w:numId w:val="18"/>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Income tax expense as a percentage of earnings before income tax was 24.5%, compared to 25.0% for the same period last year. The decrease in the effective tax rate was primarily due to a decrease in tax expense for discrete items, partially offset by an increase in non-deductible executive compensation expense.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operating income (loss) and operating margin by segment and consolidated total.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gridSpan w:val="3"/>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240" w:type="dxa"/>
            <w:vAlign w:val="bottom"/>
          </w:tcPr>
          <w:p>
            <w:pPr>
              <w:spacing w:after="0"/>
              <w:rPr>
                <w:sz w:val="16"/>
                <w:szCs w:val="16"/>
                <w:color w:val="auto"/>
              </w:rPr>
            </w:pPr>
          </w:p>
        </w:tc>
        <w:tc>
          <w:tcPr>
            <w:tcW w:w="12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May 27, 2023</w:t>
            </w:r>
          </w:p>
        </w:tc>
        <w:tc>
          <w:tcPr>
            <w:tcW w:w="10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sales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133,172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164,162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86,703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97,202</w:t>
            </w:r>
          </w:p>
        </w:tc>
        <w:tc>
          <w:tcPr>
            <w:tcW w:w="12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99,027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89,418</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22,456</w:t>
            </w:r>
          </w:p>
        </w:tc>
        <w:tc>
          <w:tcPr>
            <w:tcW w:w="12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(11,525)</w:t>
            </w:r>
          </w:p>
        </w:tc>
        <w:tc>
          <w:tcPr>
            <w:tcW w:w="122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331,516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361,713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18,336</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19,945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17,091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16,521</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5,525</w:t>
            </w:r>
          </w:p>
        </w:tc>
        <w:tc>
          <w:tcPr>
            <w:tcW w:w="12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(7,628)</w:t>
            </w:r>
          </w:p>
        </w:tc>
        <w:tc>
          <w:tcPr>
            <w:tcW w:w="12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3"/>
        </w:trPr>
        <w:tc>
          <w:tcPr>
            <w:tcW w:w="6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41,381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33,767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margin</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N/M Indicates calculation not meaningful.</w:t>
      </w:r>
    </w:p>
    <w:p>
      <w:pPr>
        <w:spacing w:after="0" w:line="3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net sales is defined as net sales for a certain segment and includes revenue related to intersegment transactions. We report net sales intersegment eliminations separately to exclude these sales from our consolidated total. Segment operating income is equal to net sales, less cost of goods sold, SG&amp;A, and any asset impairment charges associated with the segment. Segment operating income includes operating income related to intersegment sales transactions and excludes certain corporate costs that are not allocated at a segment level. We report these unallocated corporate costs in Corporate and Other. Operating income does not include other income or expense, interest expense or a provision for income taxes.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Framing Systems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2025 to First Quarter Fiscal 2024</w:t>
      </w:r>
    </w:p>
    <w:p>
      <w:pPr>
        <w:spacing w:after="0" w:line="11" w:lineRule="exact"/>
        <w:rPr>
          <w:sz w:val="20"/>
          <w:szCs w:val="20"/>
          <w:color w:val="auto"/>
        </w:rPr>
      </w:pPr>
    </w:p>
    <w:p>
      <w:pPr>
        <w:ind w:left="660" w:hanging="328"/>
        <w:spacing w:after="0" w:line="236" w:lineRule="auto"/>
        <w:tabs>
          <w:tab w:leader="none" w:pos="653" w:val="left"/>
        </w:tabs>
        <w:numPr>
          <w:ilvl w:val="0"/>
          <w:numId w:val="1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$133.2 million, compared to $164.2 million, primarily reflecting reduced volume due to lower end market demand and the exit of certain lower-margin product lines as part of Project Fortify.</w:t>
      </w:r>
    </w:p>
    <w:p>
      <w:pPr>
        <w:spacing w:after="0" w:line="224" w:lineRule="exact"/>
        <w:rPr>
          <w:rFonts w:ascii="Calibri" w:cs="Calibri" w:eastAsia="Calibri" w:hAnsi="Calibri"/>
          <w:sz w:val="20"/>
          <w:szCs w:val="20"/>
          <w:b w:val="1"/>
          <w:bCs w:val="1"/>
          <w:color w:val="auto"/>
        </w:rPr>
      </w:pPr>
    </w:p>
    <w:p>
      <w:pPr>
        <w:jc w:val="both"/>
        <w:ind w:left="660" w:hanging="328"/>
        <w:spacing w:after="0" w:line="237" w:lineRule="auto"/>
        <w:tabs>
          <w:tab w:leader="none" w:pos="653" w:val="left"/>
        </w:tabs>
        <w:numPr>
          <w:ilvl w:val="0"/>
          <w:numId w:val="19"/>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$18.3 million, or 13.8% of net sales, compared to $19.9 million, or 12.1% of net sales. The 170 basis point improvement in operating margin was primarily driven by favorable material costs, favorable mix, productivity gains, and lower bad debt expense, partially offset by the impact of lower volume and $1.0 million of restructuring charges as part of Project Fortify. Adjusted operating income was $19.3 million, or 14.5% of net sales, compared to $19.9 million, or 12.1% of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2025 to First Quarter Fiscal 2024</w:t>
      </w:r>
    </w:p>
    <w:p>
      <w:pPr>
        <w:spacing w:after="0" w:line="11" w:lineRule="exact"/>
        <w:rPr>
          <w:sz w:val="20"/>
          <w:szCs w:val="20"/>
          <w:color w:val="auto"/>
        </w:rPr>
      </w:pPr>
    </w:p>
    <w:p>
      <w:pPr>
        <w:ind w:left="660" w:right="20" w:hanging="328"/>
        <w:spacing w:after="0" w:line="228" w:lineRule="auto"/>
        <w:tabs>
          <w:tab w:leader="none" w:pos="653" w:val="left"/>
        </w:tabs>
        <w:numPr>
          <w:ilvl w:val="0"/>
          <w:numId w:val="20"/>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$86.7 million, compared to $97.2 million, reflecting lower volume due to lower end-market demand, partially offset by improved pricing.</w:t>
      </w:r>
    </w:p>
    <w:p>
      <w:pPr>
        <w:spacing w:after="0" w:line="239" w:lineRule="exact"/>
        <w:rPr>
          <w:rFonts w:ascii="Calibri" w:cs="Calibri" w:eastAsia="Calibri" w:hAnsi="Calibri"/>
          <w:sz w:val="20"/>
          <w:szCs w:val="20"/>
          <w:b w:val="1"/>
          <w:bCs w:val="1"/>
          <w:color w:val="auto"/>
        </w:rPr>
      </w:pPr>
    </w:p>
    <w:p>
      <w:pPr>
        <w:jc w:val="both"/>
        <w:ind w:left="660" w:hanging="328"/>
        <w:spacing w:after="0" w:line="268" w:lineRule="auto"/>
        <w:tabs>
          <w:tab w:leader="none" w:pos="653" w:val="left"/>
        </w:tabs>
        <w:numPr>
          <w:ilvl w:val="0"/>
          <w:numId w:val="20"/>
        </w:numPr>
        <w:rPr>
          <w:rFonts w:ascii="Calibri" w:cs="Calibri" w:eastAsia="Calibri" w:hAnsi="Calibri"/>
          <w:sz w:val="19"/>
          <w:szCs w:val="19"/>
          <w:b w:val="1"/>
          <w:bCs w:val="1"/>
          <w:color w:val="auto"/>
        </w:rPr>
      </w:pPr>
      <w:r>
        <w:rPr>
          <w:rFonts w:ascii="Times New Roman" w:cs="Times New Roman" w:eastAsia="Times New Roman" w:hAnsi="Times New Roman"/>
          <w:sz w:val="17"/>
          <w:szCs w:val="17"/>
          <w:color w:val="auto"/>
        </w:rPr>
        <w:t>Operating income increased to $17.1 million, or 19.7% of net sales, compared to $16.5 million, or 17.0% of net sales. The 270 basis point improvement in operating margin was primarily driven by productivity gains and improved pricing, partially offset by the impact of lower volume.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2025 to First Quarter Fiscal 2024</w:t>
      </w:r>
    </w:p>
    <w:p>
      <w:pPr>
        <w:ind w:left="640" w:hanging="308"/>
        <w:spacing w:after="0" w:line="210" w:lineRule="auto"/>
        <w:tabs>
          <w:tab w:leader="none" w:pos="640" w:val="left"/>
        </w:tabs>
        <w:numPr>
          <w:ilvl w:val="0"/>
          <w:numId w:val="21"/>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Net sales were $99.0 million, compared to $89.4 million, primarily due to a more favorable mix of projects and increased volume.</w:t>
      </w:r>
    </w:p>
    <w:p>
      <w:pPr>
        <w:spacing w:after="0" w:line="238" w:lineRule="exact"/>
        <w:rPr>
          <w:rFonts w:ascii="Calibri" w:cs="Calibri" w:eastAsia="Calibri" w:hAnsi="Calibri"/>
          <w:sz w:val="20"/>
          <w:szCs w:val="20"/>
          <w:b w:val="1"/>
          <w:bCs w:val="1"/>
          <w:color w:val="auto"/>
        </w:rPr>
      </w:pPr>
    </w:p>
    <w:p>
      <w:pPr>
        <w:ind w:left="660" w:right="20" w:hanging="328"/>
        <w:spacing w:after="0" w:line="239" w:lineRule="auto"/>
        <w:tabs>
          <w:tab w:leader="none" w:pos="653" w:val="left"/>
        </w:tabs>
        <w:numPr>
          <w:ilvl w:val="0"/>
          <w:numId w:val="21"/>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increased to $5.6 million, or 5.7% of net sales, compared to an operating loss of $0.6 million, or (0.7)% of net sales, primarily driven by a more favorable mix of projects.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Large-Scale Optical (LSO)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2025 to First Quarter Fiscal 2024</w:t>
      </w:r>
    </w:p>
    <w:p>
      <w:pPr>
        <w:spacing w:after="0" w:line="11" w:lineRule="exact"/>
        <w:rPr>
          <w:sz w:val="20"/>
          <w:szCs w:val="20"/>
          <w:color w:val="auto"/>
        </w:rPr>
      </w:pPr>
    </w:p>
    <w:p>
      <w:pPr>
        <w:ind w:left="660" w:hanging="328"/>
        <w:spacing w:after="0" w:line="228" w:lineRule="auto"/>
        <w:tabs>
          <w:tab w:leader="none" w:pos="653" w:val="left"/>
        </w:tabs>
        <w:numPr>
          <w:ilvl w:val="0"/>
          <w:numId w:val="22"/>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LSO net sales were $21.2 million, compared to $22.5 million, primarily reflecting lower volume in the retail channel, partially offset by a more favorable mix.</w:t>
      </w:r>
    </w:p>
    <w:p>
      <w:pPr>
        <w:spacing w:after="0" w:line="212" w:lineRule="exact"/>
        <w:rPr>
          <w:rFonts w:ascii="Calibri" w:cs="Calibri" w:eastAsia="Calibri" w:hAnsi="Calibri"/>
          <w:sz w:val="20"/>
          <w:szCs w:val="20"/>
          <w:b w:val="1"/>
          <w:bCs w:val="1"/>
          <w:color w:val="auto"/>
        </w:rPr>
      </w:pPr>
    </w:p>
    <w:p>
      <w:pPr>
        <w:ind w:left="660" w:hanging="328"/>
        <w:spacing w:after="0" w:line="254" w:lineRule="auto"/>
        <w:tabs>
          <w:tab w:leader="none" w:pos="653" w:val="left"/>
        </w:tabs>
        <w:numPr>
          <w:ilvl w:val="0"/>
          <w:numId w:val="22"/>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Operating income was $4.8 million, or 22.9% of net sales, compared to $5.5 million, or 24.6% of net sales. The 170 basis point decline in operating margin primarily reflects the impact of lower volume, partially offset by cost savings and improved mix.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2025 to First Quarter Fiscal 2024</w:t>
      </w:r>
    </w:p>
    <w:p>
      <w:pPr>
        <w:ind w:left="640" w:hanging="308"/>
        <w:spacing w:after="0" w:line="210" w:lineRule="auto"/>
        <w:tabs>
          <w:tab w:leader="none" w:pos="640" w:val="left"/>
        </w:tabs>
        <w:numPr>
          <w:ilvl w:val="0"/>
          <w:numId w:val="23"/>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Corporate and Other expense was $4.5 million, compared to $7.6 million, primarily due to lower insurance-related costs.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Backlog represents the dollar amount of signed contracts or firm orders, generally as a result of a competitive bidding process, which may be expected to be recognized as revenue in the future. Backlog is most meaningful for Architectural Services due to the longer-term nature of their projects.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Architectural Services</w:t>
      </w:r>
    </w:p>
    <w:p>
      <w:pPr>
        <w:spacing w:after="0" w:line="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June 1, 2024, segment backlog was approximately $866.9 million, compared to approximately $807.8 million at the end of the prior quarter. The increase in backlog compared to the prior quarter was primarily driven by several large project awards in the current quarter.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operating income, adjusted operating margin, adjusted net earnings, adjusted diluted earnings per share (adjusted diluted EPS), adjusted net earnings before interest, taxes, depreciation and amortization (adjusted EBITDA), and adjusted EBITDA margin are supplemental non-GAAP financial measures provided by the Company to assess performance on a more comparable basis from period-to-period by excluding amounts that management does not consider part of core operating results. Management uses these non-GAAP measures as noted below:</w:t>
      </w:r>
    </w:p>
    <w:p>
      <w:pPr>
        <w:spacing w:after="0" w:line="221" w:lineRule="exact"/>
        <w:rPr>
          <w:sz w:val="20"/>
          <w:szCs w:val="20"/>
          <w:color w:val="auto"/>
        </w:rPr>
      </w:pPr>
    </w:p>
    <w:p>
      <w:pPr>
        <w:jc w:val="both"/>
        <w:ind w:left="660" w:hanging="328"/>
        <w:spacing w:after="0" w:line="233" w:lineRule="auto"/>
        <w:tabs>
          <w:tab w:leader="none" w:pos="653" w:val="left"/>
        </w:tabs>
        <w:numPr>
          <w:ilvl w:val="0"/>
          <w:numId w:val="24"/>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We use adjusted operating income, adjusted operating margin, adjusted net earnings, and adjusted diluted EPS to provide meaningful supplemental information about our operating performance by excluding amounts that are not considered part of core operating results to enhance comparability of results from period to period.</w:t>
      </w:r>
    </w:p>
    <w:p>
      <w:pPr>
        <w:spacing w:after="0" w:line="2" w:lineRule="exact"/>
        <w:rPr>
          <w:rFonts w:ascii="Calibri" w:cs="Calibri" w:eastAsia="Calibri" w:hAnsi="Calibri"/>
          <w:sz w:val="20"/>
          <w:szCs w:val="20"/>
          <w:b w:val="1"/>
          <w:bCs w:val="1"/>
          <w:color w:val="auto"/>
        </w:rPr>
      </w:pPr>
    </w:p>
    <w:p>
      <w:pPr>
        <w:ind w:left="660" w:hanging="328"/>
        <w:spacing w:after="0" w:line="236" w:lineRule="auto"/>
        <w:tabs>
          <w:tab w:leader="none" w:pos="653" w:val="left"/>
        </w:tabs>
        <w:numPr>
          <w:ilvl w:val="0"/>
          <w:numId w:val="24"/>
        </w:numPr>
        <w:rPr>
          <w:rFonts w:ascii="Calibri" w:cs="Calibri" w:eastAsia="Calibri" w:hAnsi="Calibri"/>
          <w:sz w:val="20"/>
          <w:szCs w:val="20"/>
          <w:b w:val="1"/>
          <w:bCs w:val="1"/>
          <w:color w:val="auto"/>
        </w:rPr>
      </w:pPr>
      <w:r>
        <w:rPr>
          <w:rFonts w:ascii="Times New Roman" w:cs="Times New Roman" w:eastAsia="Times New Roman" w:hAnsi="Times New Roman"/>
          <w:sz w:val="18"/>
          <w:szCs w:val="18"/>
          <w:color w:val="auto"/>
        </w:rPr>
        <w:t>We believe adjusted EBITDA and adjusted EBITDA margin metrics provide useful information to investors and analysts about our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non-GAAP measures should be viewed in addition to, and not as an alternative to, the reported financial results of the Company prepared in accordance with U.S. GAAP. Other companies may calculate these measures differently, thereby limiting the usefulness of the measures for comparison with other companies.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Operating Income and Adjusted Operating Margin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 June 1, 2024</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c>
          <w:tcPr>
            <w:tcW w:w="100" w:type="dxa"/>
            <w:vAlign w:val="bottom"/>
          </w:tcPr>
          <w:p>
            <w:pPr>
              <w:spacing w:after="0"/>
              <w:rPr>
                <w:sz w:val="13"/>
                <w:szCs w:val="13"/>
                <w:color w:val="auto"/>
              </w:rPr>
            </w:pPr>
          </w:p>
        </w:tc>
        <w:tc>
          <w:tcPr>
            <w:tcW w:w="14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LSO</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Framing Systems</w:t>
            </w:r>
          </w:p>
        </w:tc>
        <w:tc>
          <w:tcPr>
            <w:tcW w:w="15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18,336</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5,623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(4,515)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41,381</w:t>
            </w:r>
          </w:p>
        </w:tc>
        <w:tc>
          <w:tcPr>
            <w:tcW w:w="0" w:type="dxa"/>
            <w:vAlign w:val="bottom"/>
          </w:tcPr>
          <w:p>
            <w:pPr>
              <w:spacing w:after="0"/>
              <w:rPr>
                <w:sz w:val="1"/>
                <w:szCs w:val="1"/>
                <w:color w:val="auto"/>
              </w:rPr>
            </w:pPr>
          </w:p>
        </w:tc>
      </w:tr>
      <w:tr>
        <w:trPr>
          <w:trHeight w:val="216"/>
        </w:trPr>
        <w:tc>
          <w:tcPr>
            <w:tcW w:w="26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234"/>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19,334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42,503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r>
        <w:trPr>
          <w:trHeight w:val="216"/>
        </w:trPr>
        <w:tc>
          <w:tcPr>
            <w:tcW w:w="26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34"/>
        </w:trPr>
        <w:tc>
          <w:tcPr>
            <w:tcW w:w="2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N/M</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May 27, 2023</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100" w:type="dxa"/>
            <w:vAlign w:val="bottom"/>
          </w:tcPr>
          <w:p>
            <w:pPr>
              <w:spacing w:after="0"/>
              <w:rPr>
                <w:sz w:val="13"/>
                <w:szCs w:val="13"/>
                <w:color w:val="auto"/>
              </w:rPr>
            </w:pPr>
          </w:p>
        </w:tc>
        <w:tc>
          <w:tcPr>
            <w:tcW w:w="13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LSO</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Framing Systems</w:t>
            </w:r>
          </w:p>
        </w:tc>
        <w:tc>
          <w:tcPr>
            <w:tcW w:w="15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tcBorders>
              <w:top w:val="single" w:sz="8" w:color="CCEEFF"/>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Operating income</w:t>
            </w:r>
            <w:r>
              <w:rPr>
                <w:rFonts w:ascii="Times New Roman" w:cs="Times New Roman" w:eastAsia="Times New Roman" w:hAnsi="Times New Roman"/>
                <w:sz w:val="21"/>
                <w:szCs w:val="21"/>
                <w:color w:val="auto"/>
                <w:vertAlign w:val="superscript"/>
              </w:rPr>
              <w:t>(2)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19,945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(7,628)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33,767</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60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Operating margin</w:t>
            </w:r>
            <w:r>
              <w:rPr>
                <w:rFonts w:ascii="Times New Roman" w:cs="Times New Roman" w:eastAsia="Times New Roman" w:hAnsi="Times New Roman"/>
                <w:sz w:val="21"/>
                <w:szCs w:val="21"/>
                <w:color w:val="auto"/>
                <w:vertAlign w:val="superscript"/>
              </w:rPr>
              <w:t>(2)</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9"/>
              </w:rPr>
              <w:t>N/M</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520" w:hanging="346"/>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$0.4 million of employee termination costs and $0.7 million of other costs.</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first quarter of fiscal 2024, we did not make any adjustments to operating income or operating margin as calculated in accordance with U.S. GAAP.</w:t>
      </w:r>
    </w:p>
    <w:p>
      <w:pPr>
        <w:spacing w:after="0" w:line="200" w:lineRule="exact"/>
        <w:rPr>
          <w:sz w:val="20"/>
          <w:szCs w:val="20"/>
          <w:color w:val="auto"/>
        </w:rPr>
      </w:pPr>
    </w:p>
    <w:p>
      <w:pPr>
        <w:spacing w:after="0" w:line="28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Adjusted Net Earnings and Adjusted Diluted Earnings Per Share</w:t>
      </w:r>
    </w:p>
    <w:p>
      <w:pPr>
        <w:spacing w:after="0" w:line="2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(Unaudited)</w:t>
      </w:r>
    </w:p>
    <w:p>
      <w:pPr>
        <w:spacing w:after="0" w:line="30"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Diluted per share amounts</w:t>
            </w:r>
          </w:p>
        </w:tc>
      </w:tr>
      <w:tr>
        <w:trPr>
          <w:trHeight w:val="214"/>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88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1, 2024</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May 27, 2023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1, 2024</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May 27, 2023</w:t>
            </w:r>
          </w:p>
        </w:tc>
      </w:tr>
      <w:tr>
        <w:trPr>
          <w:trHeight w:val="211"/>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29"/>
        </w:trPr>
        <w:tc>
          <w:tcPr>
            <w:tcW w:w="4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8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Income tax impact on above adjustments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2"/>
        </w:trPr>
        <w:tc>
          <w:tcPr>
            <w:tcW w:w="4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1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outstanding for EPS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22,386</w:t>
            </w:r>
          </w:p>
        </w:tc>
      </w:tr>
    </w:tbl>
    <w:p>
      <w:pPr>
        <w:spacing w:after="0" w:line="104" w:lineRule="exact"/>
        <w:rPr>
          <w:sz w:val="20"/>
          <w:szCs w:val="20"/>
          <w:color w:val="auto"/>
        </w:rPr>
      </w:pPr>
    </w:p>
    <w:p>
      <w:pPr>
        <w:ind w:left="460" w:hanging="367"/>
        <w:spacing w:after="0"/>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$0.4 million of employee termination costs and $0.7 million of other costs.</w:t>
      </w:r>
    </w:p>
    <w:p>
      <w:pPr>
        <w:spacing w:after="0" w:line="41" w:lineRule="exact"/>
        <w:rPr>
          <w:rFonts w:ascii="Times New Roman" w:cs="Times New Roman" w:eastAsia="Times New Roman" w:hAnsi="Times New Roman"/>
          <w:sz w:val="14"/>
          <w:szCs w:val="14"/>
          <w:color w:val="auto"/>
        </w:rPr>
      </w:pPr>
    </w:p>
    <w:p>
      <w:pPr>
        <w:ind w:left="460" w:right="80" w:hanging="367"/>
        <w:spacing w:after="0" w:line="261" w:lineRule="auto"/>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impact calculated using an estimated statutory tax rate of 24.5%, which reflects the estimated blended statutory tax rate for the jurisdictions in which the charge or income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1, 2024</w:t>
            </w: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May 27, 2023</w:t>
            </w:r>
          </w:p>
        </w:tc>
      </w:tr>
      <w:tr>
        <w:trPr>
          <w:trHeight w:val="210"/>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31,011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23,576</w:t>
            </w:r>
          </w:p>
        </w:tc>
      </w:tr>
      <w:tr>
        <w:trPr>
          <w:trHeight w:val="21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10,063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7,867</w:t>
            </w:r>
          </w:p>
        </w:tc>
      </w:tr>
      <w:tr>
        <w:trPr>
          <w:trHeight w:val="21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2,036</w:t>
            </w:r>
          </w:p>
        </w:tc>
      </w:tr>
      <w:tr>
        <w:trPr>
          <w:trHeight w:val="213"/>
        </w:trPr>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9,976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10,282</w:t>
            </w:r>
          </w:p>
        </w:tc>
      </w:tr>
      <w:tr>
        <w:trPr>
          <w:trHeight w:val="212"/>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51,500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43,761</w:t>
            </w:r>
          </w:p>
        </w:tc>
      </w:tr>
      <w:tr>
        <w:trPr>
          <w:trHeight w:val="216"/>
        </w:trPr>
        <w:tc>
          <w:tcPr>
            <w:tcW w:w="788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Restructuring costs</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1,122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52,622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43,761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 Margin</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21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r>
    </w:tbl>
    <w:p>
      <w:pPr>
        <w:spacing w:after="0" w:line="199" w:lineRule="exact"/>
        <w:rPr>
          <w:sz w:val="20"/>
          <w:szCs w:val="20"/>
          <w:color w:val="auto"/>
        </w:rPr>
      </w:pPr>
    </w:p>
    <w:p>
      <w:pPr>
        <w:ind w:left="400" w:hanging="374"/>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charges related to Project Fortify, including $0.4 million of employee termination costs and $0.7 million of other costs.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cash provided by operations for our material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$5.5 million for the first three months of fiscal 2025, compared to $21.3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period. The decrease was primarily driven by increased cash used for working capital requirements and increased cash paid for incentive compensation payments, partially offset by higher earnings.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by investing activities was $7.3 million for the first three months of fiscal 2025, compared to $6.9 million in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w:t>
      </w:r>
    </w:p>
    <w:p>
      <w:pPr>
        <w:spacing w:after="0" w:line="18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by financing activities was $4.9 million for the first three months of fiscal 2025, compared to $11.3 million in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period. The decrease in cash used for financing activities was primarily driven by higher net debt borrowings in the current year period, partially offset by increased share repurchases.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cash needs and availability of debt resources relative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plans, significant capital plans, and other working capital needs.</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the end of the first quarter of fiscal 2025, we had a committed revolving U.S. credit facility with maximum borrowings of up to $385 million, with a maturity date of August 5, 2027, and two Canadian credit facilities totaling $25 million (USD). At June 1, 2024, we had outstanding borrowings under our U.S. credit facility of $65.0 million, and no outstanding borrowings under the Canadian credit facilities. We are required to make periodic interest payments on our outstanding indebtedness, and future interest payments will be determined based on the amount of outstanding borrowings and prevailing interest rates during that time.</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revolving credit facilities contain two maintenance financial covenants that require us to stay below a maximum debt-to-EBITDA ratio of 3.25 and maintain a minimum ratio of EBITDA-to-interest expense of 3.00. Both ratios are computed quarterly, with EBITDA calculated on a rolling four-quarter basis. At June 1, 2024, we were in compliance with both financial covenants (which are identical in all three of our revolving credit facilities).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revolving credit facilities also contain an acquisition holiday. In the event we make an acquisition for which the purchase price is greater than $75 million, we can elect to increase the maximum debt-to-EBITDA ratio to 3.75 for a period of four consecutive fiscal quarters, commencing with the fiscal quarter in which a qualifying acquisition occurs. No more than two acquisition "holidays" can occur during the term of the facility, and at least two fiscal quarters must separate qualifying acquisitions.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Borrowings under the credit facilities bear floating interest at either the Base Rate or Term Secured Overnight Financing Rate (SOFR), or, in the case of the Canadian credit facilities, Canadian Overnight Repo Rate Average (CORRA) plus, in each a margin based on the Leverage Ratio (as defined in the Credit Agreements). For Base Rate borrowings, the margin ranges from 0.125% to 0.75%. For Term SOFR and CORRA borrowings, the margin ranges from 1.125% to 1.75%, with an incremental Term SOFR and CORRA adjustment of 0.10% and 0.29547%, respectively.</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credit facility also contains an "accordion" provision. Under this provision, we can request that the facility be increased by as much as $200.0 million. Any lender may elect or decline to participate in the requested increase at their sole discretion.</w:t>
      </w:r>
    </w:p>
    <w:p>
      <w:pPr>
        <w:spacing w:after="0" w:line="20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Additionally, at June 1, 2024, we had a total of $15.0 million of ongoing letters of credit related to industrial revenue bonds, construction contracts and insurance collateral that expire in fiscal years 2026 through 2032 and reduce borrowing capacity under the U.S. credit facility. As of June 1, 2024, the amount available for revolving borrowings was $305.0 million and $25.0 million under the U.S. credit facility and Canadian credit facilities, respectively.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$43.0 million at June 1, 2024, with $9.5 million payable during the remainder of fiscal 2025.</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1, 2024, we had $17.9 million of open purchase obligations, of which payments totaling $13.4 million are expected to become due during the remainder of fiscal 2025. These purchase obligations primarily relate to raw material commitments and capital expenditures and are not expected to impact future liquidity, as amounts should be recovered through customer billings.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$0.4 million to our defined-benefit pension plans in fiscal 2025, which will equal or exceed our minimum funding requirements.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1, 2024, we had reserves of $5.6 million for unrecognized tax benefits. We are unable to reasonably estimate in which future periods the remaining unrecognized tax benefits will ultimately be settled.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June 1, 2024, $1.3 billion of these types of bonds were outstanding, of which $434.7 million is in our backlog. These bonds have expiration dates that align with completion of the purchase order or contract. We have not been required to make any payments under these bonds with respect to our existing businesses.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facilities,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acquisitions, for the foreseeable future. We also believe we will be able to operate our business so as to continue to be in compliance with our existing debt covenants over the next fiscal year.</w:t>
      </w:r>
    </w:p>
    <w:p>
      <w:pPr>
        <w:spacing w:after="0" w:line="2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March 2,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our Annual Report on Form 10-K for the fiscal year ended March 2, 2024.</w:t>
      </w:r>
    </w:p>
    <w:p>
      <w:pPr>
        <w:spacing w:after="0" w:line="2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Refer to the Company’s Annual Report on Form 10-K for the fiscal year ended March 2, 2024 for a discussion of the Company’s market risk. There have been no material changes in market risk since March 2,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29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June 1, 2024, that has materially affected, or is reasonably likely to materially affect, the Company’s internal control over financial reporting.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In December 2022, the claimant in an arbitration of one such claim was awarded $20 million. The Company has appealed the award and believes, after taking into account all currently available information, including the advice of counsel and the likelihood of available insurance coverage, that this award will not have a material adverse effect on the Company's business, financial condition, results of operations or cash flows.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March 2, 2024.</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first quarter of fiscal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37"/>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0"/>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 2024 to March 30, 2024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2,973,483</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 to April 27,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60,128</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2,913,355</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28, 2024 to June 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181,445</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2,731,910</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241,573</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2,731,910</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71" w:lineRule="auto"/>
        <w:tabs>
          <w:tab w:leader="none" w:pos="33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jc w:val="both"/>
        <w:ind w:left="340" w:hanging="332"/>
        <w:spacing w:after="0" w:line="264"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January 14, 2022 and October 6, 2023. The repurchase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months ended June 1, 2024, none of our directors or officers (as defined in Rule 16a-1(f) of the Exchange Act) adopted or terminated any "Rule 10b5-1 trading arrangement" or any "non-Rule 10b5-1 trading arrangement", as each term is defined in Item 408(c) of Regulation S-K.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20"/>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8"/>
            <w:shd w:val="clear" w:color="auto" w:fill="CCEEFF"/>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Restated Articles of Incorporation. (Incorporated by reference to Exhibit 3.1 to Registrant's Annual Report on Form 10-K for the</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2280" w:type="dxa"/>
            <w:vAlign w:val="bottom"/>
            <w:tcBorders>
              <w:top w:val="single" w:sz="8" w:color="0000FF"/>
              <w:bottom w:val="single" w:sz="8" w:color="0000FF"/>
            </w:tcBorders>
            <w:gridSpan w:val="2"/>
            <w:shd w:val="clear" w:color="auto" w:fill="CCEEFF"/>
          </w:tcPr>
          <w:p>
            <w:pPr>
              <w:ind w:left="20"/>
              <w:spacing w:after="0" w:line="156"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year-ended February 28, 2004.)</w:t>
              </w:r>
            </w:hyperlink>
          </w:p>
        </w:tc>
        <w:tc>
          <w:tcPr>
            <w:tcW w:w="732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16"/>
                <w:szCs w:val="16"/>
                <w:color w:val="auto"/>
              </w:rPr>
            </w:pPr>
          </w:p>
        </w:tc>
        <w:tc>
          <w:tcPr>
            <w:tcW w:w="9780" w:type="dxa"/>
            <w:vAlign w:val="bottom"/>
            <w:gridSpan w:val="18"/>
          </w:tcPr>
          <w:p>
            <w:pPr>
              <w:ind w:left="20"/>
              <w:spacing w:after="0" w:line="18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Articles of Amendment to Restated Articles of Incorporation. Incorporated by reference to Exhibit 3.1 to Registrant's Current Report</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80" w:type="dxa"/>
            <w:vAlign w:val="bottom"/>
            <w:tcBorders>
              <w:top w:val="single" w:sz="8" w:color="0000FF"/>
            </w:tcBorders>
            <w:gridSpan w:val="18"/>
          </w:tcPr>
          <w:p>
            <w:pPr>
              <w:ind w:left="20"/>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on Form 8-K filed on January 16, 2020.</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8"/>
            <w:shd w:val="clear" w:color="auto" w:fill="CCEEFF"/>
          </w:tcPr>
          <w:p>
            <w:pPr>
              <w:ind w:left="20"/>
              <w:spacing w:after="0" w:line="18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Bylaws of Apogee Enterprises, Inc. Incorporated by reference to Exhibit 3.3 to the Registrant’s Quarterly</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11"/>
            <w:shd w:val="clear" w:color="auto" w:fill="CCEEFF"/>
          </w:tcPr>
          <w:p>
            <w:pPr>
              <w:ind w:left="20"/>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Report on Form 10-Q filed on July 1,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6"/>
                <w:szCs w:val="16"/>
                <w:color w:val="auto"/>
              </w:rPr>
            </w:pPr>
          </w:p>
        </w:tc>
        <w:tc>
          <w:tcPr>
            <w:tcW w:w="9780" w:type="dxa"/>
            <w:vAlign w:val="bottom"/>
            <w:gridSpan w:val="18"/>
          </w:tcPr>
          <w:p>
            <w:pPr>
              <w:ind w:left="20"/>
              <w:spacing w:after="0" w:line="18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Form of Restricted Stock Agreement under the Apogee Enterprises, Inc. 2019 Stock Incentive Plan, as Amended and</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40" w:type="dxa"/>
            <w:vAlign w:val="bottom"/>
            <w:tcBorders>
              <w:top w:val="single" w:sz="8" w:color="0000FF"/>
            </w:tcBorders>
            <w:gridSpan w:val="12"/>
          </w:tcPr>
          <w:p>
            <w:pPr>
              <w:ind w:left="20"/>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Restated (2021). Incorporated by reference to Exhibit 10.2 to Registrant's Current Report on Form 8-K filed on May 7,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9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8"/>
            <w:shd w:val="clear" w:color="auto" w:fill="CCEEFF"/>
          </w:tcPr>
          <w:p>
            <w:pPr>
              <w:ind w:left="20"/>
              <w:spacing w:after="0" w:line="18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Amended Form of Restricted Stock Unit Agreement under the Apogee Enterprises, Inc. 2019 Stock Incentive Plan, as Amended and</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9020" w:type="dxa"/>
            <w:vAlign w:val="bottom"/>
            <w:tcBorders>
              <w:top w:val="single" w:sz="8" w:color="0000FF"/>
              <w:bottom w:val="single" w:sz="8" w:color="0000FF"/>
            </w:tcBorders>
            <w:gridSpan w:val="9"/>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Restated (2021). Incorporated by reference to Exhibit 10.3 to Registrant's Current Report on Form 8-K filed on May 7, 2024.</w:t>
              </w:r>
            </w:hyperlink>
          </w:p>
        </w:tc>
        <w:tc>
          <w:tcPr>
            <w:tcW w:w="64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720" w:type="dxa"/>
            <w:vAlign w:val="bottom"/>
          </w:tcPr>
          <w:p>
            <w:pPr>
              <w:spacing w:after="0"/>
              <w:rPr>
                <w:sz w:val="16"/>
                <w:szCs w:val="16"/>
                <w:color w:val="auto"/>
              </w:rPr>
            </w:pPr>
          </w:p>
        </w:tc>
        <w:tc>
          <w:tcPr>
            <w:tcW w:w="9780" w:type="dxa"/>
            <w:vAlign w:val="bottom"/>
            <w:gridSpan w:val="18"/>
          </w:tcPr>
          <w:p>
            <w:pPr>
              <w:ind w:left="20"/>
              <w:spacing w:after="0" w:line="18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Executive Equity Deferral Program Under the Apogee Enterprises, Inc. 2019 Stock Incentive Plan dated May 1, 2024. Incorporated</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700" w:type="dxa"/>
            <w:vAlign w:val="bottom"/>
            <w:tcBorders>
              <w:top w:val="single" w:sz="8" w:color="0000FF"/>
            </w:tcBorders>
            <w:gridSpan w:val="15"/>
          </w:tcPr>
          <w:p>
            <w:pPr>
              <w:ind w:left="20"/>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by reference to Exhibit 10.7 to Registrant's Current Report on Form 8-K filed on May 7,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9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8"/>
            <w:shd w:val="clear" w:color="auto" w:fill="CCEEFF"/>
          </w:tcPr>
          <w:p>
            <w:pPr>
              <w:ind w:left="20"/>
              <w:spacing w:after="0" w:line="18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Apogee Enterprises, Inc. 2019 Non-Employee Director Stock Plan as Amended and Restated (2024). Incorporated by reference to</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6060" w:type="dxa"/>
            <w:vAlign w:val="bottom"/>
            <w:tcBorders>
              <w:top w:val="single" w:sz="8" w:color="0000FF"/>
              <w:bottom w:val="single" w:sz="8" w:color="0000FF"/>
            </w:tcBorders>
            <w:gridSpan w:val="5"/>
            <w:shd w:val="clear" w:color="auto" w:fill="CCEEFF"/>
          </w:tcPr>
          <w:p>
            <w:pPr>
              <w:ind w:left="20"/>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Exhibit 4.5 to Apogee’s Registration Statement on Form S-8 filed on June 20, 2024.</w:t>
              </w:r>
            </w:hyperlink>
          </w:p>
        </w:tc>
        <w:tc>
          <w:tcPr>
            <w:tcW w:w="19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64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16"/>
                <w:szCs w:val="16"/>
                <w:color w:val="auto"/>
              </w:rPr>
            </w:pPr>
          </w:p>
        </w:tc>
        <w:tc>
          <w:tcPr>
            <w:tcW w:w="9780" w:type="dxa"/>
            <w:vAlign w:val="bottom"/>
            <w:gridSpan w:val="18"/>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9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720" w:type="dxa"/>
            <w:vAlign w:val="bottom"/>
            <w:tcBorders>
              <w:bottom w:val="single" w:sz="8" w:color="CCEEFF"/>
            </w:tcBorders>
            <w:shd w:val="clear" w:color="auto" w:fill="CCEEFF"/>
          </w:tcPr>
          <w:p>
            <w:pPr>
              <w:spacing w:after="0"/>
              <w:rPr>
                <w:sz w:val="18"/>
                <w:szCs w:val="18"/>
                <w:color w:val="auto"/>
              </w:rPr>
            </w:pPr>
          </w:p>
        </w:tc>
        <w:tc>
          <w:tcPr>
            <w:tcW w:w="8000" w:type="dxa"/>
            <w:vAlign w:val="bottom"/>
            <w:tcBorders>
              <w:bottom w:val="single" w:sz="8" w:color="0000FF"/>
            </w:tcBorders>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under the Securities Exchange Act of 1934.</w:t>
            </w:r>
          </w:p>
        </w:tc>
        <w:tc>
          <w:tcPr>
            <w:tcW w:w="1780" w:type="dxa"/>
            <w:vAlign w:val="bottom"/>
            <w:tcBorders>
              <w:bottom w:val="single" w:sz="8" w:color="CCEEFF"/>
              <w:right w:val="single" w:sz="8" w:color="CCEEFF"/>
            </w:tcBorders>
            <w:gridSpan w:val="11"/>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720" w:type="dxa"/>
            <w:vAlign w:val="bottom"/>
          </w:tcPr>
          <w:p>
            <w:pPr>
              <w:spacing w:after="0"/>
              <w:rPr>
                <w:sz w:val="16"/>
                <w:szCs w:val="16"/>
                <w:color w:val="auto"/>
              </w:rPr>
            </w:pPr>
          </w:p>
        </w:tc>
        <w:tc>
          <w:tcPr>
            <w:tcW w:w="9780" w:type="dxa"/>
            <w:vAlign w:val="bottom"/>
            <w:gridSpan w:val="18"/>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80" w:type="dxa"/>
            <w:vAlign w:val="bottom"/>
            <w:tcBorders>
              <w:top w:val="single" w:sz="8" w:color="0000FF"/>
            </w:tcBorders>
            <w:gridSpan w:val="14"/>
          </w:tcPr>
          <w:p>
            <w:pPr>
              <w:ind w:left="20"/>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720" w:type="dxa"/>
            <w:vAlign w:val="bottom"/>
            <w:shd w:val="clear" w:color="auto" w:fill="CCEEFF"/>
          </w:tcPr>
          <w:p>
            <w:pPr>
              <w:spacing w:after="0"/>
              <w:rPr>
                <w:sz w:val="16"/>
                <w:szCs w:val="16"/>
                <w:color w:val="auto"/>
              </w:rPr>
            </w:pPr>
          </w:p>
        </w:tc>
        <w:tc>
          <w:tcPr>
            <w:tcW w:w="9780" w:type="dxa"/>
            <w:vAlign w:val="bottom"/>
            <w:tcBorders>
              <w:right w:val="single" w:sz="8" w:color="CCEEFF"/>
            </w:tcBorders>
            <w:gridSpan w:val="1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400" w:type="dxa"/>
            <w:vAlign w:val="bottom"/>
            <w:tcBorders>
              <w:top w:val="single" w:sz="8" w:color="0000FF"/>
              <w:bottom w:val="single" w:sz="8" w:color="0000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2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7"/>
                <w:szCs w:val="17"/>
                <w:color w:val="auto"/>
              </w:rPr>
            </w:pPr>
          </w:p>
        </w:tc>
        <w:tc>
          <w:tcPr>
            <w:tcW w:w="9780" w:type="dxa"/>
            <w:vAlign w:val="bottom"/>
            <w:gridSpan w:val="18"/>
          </w:tcPr>
          <w:p>
            <w:pPr>
              <w:ind w:left="20"/>
              <w:spacing w:after="0" w:line="198" w:lineRule="exact"/>
              <w:rPr>
                <w:sz w:val="20"/>
                <w:szCs w:val="20"/>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June 1, 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9"/>
          </w:tcPr>
          <w:p>
            <w:pPr>
              <w:ind w:left="20"/>
              <w:spacing w:after="0" w:line="202" w:lineRule="exact"/>
              <w:rPr>
                <w:sz w:val="20"/>
                <w:szCs w:val="20"/>
                <w:color w:val="auto"/>
              </w:rPr>
            </w:pPr>
            <w:r>
              <w:rPr>
                <w:rFonts w:ascii="Times New Roman" w:cs="Times New Roman" w:eastAsia="Times New Roman" w:hAnsi="Times New Roman"/>
                <w:sz w:val="18"/>
                <w:szCs w:val="18"/>
                <w:color w:val="auto"/>
              </w:rPr>
              <w:t>formatted in iXBRL (Inline Extensible Business Reporting Language): (i) the Consolidated Balance Sheets as of June 1, 2024 and</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9"/>
          </w:tcPr>
          <w:p>
            <w:pPr>
              <w:ind w:left="20"/>
              <w:spacing w:after="0" w:line="202" w:lineRule="exact"/>
              <w:rPr>
                <w:sz w:val="20"/>
                <w:szCs w:val="20"/>
                <w:color w:val="auto"/>
              </w:rPr>
            </w:pPr>
            <w:r>
              <w:rPr>
                <w:rFonts w:ascii="Times New Roman" w:cs="Times New Roman" w:eastAsia="Times New Roman" w:hAnsi="Times New Roman"/>
                <w:sz w:val="18"/>
                <w:szCs w:val="18"/>
                <w:color w:val="auto"/>
              </w:rPr>
              <w:t>March 2, 2024, (ii) the Consolidated Results of Operations for the three-months ended June 1, 2024 and May 27, 2023, (iii) the</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9"/>
          </w:tcPr>
          <w:p>
            <w:pPr>
              <w:ind w:left="20"/>
              <w:spacing w:after="0" w:line="202" w:lineRule="exact"/>
              <w:rPr>
                <w:sz w:val="20"/>
                <w:szCs w:val="20"/>
                <w:color w:val="auto"/>
              </w:rPr>
            </w:pPr>
            <w:r>
              <w:rPr>
                <w:rFonts w:ascii="Times New Roman" w:cs="Times New Roman" w:eastAsia="Times New Roman" w:hAnsi="Times New Roman"/>
                <w:sz w:val="18"/>
                <w:szCs w:val="18"/>
                <w:color w:val="auto"/>
              </w:rPr>
              <w:t>Consolidated Statements of Comprehensive Earnings for the three-months ended June 1, 2024 and May 27, 2023, (iv) the</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9"/>
          </w:tcPr>
          <w:p>
            <w:pPr>
              <w:ind w:left="20"/>
              <w:spacing w:after="0" w:line="202" w:lineRule="exact"/>
              <w:rPr>
                <w:sz w:val="20"/>
                <w:szCs w:val="20"/>
                <w:color w:val="auto"/>
              </w:rPr>
            </w:pPr>
            <w:r>
              <w:rPr>
                <w:rFonts w:ascii="Times New Roman" w:cs="Times New Roman" w:eastAsia="Times New Roman" w:hAnsi="Times New Roman"/>
                <w:sz w:val="18"/>
                <w:szCs w:val="18"/>
                <w:color w:val="auto"/>
              </w:rPr>
              <w:t>Consolidated Statements of Cash Flows for the three-months ended June 1, 2024 and May 27, 2023, (v) the Consolidated Statements</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19"/>
          </w:tcPr>
          <w:p>
            <w:pPr>
              <w:ind w:left="20"/>
              <w:spacing w:after="0" w:line="202" w:lineRule="exact"/>
              <w:rPr>
                <w:sz w:val="20"/>
                <w:szCs w:val="20"/>
                <w:color w:val="auto"/>
              </w:rPr>
            </w:pPr>
            <w:r>
              <w:rPr>
                <w:rFonts w:ascii="Times New Roman" w:cs="Times New Roman" w:eastAsia="Times New Roman" w:hAnsi="Times New Roman"/>
                <w:sz w:val="18"/>
                <w:szCs w:val="18"/>
                <w:color w:val="auto"/>
              </w:rPr>
              <w:t>of Shareholders' Equity for the three-months ended June 1, 2024 and May 27, 2023, and (vi) Notes to Consolidated Financial</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2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243"/>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shd w:val="clear" w:color="auto" w:fill="CCEEFF"/>
          </w:tcPr>
          <w:p>
            <w:pPr>
              <w:spacing w:after="0"/>
              <w:rPr>
                <w:sz w:val="21"/>
                <w:szCs w:val="21"/>
                <w:color w:val="auto"/>
              </w:rPr>
            </w:pPr>
          </w:p>
        </w:tc>
        <w:tc>
          <w:tcPr>
            <w:tcW w:w="9780" w:type="dxa"/>
            <w:vAlign w:val="bottom"/>
            <w:tcBorders>
              <w:right w:val="single" w:sz="8" w:color="CCEEFF"/>
            </w:tcBorders>
            <w:gridSpan w:val="1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Exhibits marked with a (#) sign are filed herewith.</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700" w:type="dxa"/>
            <w:vAlign w:val="bottom"/>
          </w:tcPr>
          <w:p>
            <w:pPr>
              <w:spacing w:after="0"/>
              <w:rPr>
                <w:sz w:val="24"/>
                <w:szCs w:val="24"/>
                <w:color w:val="auto"/>
              </w:rPr>
            </w:pPr>
          </w:p>
        </w:tc>
        <w:tc>
          <w:tcPr>
            <w:tcW w:w="6780" w:type="dxa"/>
            <w:vAlign w:val="bottom"/>
            <w:gridSpan w:val="6"/>
          </w:tcPr>
          <w:p>
            <w:pPr>
              <w:jc w:val="right"/>
              <w:ind w:right="176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July 9, 2024</w:t>
      </w:r>
      <w:r>
        <w:rPr>
          <w:sz w:val="20"/>
          <w:szCs w:val="20"/>
          <w:color w:val="auto"/>
        </w:rPr>
        <w:tab/>
      </w:r>
      <w:r>
        <w:rPr>
          <w:rFonts w:ascii="Times New Roman" w:cs="Times New Roman" w:eastAsia="Times New Roman" w:hAnsi="Times New Roman"/>
          <w:sz w:val="17"/>
          <w:szCs w:val="17"/>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Ty R. Silberhorn</w:t>
      </w:r>
    </w:p>
    <w:p>
      <w:pPr>
        <w:ind w:left="604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8"/>
          <w:szCs w:val="18"/>
          <w:color w:val="auto"/>
        </w:rPr>
        <w:t>Date: July 9, 2024</w:t>
      </w:r>
      <w:r>
        <w:rPr>
          <w:sz w:val="20"/>
          <w:szCs w:val="20"/>
          <w:color w:val="auto"/>
        </w:rPr>
        <w:tab/>
      </w:r>
      <w:r>
        <w:rPr>
          <w:rFonts w:ascii="Times New Roman" w:cs="Times New Roman" w:eastAsia="Times New Roman" w:hAnsi="Times New Roman"/>
          <w:sz w:val="17"/>
          <w:szCs w:val="17"/>
          <w:color w:val="auto"/>
        </w:rPr>
        <w:t>By: /s/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Matthew J. Osberg</w:t>
      </w:r>
    </w:p>
    <w:p>
      <w:pPr>
        <w:ind w:left="602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21" w:right="3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652"/>
        <w:spacing w:after="0" w:line="266" w:lineRule="auto"/>
        <w:tabs>
          <w:tab w:leader="none" w:pos="196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9, 2024</w:t>
      </w:r>
    </w:p>
    <w:p>
      <w:pPr>
        <w:spacing w:after="0" w:line="7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43180</wp:posOffset>
            </wp:positionV>
            <wp:extent cx="27863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8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Ty R. Silberhorn</w:t>
      </w:r>
    </w:p>
    <w:p>
      <w:pPr>
        <w:spacing w:after="0" w:line="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Osberg, certify that:</w:t>
      </w:r>
    </w:p>
    <w:p>
      <w:pPr>
        <w:spacing w:after="0" w:line="117"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6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20" w:hanging="652"/>
        <w:spacing w:after="0" w:line="266" w:lineRule="auto"/>
        <w:tabs>
          <w:tab w:leader="none" w:pos="22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280" w:hanging="652"/>
        <w:spacing w:after="0" w:line="266" w:lineRule="auto"/>
        <w:tabs>
          <w:tab w:leader="none" w:pos="22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80" w:hanging="652"/>
        <w:spacing w:after="0" w:line="282" w:lineRule="auto"/>
        <w:tabs>
          <w:tab w:leader="none" w:pos="22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9, 2024</w:t>
      </w:r>
    </w:p>
    <w:p>
      <w:pPr>
        <w:spacing w:after="0" w:line="33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30861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Matthew J. Osberg</w:t>
      </w:r>
    </w:p>
    <w:p>
      <w:pPr>
        <w:ind w:left="64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June 1, 2024 as filed with the Securities and Exchange Commission (the “Report”), I, Ty R. Silberhorn, President and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 R. Silberhorn</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9, 2024</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June 1, 2024 as filed with the Securities and Exchange Commission (the “Report”), I, Matthew J. Osberg, Executive Vice President and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J. 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4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J. Osberg</w:t>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9,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6"/>
    </w:lvl>
  </w:abstractNum>
  <w:abstractNum w:abstractNumId="7">
    <w:nsid w:val="436C6125"/>
    <w:multiLevelType w:val="hybridMultilevel"/>
    <w:lvl w:ilvl="0">
      <w:lvlJc w:val="left"/>
      <w:lvlText w:val="%1."/>
      <w:numFmt w:val="decimal"/>
      <w:start w:val="7"/>
    </w:lvl>
  </w:abstractNum>
  <w:abstractNum w:abstractNumId="8">
    <w:nsid w:val="628C895D"/>
    <w:multiLevelType w:val="hybridMultilevel"/>
    <w:lvl w:ilvl="0">
      <w:lvlJc w:val="left"/>
      <w:lvlText w:val="%1."/>
      <w:numFmt w:val="decimal"/>
      <w:start w:val="8"/>
    </w:lvl>
  </w:abstractNum>
  <w:abstractNum w:abstractNumId="9">
    <w:nsid w:val="333AB105"/>
    <w:multiLevelType w:val="hybridMultilevel"/>
    <w:lvl w:ilvl="0">
      <w:lvlJc w:val="left"/>
      <w:lvlText w:val="%1."/>
      <w:numFmt w:val="decimal"/>
      <w:start w:val="9"/>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238"/>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50" Type="http://schemas.openxmlformats.org/officeDocument/2006/relationships/hyperlink" Target="https://www.sec.gov/Archives/edgar/data/6845/000119312504079352/dex31.htm" TargetMode="External"/><Relationship Id="rId51" Type="http://schemas.openxmlformats.org/officeDocument/2006/relationships/hyperlink" Target="https://www.sec.gov/Archives/edgar/data/6845/000119312520008887/d874518dex31.htm" TargetMode="External"/><Relationship Id="rId52" Type="http://schemas.openxmlformats.org/officeDocument/2006/relationships/hyperlink" Target="https://www.sec.gov/Archives/edgar/data/0000006845/000000684521000020/apog-ex33arbylawsfinalapri.htm" TargetMode="External"/><Relationship Id="rId53" Type="http://schemas.openxmlformats.org/officeDocument/2006/relationships/hyperlink" Target="https://www.sec.gov/Archives/edgar/data/6845/000000684524000138/exhibit102apog2019stockinc.htm" TargetMode="External"/><Relationship Id="rId54" Type="http://schemas.openxmlformats.org/officeDocument/2006/relationships/hyperlink" Target="https://www.sec.gov/Archives/edgar/data/6845/000000684524000138/exhibit103-apog2019stockin.htm" TargetMode="External"/><Relationship Id="rId55" Type="http://schemas.openxmlformats.org/officeDocument/2006/relationships/hyperlink" Target="https://www.sec.gov/Archives/edgar/data/6845/000000684524000138/exhibit107deferredexecutiv.htm" TargetMode="External"/><Relationship Id="rId56" Type="http://schemas.openxmlformats.org/officeDocument/2006/relationships/hyperlink" Target="https://www.sec.gov/Archives/edgar/data/6845/000000684524000182/exhibit45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2024-07-09T12:30:39Z</dcterms:created>
  <dcterms:modified xsi:type="dcterms:W3CDTF">2024-07-09T12:30:39Z</dcterms:modified>
</cp:coreProperties>
</file>