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576580</wp:posOffset>
            </wp:positionH>
            <wp:positionV relativeFrom="page">
              <wp:posOffset>782955</wp:posOffset>
            </wp:positionV>
            <wp:extent cx="63950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page">
              <wp:posOffset>576580</wp:posOffset>
            </wp:positionH>
            <wp:positionV relativeFrom="page">
              <wp:posOffset>688975</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18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860" w:hanging="83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860" w:hanging="83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ind w:left="860" w:hanging="83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71" w:lineRule="exact"/>
        <w:rPr>
          <w:sz w:val="24"/>
          <w:szCs w:val="24"/>
          <w:color w:val="auto"/>
        </w:rPr>
      </w:pPr>
    </w:p>
    <w:p>
      <w:pPr>
        <w:ind w:left="860" w:hanging="834"/>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71" w:lineRule="exact"/>
        <w:rPr>
          <w:rFonts w:ascii="MS PGothic" w:cs="MS PGothic" w:eastAsia="MS PGothic" w:hAnsi="MS PGothic"/>
          <w:sz w:val="18"/>
          <w:szCs w:val="18"/>
          <w:color w:val="auto"/>
        </w:rPr>
      </w:pPr>
    </w:p>
    <w:p>
      <w:pPr>
        <w:ind w:left="860" w:hanging="834"/>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35"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Apogee Enterprises, Inc.</w:t>
      </w:r>
    </w:p>
    <w:p>
      <w:pPr>
        <w:spacing w:after="0" w:line="21"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0" w:lineRule="exact"/>
        <w:rPr>
          <w:sz w:val="24"/>
          <w:szCs w:val="24"/>
          <w:color w:val="auto"/>
        </w:rPr>
      </w:pPr>
    </w:p>
    <w:p>
      <w:pPr>
        <w:ind w:left="32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82" w:lineRule="exact"/>
        <w:rPr>
          <w:sz w:val="24"/>
          <w:szCs w:val="24"/>
          <w:color w:val="auto"/>
        </w:rPr>
      </w:pPr>
    </w:p>
    <w:p>
      <w:pPr>
        <w:ind w:left="600" w:hanging="574"/>
        <w:spacing w:after="0"/>
        <w:tabs>
          <w:tab w:leader="none" w:pos="6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00" w:hanging="574"/>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00" w:hanging="574"/>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w:t>
      </w:r>
    </w:p>
    <w:p>
      <w:pPr>
        <w:spacing w:after="0" w:line="27" w:lineRule="exact"/>
        <w:rPr>
          <w:rFonts w:ascii="MS PGothic" w:cs="MS PGothic" w:eastAsia="MS PGothic" w:hAnsi="MS PGothic"/>
          <w:sz w:val="18"/>
          <w:szCs w:val="18"/>
          <w:color w:val="auto"/>
        </w:rPr>
      </w:pPr>
    </w:p>
    <w:p>
      <w:pPr>
        <w:ind w:left="600"/>
        <w:spacing w:after="0"/>
        <w:rPr>
          <w:rFonts w:ascii="MS PGothic" w:cs="MS PGothic" w:eastAsia="MS PGothic" w:hAnsi="MS PGothic"/>
          <w:sz w:val="18"/>
          <w:szCs w:val="18"/>
          <w:color w:val="auto"/>
        </w:rPr>
      </w:pPr>
      <w:r>
        <w:rPr>
          <w:rFonts w:ascii="Arial" w:cs="Arial" w:eastAsia="Arial" w:hAnsi="Arial"/>
          <w:sz w:val="18"/>
          <w:szCs w:val="18"/>
          <w:color w:val="auto"/>
        </w:rPr>
        <w:t>(1)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1407795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777875</wp:posOffset>
            </wp:positionV>
            <wp:extent cx="6737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717550</wp:posOffset>
            </wp:positionV>
            <wp:extent cx="6737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7985"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774700</wp:posOffset>
            </wp:positionV>
            <wp:extent cx="1371600" cy="1165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4400 West 78th Street, Suite 520</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Minneapolis, Minnesota 55435</w:t>
      </w:r>
    </w:p>
    <w:p>
      <w:pPr>
        <w:spacing w:after="0" w:line="325" w:lineRule="exact"/>
        <w:rPr>
          <w:sz w:val="20"/>
          <w:szCs w:val="20"/>
          <w:color w:val="auto"/>
        </w:rPr>
      </w:pPr>
    </w:p>
    <w:p>
      <w:pPr>
        <w:spacing w:after="0"/>
        <w:rPr>
          <w:sz w:val="20"/>
          <w:szCs w:val="20"/>
          <w:color w:val="auto"/>
        </w:rPr>
      </w:pPr>
      <w:r>
        <w:rPr>
          <w:rFonts w:ascii="Arial" w:cs="Arial" w:eastAsia="Arial" w:hAnsi="Arial"/>
          <w:sz w:val="25"/>
          <w:szCs w:val="25"/>
          <w:color w:val="05445E"/>
        </w:rPr>
        <w:t>Wednesday, June 25, 2025</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8:00 a.m. Central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Notice of 2025</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32"/>
          <w:szCs w:val="32"/>
          <w:b w:val="1"/>
          <w:bCs w:val="1"/>
          <w:color w:val="auto"/>
        </w:rPr>
        <w:t>Annual Meeting</w:t>
      </w:r>
    </w:p>
    <w:p>
      <w:pPr>
        <w:spacing w:after="0" w:line="2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of Shareholders</w:t>
      </w:r>
    </w:p>
    <w:p>
      <w:pPr>
        <w:spacing w:after="0" w:line="1094" w:lineRule="exact"/>
        <w:rPr>
          <w:sz w:val="20"/>
          <w:szCs w:val="20"/>
          <w:color w:val="auto"/>
        </w:rPr>
      </w:pPr>
    </w:p>
    <w:p>
      <w:pPr>
        <w:sectPr>
          <w:pgSz w:w="11900" w:h="16838" w:orient="portrait"/>
          <w:cols w:equalWidth="0" w:num="2">
            <w:col w:w="8040" w:space="720"/>
            <w:col w:w="2480"/>
          </w:cols>
          <w:pgMar w:left="320" w:top="1440" w:right="339" w:bottom="1440" w:gutter="0" w:footer="0" w:header="0"/>
        </w:sectPr>
      </w:pPr>
    </w:p>
    <w:p>
      <w:pPr>
        <w:jc w:val="both"/>
        <w:spacing w:after="0" w:line="262" w:lineRule="auto"/>
        <w:rPr>
          <w:sz w:val="20"/>
          <w:szCs w:val="20"/>
          <w:color w:val="auto"/>
        </w:rPr>
      </w:pPr>
      <w:r>
        <w:rPr>
          <w:rFonts w:ascii="Arial" w:cs="Arial" w:eastAsia="Arial" w:hAnsi="Arial"/>
          <w:sz w:val="18"/>
          <w:szCs w:val="18"/>
          <w:color w:val="auto"/>
        </w:rPr>
        <w:t>The 2025 Annual Meeting of Shareholders of Apogee Enterprises, Inc. (the “Annual Meeting”) will be held at 8:00 a.m. Central Time on Wednesday, June 25, 2025. In order to expand access to the Annual Meeting we are hosting a virtual-only meeting. It is our goal to approximate an in-person experience for our shareholders. You may attend the virtual meeting and vote your shares electronically during the meeting via the Internet by visiting www.virtualshareholdermeeting.com/APOG2025.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Annual Meeting is to consider and take action on the following:</w:t>
      </w:r>
    </w:p>
    <w:p>
      <w:pPr>
        <w:spacing w:after="0" w:line="225" w:lineRule="exact"/>
        <w:rPr>
          <w:sz w:val="20"/>
          <w:szCs w:val="20"/>
          <w:color w:val="auto"/>
        </w:rPr>
      </w:pPr>
    </w:p>
    <w:p>
      <w:pPr>
        <w:ind w:left="800" w:hanging="630"/>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 of two Class III directors for terms expiring at our 2028 Annual Meeting of Shareholders;</w:t>
      </w:r>
    </w:p>
    <w:p>
      <w:pPr>
        <w:spacing w:after="0" w:line="117" w:lineRule="exact"/>
        <w:rPr>
          <w:rFonts w:ascii="Arial" w:cs="Arial" w:eastAsia="Arial" w:hAnsi="Arial"/>
          <w:sz w:val="18"/>
          <w:szCs w:val="18"/>
          <w:color w:val="auto"/>
        </w:rPr>
      </w:pPr>
    </w:p>
    <w:p>
      <w:pPr>
        <w:ind w:left="800" w:hanging="630"/>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vote to approve Apogee’s executive compensation;</w:t>
      </w:r>
    </w:p>
    <w:p>
      <w:pPr>
        <w:spacing w:after="0" w:line="117" w:lineRule="exact"/>
        <w:rPr>
          <w:rFonts w:ascii="Arial" w:cs="Arial" w:eastAsia="Arial" w:hAnsi="Arial"/>
          <w:sz w:val="18"/>
          <w:szCs w:val="18"/>
          <w:color w:val="auto"/>
        </w:rPr>
      </w:pPr>
    </w:p>
    <w:p>
      <w:pPr>
        <w:ind w:left="820" w:right="20" w:hanging="650"/>
        <w:spacing w:after="0" w:line="287" w:lineRule="auto"/>
        <w:tabs>
          <w:tab w:leader="none" w:pos="808"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vote to ratify the appointment of Deloitte &amp; Touche LLP as our independent registered public accounting firm for the fiscal year ending February 28, 2026; and</w:t>
      </w:r>
    </w:p>
    <w:p>
      <w:pPr>
        <w:spacing w:after="0" w:line="44" w:lineRule="exact"/>
        <w:rPr>
          <w:rFonts w:ascii="Arial" w:cs="Arial" w:eastAsia="Arial" w:hAnsi="Arial"/>
          <w:sz w:val="18"/>
          <w:szCs w:val="18"/>
          <w:color w:val="auto"/>
        </w:rPr>
      </w:pPr>
    </w:p>
    <w:p>
      <w:pPr>
        <w:ind w:left="800" w:hanging="630"/>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Transaction of such other business as may properly be brought before the Annual Meeting.</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Board of Directors has fixed the close of business on April 28, 2025, as the record date for the determination of shareholders entitled to receive notice of and to vote at the Annual Meeting. Your vote is important. Whether or not you plan to attend the virtual meeting, you are encouraged to vote your shares as soon as possible pursuant to the instructions in the Notice of Internet Availability of Proxy Materials and in the accompanying Proxy Statement.</w:t>
      </w:r>
    </w:p>
    <w:p>
      <w:pPr>
        <w:spacing w:after="0" w:line="2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60325</wp:posOffset>
            </wp:positionV>
            <wp:extent cx="1997075"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970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Meghan M. Elliott</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Legal Officer and Secretary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Minneapolis, Minnesota</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248920</wp:posOffset>
            </wp:positionV>
            <wp:extent cx="6489065" cy="462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065" cy="462915"/>
                    </a:xfrm>
                    <a:prstGeom prst="rect">
                      <a:avLst/>
                    </a:prstGeom>
                    <a:noFill/>
                  </pic:spPr>
                </pic:pic>
              </a:graphicData>
            </a:graphic>
          </wp:anchor>
        </w:drawing>
      </w:r>
    </w:p>
    <w:p>
      <w:pPr>
        <w:spacing w:after="0" w:line="394" w:lineRule="exact"/>
        <w:rPr>
          <w:sz w:val="20"/>
          <w:szCs w:val="20"/>
          <w:color w:val="auto"/>
        </w:rPr>
      </w:pPr>
    </w:p>
    <w:p>
      <w:pPr>
        <w:jc w:val="both"/>
        <w:ind w:left="640" w:right="2880"/>
        <w:spacing w:after="0" w:line="273"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Shareholder Meeting to be held on June 25, 2025: Our 2025 Proxy Statement and our Fiscal 2025 Annual Report to Shareholders are available at </w:t>
      </w:r>
      <w:r>
        <w:rPr>
          <w:rFonts w:ascii="Arial" w:cs="Arial" w:eastAsia="Arial" w:hAnsi="Arial"/>
          <w:sz w:val="18"/>
          <w:szCs w:val="18"/>
          <w:b w:val="1"/>
          <w:bCs w:val="1"/>
          <w:u w:val="single" w:color="auto"/>
          <w:color w:val="auto"/>
        </w:rPr>
        <w:t>www.proxyvote.com</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8780" w:type="dxa"/>
            <w:vAlign w:val="bottom"/>
          </w:tcPr>
          <w:p>
            <w:pPr>
              <w:ind w:left="464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1"/>
                <w:szCs w:val="21"/>
                <w:color w:val="auto"/>
              </w:rPr>
            </w:pPr>
          </w:p>
        </w:tc>
      </w:tr>
      <w:tr>
        <w:trPr>
          <w:trHeight w:val="486"/>
        </w:trPr>
        <w:tc>
          <w:tcPr>
            <w:tcW w:w="8780" w:type="dxa"/>
            <w:vAlign w:val="bottom"/>
          </w:tcPr>
          <w:p>
            <w:pPr>
              <w:spacing w:after="0"/>
              <w:rPr>
                <w:sz w:val="20"/>
                <w:szCs w:val="20"/>
                <w:color w:val="auto"/>
              </w:rPr>
            </w:pPr>
            <w:r>
              <w:rPr>
                <w:rFonts w:ascii="Arial" w:cs="Arial" w:eastAsia="Arial" w:hAnsi="Arial"/>
                <w:sz w:val="18"/>
                <w:szCs w:val="18"/>
                <w:b w:val="1"/>
                <w:bCs w:val="1"/>
                <w:color w:val="auto"/>
              </w:rPr>
              <w:t>Notice of 2025 Annual Meeting of Shareholders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i</w:t>
            </w:r>
          </w:p>
        </w:tc>
      </w:tr>
      <w:tr>
        <w:trPr>
          <w:trHeight w:val="270"/>
        </w:trPr>
        <w:tc>
          <w:tcPr>
            <w:tcW w:w="8780" w:type="dxa"/>
            <w:vAlign w:val="bottom"/>
          </w:tcPr>
          <w:p>
            <w:pPr>
              <w:spacing w:after="0"/>
              <w:rPr>
                <w:sz w:val="20"/>
                <w:szCs w:val="20"/>
                <w:color w:val="auto"/>
              </w:rPr>
            </w:pPr>
            <w:r>
              <w:rPr>
                <w:rFonts w:ascii="Arial" w:cs="Arial" w:eastAsia="Arial" w:hAnsi="Arial"/>
                <w:sz w:val="18"/>
                <w:szCs w:val="18"/>
                <w:b w:val="1"/>
                <w:bCs w:val="1"/>
                <w:color w:val="auto"/>
              </w:rPr>
              <w:t>Proxy Statement Summary</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70"/>
        </w:trPr>
        <w:tc>
          <w:tcPr>
            <w:tcW w:w="8780" w:type="dxa"/>
            <w:vAlign w:val="bottom"/>
          </w:tcPr>
          <w:p>
            <w:pPr>
              <w:spacing w:after="0"/>
              <w:rPr>
                <w:sz w:val="20"/>
                <w:szCs w:val="20"/>
                <w:color w:val="auto"/>
              </w:rPr>
            </w:pPr>
            <w:r>
              <w:rPr>
                <w:rFonts w:ascii="Arial" w:cs="Arial" w:eastAsia="Arial" w:hAnsi="Arial"/>
                <w:sz w:val="18"/>
                <w:szCs w:val="18"/>
                <w:b w:val="1"/>
                <w:bCs w:val="1"/>
                <w:color w:val="auto"/>
              </w:rPr>
              <w:t>Security Ownership of Certain Beneficial Owners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70"/>
        </w:trPr>
        <w:tc>
          <w:tcPr>
            <w:tcW w:w="8780" w:type="dxa"/>
            <w:vAlign w:val="bottom"/>
          </w:tcPr>
          <w:p>
            <w:pPr>
              <w:spacing w:after="0"/>
              <w:rPr>
                <w:sz w:val="20"/>
                <w:szCs w:val="20"/>
                <w:color w:val="auto"/>
              </w:rPr>
            </w:pPr>
            <w:r>
              <w:rPr>
                <w:rFonts w:ascii="Arial" w:cs="Arial" w:eastAsia="Arial" w:hAnsi="Arial"/>
                <w:sz w:val="18"/>
                <w:szCs w:val="18"/>
                <w:b w:val="1"/>
                <w:bCs w:val="1"/>
                <w:color w:val="auto"/>
              </w:rPr>
              <w:t>Security Ownership of Directors and Management</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70"/>
        </w:trPr>
        <w:tc>
          <w:tcPr>
            <w:tcW w:w="8780" w:type="dxa"/>
            <w:vAlign w:val="bottom"/>
          </w:tcPr>
          <w:p>
            <w:pPr>
              <w:spacing w:after="0"/>
              <w:rPr>
                <w:sz w:val="20"/>
                <w:szCs w:val="20"/>
                <w:color w:val="auto"/>
              </w:rPr>
            </w:pPr>
            <w:r>
              <w:rPr>
                <w:rFonts w:ascii="Arial" w:cs="Arial" w:eastAsia="Arial" w:hAnsi="Arial"/>
                <w:sz w:val="18"/>
                <w:szCs w:val="18"/>
                <w:b w:val="1"/>
                <w:bCs w:val="1"/>
                <w:color w:val="auto"/>
              </w:rPr>
              <w:t>Delinquent Section 16(a) Reports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270"/>
        </w:trPr>
        <w:tc>
          <w:tcPr>
            <w:tcW w:w="8780" w:type="dxa"/>
            <w:vAlign w:val="bottom"/>
          </w:tcPr>
          <w:p>
            <w:pPr>
              <w:spacing w:after="0"/>
              <w:rPr>
                <w:sz w:val="20"/>
                <w:szCs w:val="20"/>
                <w:color w:val="auto"/>
              </w:rPr>
            </w:pPr>
            <w:r>
              <w:rPr>
                <w:rFonts w:ascii="Arial" w:cs="Arial" w:eastAsia="Arial" w:hAnsi="Arial"/>
                <w:sz w:val="18"/>
                <w:szCs w:val="18"/>
                <w:b w:val="1"/>
                <w:bCs w:val="1"/>
                <w:color w:val="auto"/>
              </w:rPr>
              <w:t>Proposal 1: Election of Directors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70"/>
        </w:trPr>
        <w:tc>
          <w:tcPr>
            <w:tcW w:w="8780" w:type="dxa"/>
            <w:vAlign w:val="bottom"/>
          </w:tcPr>
          <w:p>
            <w:pPr>
              <w:spacing w:after="0"/>
              <w:rPr>
                <w:sz w:val="20"/>
                <w:szCs w:val="20"/>
                <w:color w:val="auto"/>
              </w:rPr>
            </w:pPr>
            <w:r>
              <w:rPr>
                <w:rFonts w:ascii="Arial" w:cs="Arial" w:eastAsia="Arial" w:hAnsi="Arial"/>
                <w:sz w:val="18"/>
                <w:szCs w:val="18"/>
                <w:b w:val="1"/>
                <w:bCs w:val="1"/>
                <w:color w:val="auto"/>
              </w:rPr>
              <w:t>Corporate Governance</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Corporate Governance Resources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Code of Business Ethics and Conduct</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Corporate Governance Guidelines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Communications with Our Board of Directors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Director Independence</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Board Leadership Structure</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Criteria for Membership on Our Board of Directors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Director Time Commitment and Other Board Service</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Procedure for Evaluating Director Nominees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Board Refreshment and Retirement Policy</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Stock Ownership Guidelines for Non-Employee Directors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Board Meetings and 2024 Annual Meeting of Shareholders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Board Committee Responsibilities, Meetings and Membership</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Risk Oversight by Our Board of Directors and Management</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Sustainability and Human Capital Resources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Certain Relationships and Related Transactions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Insider Trading and Tipping and Hedging Policy</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70"/>
        </w:trPr>
        <w:tc>
          <w:tcPr>
            <w:tcW w:w="8780" w:type="dxa"/>
            <w:vAlign w:val="bottom"/>
          </w:tcPr>
          <w:p>
            <w:pPr>
              <w:spacing w:after="0"/>
              <w:rPr>
                <w:sz w:val="20"/>
                <w:szCs w:val="20"/>
                <w:color w:val="auto"/>
              </w:rPr>
            </w:pPr>
            <w:r>
              <w:rPr>
                <w:rFonts w:ascii="Arial" w:cs="Arial" w:eastAsia="Arial" w:hAnsi="Arial"/>
                <w:sz w:val="18"/>
                <w:szCs w:val="18"/>
                <w:b w:val="1"/>
                <w:bCs w:val="1"/>
                <w:color w:val="auto"/>
              </w:rPr>
              <w:t>Non-Employee Director Compensation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Non-Employee Director Compensation Arrangements During Fiscal 2025</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Annual Equity Awards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Director Deferred Compensation Arrangements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Charitable Matching Contributions Program for Non-Employee Directors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Fiscal 2025 Non-Employee Director Compensation Table</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70"/>
        </w:trPr>
        <w:tc>
          <w:tcPr>
            <w:tcW w:w="8780" w:type="dxa"/>
            <w:vAlign w:val="bottom"/>
          </w:tcPr>
          <w:p>
            <w:pPr>
              <w:spacing w:after="0"/>
              <w:rPr>
                <w:sz w:val="20"/>
                <w:szCs w:val="20"/>
                <w:color w:val="auto"/>
              </w:rPr>
            </w:pPr>
            <w:r>
              <w:rPr>
                <w:rFonts w:ascii="Arial" w:cs="Arial" w:eastAsia="Arial" w:hAnsi="Arial"/>
                <w:sz w:val="18"/>
                <w:szCs w:val="18"/>
                <w:b w:val="1"/>
                <w:bCs w:val="1"/>
                <w:color w:val="auto"/>
              </w:rPr>
              <w:t>Executive Compensation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Compensation Committee Report</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Compensation Discussion and Analysis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Executive Stock Ownership Guidelines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Anti-Hedging and Anti-Pledging Policies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Clawback Policy</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Policy and Procedures for Granting of Equity-Based Awards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Tax Considerations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Compensation Risk Analysis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Summary Compensation Table</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Grants of Plan-Based Awards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Outstanding Equity Awards at Fiscal Year-End</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Option Exercises and Stock Vested</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60</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Potential Payments Upon Termination or Following a Change-in-Control</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60</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Retirement</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60</w:t>
            </w:r>
          </w:p>
        </w:tc>
      </w:tr>
      <w:tr>
        <w:trPr>
          <w:trHeight w:val="270"/>
        </w:trPr>
        <w:tc>
          <w:tcPr>
            <w:tcW w:w="8780" w:type="dxa"/>
            <w:vAlign w:val="bottom"/>
          </w:tcPr>
          <w:p>
            <w:pPr>
              <w:ind w:left="340"/>
              <w:spacing w:after="0"/>
              <w:rPr>
                <w:sz w:val="20"/>
                <w:szCs w:val="20"/>
                <w:color w:val="auto"/>
              </w:rPr>
            </w:pPr>
            <w:r>
              <w:rPr>
                <w:rFonts w:ascii="Arial" w:cs="Arial" w:eastAsia="Arial" w:hAnsi="Arial"/>
                <w:sz w:val="18"/>
                <w:szCs w:val="18"/>
                <w:b w:val="1"/>
                <w:bCs w:val="1"/>
                <w:color w:val="auto"/>
              </w:rPr>
              <w:t>Payments Made Upon Termination Without Cause or For Good Reason</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60</w:t>
            </w:r>
          </w:p>
        </w:tc>
      </w:tr>
      <w:tr>
        <w:trPr>
          <w:trHeight w:val="270"/>
        </w:trPr>
        <w:tc>
          <w:tcPr>
            <w:tcW w:w="8780" w:type="dxa"/>
            <w:vAlign w:val="bottom"/>
          </w:tcPr>
          <w:p>
            <w:pPr>
              <w:spacing w:after="0"/>
              <w:rPr>
                <w:sz w:val="20"/>
                <w:szCs w:val="20"/>
                <w:color w:val="auto"/>
              </w:rPr>
            </w:pPr>
            <w:r>
              <w:rPr>
                <w:rFonts w:ascii="Arial" w:cs="Arial" w:eastAsia="Arial" w:hAnsi="Arial"/>
                <w:sz w:val="18"/>
                <w:szCs w:val="18"/>
                <w:b w:val="1"/>
                <w:bCs w:val="1"/>
                <w:color w:val="auto"/>
              </w:rPr>
              <w:t>CEO Pay Ratio Disclosure</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bl>
    <w:p>
      <w:pPr>
        <w:spacing w:after="0" w:line="200" w:lineRule="exact"/>
        <w:rPr>
          <w:sz w:val="20"/>
          <w:szCs w:val="20"/>
          <w:color w:val="auto"/>
        </w:rPr>
      </w:pPr>
    </w:p>
    <w:p>
      <w:pPr>
        <w:sectPr>
          <w:pgSz w:w="11900" w:h="16838" w:orient="portrait"/>
          <w:cols w:equalWidth="0" w:num="1">
            <w:col w:w="11200"/>
          </w:cols>
          <w:pgMar w:left="340" w:top="1147" w:right="359" w:bottom="1069"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7" w:right="359" w:bottom="1069"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10500" w:type="dxa"/>
            <w:vAlign w:val="bottom"/>
          </w:tcPr>
          <w:p>
            <w:pPr>
              <w:spacing w:after="0"/>
              <w:rPr>
                <w:sz w:val="20"/>
                <w:szCs w:val="20"/>
                <w:color w:val="auto"/>
              </w:rPr>
            </w:pPr>
            <w:r>
              <w:rPr>
                <w:rFonts w:ascii="Arial" w:cs="Arial" w:eastAsia="Arial" w:hAnsi="Arial"/>
                <w:sz w:val="18"/>
                <w:szCs w:val="18"/>
                <w:b w:val="1"/>
                <w:bCs w:val="1"/>
                <w:color w:val="auto"/>
              </w:rPr>
              <w:t>Pay Versus Performance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67</w:t>
            </w:r>
          </w:p>
        </w:tc>
      </w:tr>
      <w:tr>
        <w:trPr>
          <w:trHeight w:val="270"/>
        </w:trPr>
        <w:tc>
          <w:tcPr>
            <w:tcW w:w="10500" w:type="dxa"/>
            <w:vAlign w:val="bottom"/>
          </w:tcPr>
          <w:p>
            <w:pPr>
              <w:spacing w:after="0"/>
              <w:rPr>
                <w:sz w:val="20"/>
                <w:szCs w:val="20"/>
                <w:color w:val="auto"/>
              </w:rPr>
            </w:pPr>
            <w:r>
              <w:rPr>
                <w:rFonts w:ascii="Arial" w:cs="Arial" w:eastAsia="Arial" w:hAnsi="Arial"/>
                <w:sz w:val="18"/>
                <w:szCs w:val="18"/>
                <w:b w:val="1"/>
                <w:bCs w:val="1"/>
                <w:color w:val="auto"/>
              </w:rPr>
              <w:t>Proposal 2: Advisory Approval of Apogee’s Executive Compensation</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71</w:t>
            </w:r>
          </w:p>
        </w:tc>
      </w:tr>
      <w:tr>
        <w:trPr>
          <w:trHeight w:val="270"/>
        </w:trPr>
        <w:tc>
          <w:tcPr>
            <w:tcW w:w="10500" w:type="dxa"/>
            <w:vAlign w:val="bottom"/>
          </w:tcPr>
          <w:p>
            <w:pPr>
              <w:spacing w:after="0"/>
              <w:rPr>
                <w:sz w:val="20"/>
                <w:szCs w:val="20"/>
                <w:color w:val="auto"/>
              </w:rPr>
            </w:pPr>
            <w:r>
              <w:rPr>
                <w:rFonts w:ascii="Arial" w:cs="Arial" w:eastAsia="Arial" w:hAnsi="Arial"/>
                <w:sz w:val="18"/>
                <w:szCs w:val="18"/>
                <w:b w:val="1"/>
                <w:bCs w:val="1"/>
                <w:color w:val="auto"/>
              </w:rPr>
              <w:t>Proposal 3: Ratification of Appointment of Independent Registered Public Accounting Firm</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270"/>
        </w:trPr>
        <w:tc>
          <w:tcPr>
            <w:tcW w:w="10500" w:type="dxa"/>
            <w:vAlign w:val="bottom"/>
          </w:tcPr>
          <w:p>
            <w:pPr>
              <w:spacing w:after="0"/>
              <w:rPr>
                <w:sz w:val="20"/>
                <w:szCs w:val="20"/>
                <w:color w:val="auto"/>
              </w:rPr>
            </w:pPr>
            <w:r>
              <w:rPr>
                <w:rFonts w:ascii="Arial" w:cs="Arial" w:eastAsia="Arial" w:hAnsi="Arial"/>
                <w:sz w:val="18"/>
                <w:szCs w:val="18"/>
                <w:b w:val="1"/>
                <w:bCs w:val="1"/>
                <w:color w:val="auto"/>
              </w:rPr>
              <w:t>Audit Committee Report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r>
        <w:trPr>
          <w:trHeight w:val="270"/>
        </w:trPr>
        <w:tc>
          <w:tcPr>
            <w:tcW w:w="10500" w:type="dxa"/>
            <w:vAlign w:val="bottom"/>
          </w:tcPr>
          <w:p>
            <w:pPr>
              <w:spacing w:after="0"/>
              <w:rPr>
                <w:sz w:val="20"/>
                <w:szCs w:val="20"/>
                <w:color w:val="auto"/>
              </w:rPr>
            </w:pPr>
            <w:r>
              <w:rPr>
                <w:rFonts w:ascii="Arial" w:cs="Arial" w:eastAsia="Arial" w:hAnsi="Arial"/>
                <w:sz w:val="18"/>
                <w:szCs w:val="18"/>
                <w:b w:val="1"/>
                <w:bCs w:val="1"/>
                <w:color w:val="auto"/>
              </w:rPr>
              <w:t>Fees Paid to Independent Registered Public Accounting Firm</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Audit Fees, Audit-Related Fees, Tax Fees and All Other Fees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Policy on Audit Committee Pre-Approval of Audit and Permissible Non-Audit Services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70"/>
        </w:trPr>
        <w:tc>
          <w:tcPr>
            <w:tcW w:w="10500" w:type="dxa"/>
            <w:vAlign w:val="bottom"/>
          </w:tcPr>
          <w:p>
            <w:pPr>
              <w:spacing w:after="0"/>
              <w:rPr>
                <w:sz w:val="20"/>
                <w:szCs w:val="20"/>
                <w:color w:val="auto"/>
              </w:rPr>
            </w:pPr>
            <w:r>
              <w:rPr>
                <w:rFonts w:ascii="Arial" w:cs="Arial" w:eastAsia="Arial" w:hAnsi="Arial"/>
                <w:sz w:val="18"/>
                <w:szCs w:val="18"/>
                <w:b w:val="1"/>
                <w:bCs w:val="1"/>
                <w:color w:val="auto"/>
              </w:rPr>
              <w:t>Frequently Asked Questions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Who is entitled to vote at the meeting?</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What are my voting rights?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How many shares must be present to hold the meeting?</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How can I attend the meeting?</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What am I voting on, what vote is required to approve each proposal and how does the Board recommend I vote?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How can I ask questions during the Annual Meeting?</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How do I cast my vote?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78</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How do I vote if my shares are held in the Employee Stock Purchase Plan or other plans of Apogee?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78</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What does it mean if I receive more than one proxy card?</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Who will count the vote?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What if I do not specify how I want my shares voted?</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Can I change my vote after submitting my proxy or voting instructions?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How can I get a copy of the Company’s 2025 Annual Report on Form 10-K?</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80</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How do I get electronic access to the proxy materials?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80</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What is a proxy?</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80</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What is the difference between a shareholder of record and a “street name” holder?</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80</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Who pays for the cost of proxy preparation and solicitation?</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80</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How can I recommend or nominate a director candidate?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80</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How can I present a proposal at the 2026 Annual Meeting of Shareholders?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81</w:t>
            </w:r>
          </w:p>
        </w:tc>
      </w:tr>
      <w:tr>
        <w:trPr>
          <w:trHeight w:val="270"/>
        </w:trPr>
        <w:tc>
          <w:tcPr>
            <w:tcW w:w="10500" w:type="dxa"/>
            <w:vAlign w:val="bottom"/>
          </w:tcPr>
          <w:p>
            <w:pPr>
              <w:ind w:left="340"/>
              <w:spacing w:after="0"/>
              <w:rPr>
                <w:sz w:val="20"/>
                <w:szCs w:val="20"/>
                <w:color w:val="auto"/>
              </w:rPr>
            </w:pPr>
            <w:r>
              <w:rPr>
                <w:rFonts w:ascii="Arial" w:cs="Arial" w:eastAsia="Arial" w:hAnsi="Arial"/>
                <w:sz w:val="18"/>
                <w:szCs w:val="18"/>
                <w:b w:val="1"/>
                <w:bCs w:val="1"/>
                <w:color w:val="auto"/>
              </w:rPr>
              <w:t>What is “householding” of proxy materials?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81</w:t>
            </w:r>
          </w:p>
        </w:tc>
      </w:tr>
      <w:tr>
        <w:trPr>
          <w:trHeight w:val="270"/>
        </w:trPr>
        <w:tc>
          <w:tcPr>
            <w:tcW w:w="10500" w:type="dxa"/>
            <w:vAlign w:val="bottom"/>
          </w:tcPr>
          <w:p>
            <w:pPr>
              <w:spacing w:after="0"/>
              <w:rPr>
                <w:sz w:val="20"/>
                <w:szCs w:val="20"/>
                <w:color w:val="auto"/>
              </w:rPr>
            </w:pPr>
            <w:r>
              <w:rPr>
                <w:rFonts w:ascii="Arial" w:cs="Arial" w:eastAsia="Arial" w:hAnsi="Arial"/>
                <w:sz w:val="18"/>
                <w:szCs w:val="18"/>
                <w:b w:val="1"/>
                <w:bCs w:val="1"/>
                <w:color w:val="auto"/>
              </w:rPr>
              <w:t>Appendix A - Non-GAAP Measures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01"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36"/>
          <w:szCs w:val="36"/>
          <w:color w:val="auto"/>
        </w:rPr>
        <w:t>Proxy Statement Summary</w:t>
      </w: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of the information that you should consider; you should read the entire Proxy Statement carefully before voting.</w:t>
      </w:r>
    </w:p>
    <w:p>
      <w:pPr>
        <w:spacing w:after="0" w:line="138" w:lineRule="exact"/>
        <w:rPr>
          <w:sz w:val="20"/>
          <w:szCs w:val="20"/>
          <w:color w:val="auto"/>
        </w:rPr>
      </w:pPr>
    </w:p>
    <w:p>
      <w:pPr>
        <w:spacing w:after="0"/>
        <w:rPr>
          <w:sz w:val="20"/>
          <w:szCs w:val="20"/>
          <w:color w:val="auto"/>
        </w:rPr>
      </w:pPr>
      <w:r>
        <w:rPr>
          <w:rFonts w:ascii="Arial" w:cs="Arial" w:eastAsia="Arial" w:hAnsi="Arial"/>
          <w:sz w:val="29"/>
          <w:szCs w:val="29"/>
          <w:b w:val="1"/>
          <w:bCs w:val="1"/>
          <w:color w:val="05445E"/>
        </w:rPr>
        <w:t>2025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6755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281305</wp:posOffset>
            </wp:positionV>
            <wp:extent cx="428625"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8625" cy="31686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324485</wp:posOffset>
            </wp:positionV>
            <wp:extent cx="428625"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8625" cy="31686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332740</wp:posOffset>
            </wp:positionV>
            <wp:extent cx="428625"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8625" cy="3511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307340</wp:posOffset>
            </wp:positionV>
            <wp:extent cx="428625"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862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Date and Time</w:t>
            </w:r>
          </w:p>
        </w:tc>
        <w:tc>
          <w:tcPr>
            <w:tcW w:w="39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Location</w:t>
            </w:r>
          </w:p>
        </w:tc>
        <w:tc>
          <w:tcPr>
            <w:tcW w:w="20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Mailing Date</w:t>
            </w:r>
          </w:p>
        </w:tc>
        <w:tc>
          <w:tcPr>
            <w:tcW w:w="21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Record Date</w:t>
            </w:r>
          </w:p>
        </w:tc>
        <w:tc>
          <w:tcPr>
            <w:tcW w:w="0" w:type="dxa"/>
            <w:vAlign w:val="bottom"/>
          </w:tcPr>
          <w:p>
            <w:pPr>
              <w:spacing w:after="0"/>
              <w:rPr>
                <w:sz w:val="1"/>
                <w:szCs w:val="1"/>
                <w:color w:val="auto"/>
              </w:rPr>
            </w:pPr>
          </w:p>
        </w:tc>
      </w:tr>
      <w:tr>
        <w:trPr>
          <w:trHeight w:val="148"/>
        </w:trPr>
        <w:tc>
          <w:tcPr>
            <w:tcW w:w="2500" w:type="dxa"/>
            <w:vAlign w:val="bottom"/>
            <w:vMerge w:val="restart"/>
          </w:tcPr>
          <w:p>
            <w:pPr>
              <w:jc w:val="center"/>
              <w:spacing w:after="0"/>
              <w:rPr>
                <w:sz w:val="20"/>
                <w:szCs w:val="20"/>
                <w:color w:val="auto"/>
              </w:rPr>
            </w:pPr>
            <w:r>
              <w:rPr>
                <w:rFonts w:ascii="Arial" w:cs="Arial" w:eastAsia="Arial" w:hAnsi="Arial"/>
                <w:sz w:val="14"/>
                <w:szCs w:val="14"/>
                <w:color w:val="auto"/>
              </w:rPr>
              <w:t>Wednesday, June 25, 2025,</w:t>
            </w:r>
          </w:p>
        </w:tc>
        <w:tc>
          <w:tcPr>
            <w:tcW w:w="3980" w:type="dxa"/>
            <w:vAlign w:val="bottom"/>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500" w:type="dxa"/>
            <w:vAlign w:val="bottom"/>
            <w:vMerge w:val="continue"/>
          </w:tcPr>
          <w:p>
            <w:pPr>
              <w:spacing w:after="0"/>
              <w:rPr>
                <w:sz w:val="9"/>
                <w:szCs w:val="9"/>
                <w:color w:val="auto"/>
              </w:rPr>
            </w:pPr>
          </w:p>
        </w:tc>
        <w:tc>
          <w:tcPr>
            <w:tcW w:w="39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500" w:type="dxa"/>
            <w:vAlign w:val="bottom"/>
          </w:tcPr>
          <w:p>
            <w:pPr>
              <w:jc w:val="center"/>
              <w:spacing w:after="0"/>
              <w:rPr>
                <w:sz w:val="20"/>
                <w:szCs w:val="20"/>
                <w:color w:val="auto"/>
              </w:rPr>
            </w:pPr>
            <w:r>
              <w:rPr>
                <w:rFonts w:ascii="Arial" w:cs="Arial" w:eastAsia="Arial" w:hAnsi="Arial"/>
                <w:sz w:val="14"/>
                <w:szCs w:val="14"/>
                <w:color w:val="auto"/>
              </w:rPr>
              <w:t>at 8:00 a.m. Central Time</w:t>
            </w:r>
          </w:p>
        </w:tc>
        <w:tc>
          <w:tcPr>
            <w:tcW w:w="3980" w:type="dxa"/>
            <w:vAlign w:val="bottom"/>
          </w:tcPr>
          <w:p>
            <w:pPr>
              <w:jc w:val="center"/>
              <w:ind w:right="68"/>
              <w:spacing w:after="0"/>
              <w:rPr>
                <w:sz w:val="20"/>
                <w:szCs w:val="20"/>
                <w:color w:val="auto"/>
              </w:rPr>
            </w:pPr>
            <w:r>
              <w:rPr>
                <w:rFonts w:ascii="Arial" w:cs="Arial" w:eastAsia="Arial" w:hAnsi="Arial"/>
                <w:sz w:val="14"/>
                <w:szCs w:val="14"/>
                <w:color w:val="auto"/>
              </w:rPr>
              <w:t>www.virtualshareholdermeeting.com/APOG2025</w:t>
            </w:r>
          </w:p>
        </w:tc>
        <w:tc>
          <w:tcPr>
            <w:tcW w:w="2020" w:type="dxa"/>
            <w:vAlign w:val="bottom"/>
          </w:tcPr>
          <w:p>
            <w:pPr>
              <w:ind w:left="520"/>
              <w:spacing w:after="0"/>
              <w:rPr>
                <w:sz w:val="20"/>
                <w:szCs w:val="20"/>
                <w:color w:val="auto"/>
              </w:rPr>
            </w:pPr>
            <w:r>
              <w:rPr>
                <w:rFonts w:ascii="Arial" w:cs="Arial" w:eastAsia="Arial" w:hAnsi="Arial"/>
                <w:sz w:val="14"/>
                <w:szCs w:val="14"/>
                <w:color w:val="auto"/>
              </w:rPr>
              <w:t>May 13, 2025</w:t>
            </w:r>
          </w:p>
        </w:tc>
        <w:tc>
          <w:tcPr>
            <w:tcW w:w="2140" w:type="dxa"/>
            <w:vAlign w:val="bottom"/>
          </w:tcPr>
          <w:p>
            <w:pPr>
              <w:ind w:left="620"/>
              <w:spacing w:after="0"/>
              <w:rPr>
                <w:sz w:val="20"/>
                <w:szCs w:val="20"/>
                <w:color w:val="auto"/>
              </w:rPr>
            </w:pPr>
            <w:r>
              <w:rPr>
                <w:rFonts w:ascii="Arial" w:cs="Arial" w:eastAsia="Arial" w:hAnsi="Arial"/>
                <w:sz w:val="14"/>
                <w:szCs w:val="14"/>
                <w:color w:val="auto"/>
              </w:rPr>
              <w:t>April 28, 2025</w:t>
            </w:r>
          </w:p>
        </w:tc>
        <w:tc>
          <w:tcPr>
            <w:tcW w:w="0" w:type="dxa"/>
            <w:vAlign w:val="bottom"/>
          </w:tcPr>
          <w:p>
            <w:pPr>
              <w:spacing w:after="0"/>
              <w:rPr>
                <w:sz w:val="1"/>
                <w:szCs w:val="1"/>
                <w:color w:val="auto"/>
              </w:rPr>
            </w:pPr>
          </w:p>
        </w:tc>
      </w:tr>
      <w:tr>
        <w:trPr>
          <w:trHeight w:val="22"/>
        </w:trPr>
        <w:tc>
          <w:tcPr>
            <w:tcW w:w="2500" w:type="dxa"/>
            <w:vAlign w:val="bottom"/>
            <w:tcBorders>
              <w:bottom w:val="single" w:sz="8" w:color="05445E"/>
            </w:tcBorders>
          </w:tcPr>
          <w:p>
            <w:pPr>
              <w:spacing w:after="0" w:line="20" w:lineRule="exact"/>
              <w:rPr>
                <w:sz w:val="1"/>
                <w:szCs w:val="1"/>
                <w:color w:val="auto"/>
              </w:rPr>
            </w:pPr>
          </w:p>
        </w:tc>
        <w:tc>
          <w:tcPr>
            <w:tcW w:w="3980" w:type="dxa"/>
            <w:vAlign w:val="bottom"/>
            <w:tcBorders>
              <w:bottom w:val="single" w:sz="8" w:color="05445E"/>
            </w:tcBorders>
          </w:tcPr>
          <w:p>
            <w:pPr>
              <w:spacing w:after="0" w:line="20" w:lineRule="exact"/>
              <w:rPr>
                <w:sz w:val="1"/>
                <w:szCs w:val="1"/>
                <w:color w:val="auto"/>
              </w:rPr>
            </w:pPr>
          </w:p>
        </w:tc>
        <w:tc>
          <w:tcPr>
            <w:tcW w:w="2020" w:type="dxa"/>
            <w:vAlign w:val="bottom"/>
            <w:tcBorders>
              <w:bottom w:val="single" w:sz="8" w:color="05445E"/>
            </w:tcBorders>
          </w:tcPr>
          <w:p>
            <w:pPr>
              <w:spacing w:after="0" w:line="20" w:lineRule="exact"/>
              <w:rPr>
                <w:sz w:val="1"/>
                <w:szCs w:val="1"/>
                <w:color w:val="auto"/>
              </w:rPr>
            </w:pPr>
          </w:p>
        </w:tc>
        <w:tc>
          <w:tcPr>
            <w:tcW w:w="2140" w:type="dxa"/>
            <w:vAlign w:val="bottom"/>
            <w:tcBorders>
              <w:bottom w:val="single" w:sz="8" w:color="05445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05445E"/>
        </w:rPr>
        <w:t>Items of Business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ind w:left="640"/>
              <w:spacing w:after="0"/>
              <w:rPr>
                <w:sz w:val="20"/>
                <w:szCs w:val="20"/>
                <w:color w:val="auto"/>
              </w:rPr>
            </w:pPr>
            <w:r>
              <w:rPr>
                <w:rFonts w:ascii="Arial" w:cs="Arial" w:eastAsia="Arial" w:hAnsi="Arial"/>
                <w:sz w:val="18"/>
                <w:szCs w:val="18"/>
                <w:b w:val="1"/>
                <w:bCs w:val="1"/>
                <w:color w:val="05445E"/>
              </w:rPr>
              <w:t>Board’s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55"/>
        </w:trPr>
        <w:tc>
          <w:tcPr>
            <w:tcW w:w="64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05445E"/>
              </w:rPr>
              <w:t>Item</w:t>
            </w:r>
          </w:p>
        </w:tc>
        <w:tc>
          <w:tcPr>
            <w:tcW w:w="100" w:type="dxa"/>
            <w:vAlign w:val="bottom"/>
            <w:tcBorders>
              <w:bottom w:val="single" w:sz="8" w:color="D9D9D9"/>
            </w:tcBorders>
          </w:tcPr>
          <w:p>
            <w:pPr>
              <w:spacing w:after="0"/>
              <w:rPr>
                <w:sz w:val="22"/>
                <w:szCs w:val="22"/>
                <w:color w:val="auto"/>
              </w:rPr>
            </w:pPr>
          </w:p>
        </w:tc>
        <w:tc>
          <w:tcPr>
            <w:tcW w:w="19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05445E"/>
              </w:rPr>
              <w:t>Recommendation</w:t>
            </w:r>
          </w:p>
        </w:tc>
        <w:tc>
          <w:tcPr>
            <w:tcW w:w="80" w:type="dxa"/>
            <w:vAlign w:val="bottom"/>
            <w:tcBorders>
              <w:bottom w:val="single" w:sz="8" w:color="D9D9D9"/>
            </w:tcBorders>
          </w:tcPr>
          <w:p>
            <w:pPr>
              <w:spacing w:after="0"/>
              <w:rPr>
                <w:sz w:val="22"/>
                <w:szCs w:val="22"/>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05445E"/>
                <w:w w:val="98"/>
              </w:rPr>
              <w:t>Details</w:t>
            </w:r>
          </w:p>
        </w:tc>
        <w:tc>
          <w:tcPr>
            <w:tcW w:w="600" w:type="dxa"/>
            <w:vAlign w:val="bottom"/>
          </w:tcPr>
          <w:p>
            <w:pPr>
              <w:spacing w:after="0"/>
              <w:rPr>
                <w:sz w:val="22"/>
                <w:szCs w:val="22"/>
                <w:color w:val="auto"/>
              </w:rPr>
            </w:pPr>
          </w:p>
        </w:tc>
      </w:tr>
      <w:tr>
        <w:trPr>
          <w:trHeight w:val="203"/>
        </w:trPr>
        <w:tc>
          <w:tcPr>
            <w:tcW w:w="6580" w:type="dxa"/>
            <w:vAlign w:val="bottom"/>
            <w:gridSpan w:val="2"/>
            <w:shd w:val="clear" w:color="auto" w:fill="D9D9D9"/>
          </w:tcPr>
          <w:p>
            <w:pPr>
              <w:ind w:left="100"/>
              <w:spacing w:after="0" w:line="202" w:lineRule="exact"/>
              <w:rPr>
                <w:sz w:val="20"/>
                <w:szCs w:val="20"/>
                <w:color w:val="auto"/>
              </w:rPr>
            </w:pPr>
            <w:r>
              <w:rPr>
                <w:rFonts w:ascii="Arial" w:cs="Arial" w:eastAsia="Arial" w:hAnsi="Arial"/>
                <w:sz w:val="18"/>
                <w:szCs w:val="18"/>
                <w:b w:val="1"/>
                <w:bCs w:val="1"/>
                <w:color w:val="05445E"/>
              </w:rPr>
              <w:t xml:space="preserve">Proposal 1: </w:t>
            </w:r>
            <w:r>
              <w:rPr>
                <w:rFonts w:ascii="Arial" w:cs="Arial" w:eastAsia="Arial" w:hAnsi="Arial"/>
                <w:sz w:val="18"/>
                <w:szCs w:val="18"/>
                <w:color w:val="000000"/>
              </w:rPr>
              <w:t>Election of two Class III directors for terms expiring at our 2028</w:t>
            </w:r>
          </w:p>
        </w:tc>
        <w:tc>
          <w:tcPr>
            <w:tcW w:w="2020" w:type="dxa"/>
            <w:vAlign w:val="bottom"/>
            <w:gridSpan w:val="2"/>
            <w:shd w:val="clear" w:color="auto" w:fill="D9D9D9"/>
          </w:tcPr>
          <w:p>
            <w:pPr>
              <w:ind w:left="20"/>
              <w:spacing w:after="0" w:line="202" w:lineRule="exact"/>
              <w:rPr>
                <w:sz w:val="20"/>
                <w:szCs w:val="20"/>
                <w:color w:val="auto"/>
              </w:rPr>
            </w:pPr>
            <w:r>
              <w:rPr>
                <w:rFonts w:ascii="Arial" w:cs="Arial" w:eastAsia="Arial" w:hAnsi="Arial"/>
                <w:sz w:val="18"/>
                <w:szCs w:val="18"/>
                <w:b w:val="1"/>
                <w:bCs w:val="1"/>
                <w:color w:val="auto"/>
              </w:rPr>
              <w:t>FOR</w:t>
            </w:r>
            <w:r>
              <w:rPr>
                <w:rFonts w:ascii="Arial" w:cs="Arial" w:eastAsia="Arial" w:hAnsi="Arial"/>
                <w:sz w:val="18"/>
                <w:szCs w:val="18"/>
                <w:color w:val="auto"/>
              </w:rPr>
              <w:t>, each</w:t>
            </w:r>
          </w:p>
        </w:tc>
        <w:tc>
          <w:tcPr>
            <w:tcW w:w="2040" w:type="dxa"/>
            <w:vAlign w:val="bottom"/>
            <w:gridSpan w:val="3"/>
            <w:shd w:val="clear" w:color="auto" w:fill="D9D9D9"/>
          </w:tcPr>
          <w:p>
            <w:pPr>
              <w:jc w:val="center"/>
              <w:spacing w:after="0" w:line="202" w:lineRule="exact"/>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color w:val="0000FF"/>
              </w:rPr>
              <w:t>12</w:t>
            </w:r>
          </w:p>
        </w:tc>
        <w:tc>
          <w:tcPr>
            <w:tcW w:w="600" w:type="dxa"/>
            <w:vAlign w:val="bottom"/>
          </w:tcPr>
          <w:p>
            <w:pPr>
              <w:spacing w:after="0"/>
              <w:rPr>
                <w:sz w:val="17"/>
                <w:szCs w:val="17"/>
                <w:color w:val="auto"/>
              </w:rPr>
            </w:pPr>
          </w:p>
        </w:tc>
      </w:tr>
      <w:tr>
        <w:trPr>
          <w:trHeight w:val="243"/>
        </w:trPr>
        <w:tc>
          <w:tcPr>
            <w:tcW w:w="6580" w:type="dxa"/>
            <w:vAlign w:val="bottom"/>
            <w:tcBorders>
              <w:top w:val="single" w:sz="8" w:color="D9D9D9"/>
              <w:bottom w:val="single" w:sz="8" w:color="D9D9D9"/>
            </w:tcBorders>
            <w:gridSpan w:val="2"/>
            <w:shd w:val="clear" w:color="auto" w:fill="D9D9D9"/>
          </w:tcPr>
          <w:p>
            <w:pPr>
              <w:ind w:left="100"/>
              <w:spacing w:after="0"/>
              <w:rPr>
                <w:sz w:val="20"/>
                <w:szCs w:val="20"/>
                <w:color w:val="auto"/>
              </w:rPr>
            </w:pPr>
            <w:r>
              <w:rPr>
                <w:rFonts w:ascii="Arial" w:cs="Arial" w:eastAsia="Arial" w:hAnsi="Arial"/>
                <w:sz w:val="18"/>
                <w:szCs w:val="18"/>
                <w:color w:val="auto"/>
              </w:rPr>
              <w:t>Annual Meeting of Shareholders</w:t>
            </w:r>
          </w:p>
        </w:tc>
        <w:tc>
          <w:tcPr>
            <w:tcW w:w="2020" w:type="dxa"/>
            <w:vAlign w:val="bottom"/>
            <w:tcBorders>
              <w:top w:val="single" w:sz="8" w:color="D9D9D9"/>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Director Nominee</w:t>
            </w:r>
          </w:p>
        </w:tc>
        <w:tc>
          <w:tcPr>
            <w:tcW w:w="1160" w:type="dxa"/>
            <w:vAlign w:val="bottom"/>
            <w:tcBorders>
              <w:top w:val="single" w:sz="8" w:color="D9D9D9"/>
              <w:bottom w:val="single" w:sz="8" w:color="D9D9D9"/>
            </w:tcBorders>
            <w:shd w:val="clear" w:color="auto" w:fill="D9D9D9"/>
          </w:tcPr>
          <w:p>
            <w:pPr>
              <w:spacing w:after="0"/>
              <w:rPr>
                <w:sz w:val="21"/>
                <w:szCs w:val="21"/>
                <w:color w:val="auto"/>
              </w:rPr>
            </w:pPr>
          </w:p>
        </w:tc>
        <w:tc>
          <w:tcPr>
            <w:tcW w:w="200" w:type="dxa"/>
            <w:vAlign w:val="bottom"/>
            <w:tcBorders>
              <w:top w:val="single" w:sz="8" w:color="0000FF"/>
              <w:bottom w:val="single" w:sz="8" w:color="D9D9D9"/>
            </w:tcBorders>
            <w:shd w:val="clear" w:color="auto" w:fill="D9D9D9"/>
          </w:tcPr>
          <w:p>
            <w:pPr>
              <w:spacing w:after="0"/>
              <w:rPr>
                <w:sz w:val="21"/>
                <w:szCs w:val="21"/>
                <w:color w:val="auto"/>
              </w:rPr>
            </w:pPr>
          </w:p>
        </w:tc>
        <w:tc>
          <w:tcPr>
            <w:tcW w:w="680" w:type="dxa"/>
            <w:vAlign w:val="bottom"/>
            <w:tcBorders>
              <w:top w:val="single" w:sz="8" w:color="D9D9D9"/>
              <w:bottom w:val="single" w:sz="8" w:color="D9D9D9"/>
            </w:tcBorders>
            <w:shd w:val="clear" w:color="auto" w:fill="D9D9D9"/>
          </w:tcPr>
          <w:p>
            <w:pPr>
              <w:spacing w:after="0"/>
              <w:rPr>
                <w:sz w:val="21"/>
                <w:szCs w:val="21"/>
                <w:color w:val="auto"/>
              </w:rPr>
            </w:pPr>
          </w:p>
        </w:tc>
        <w:tc>
          <w:tcPr>
            <w:tcW w:w="600" w:type="dxa"/>
            <w:vAlign w:val="bottom"/>
          </w:tcPr>
          <w:p>
            <w:pPr>
              <w:spacing w:after="0"/>
              <w:rPr>
                <w:sz w:val="21"/>
                <w:szCs w:val="21"/>
                <w:color w:val="auto"/>
              </w:rPr>
            </w:pPr>
          </w:p>
        </w:tc>
      </w:tr>
      <w:tr>
        <w:trPr>
          <w:trHeight w:val="203"/>
        </w:trPr>
        <w:tc>
          <w:tcPr>
            <w:tcW w:w="658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05445E"/>
              </w:rPr>
              <w:t xml:space="preserve">Proposal 2: </w:t>
            </w:r>
            <w:r>
              <w:rPr>
                <w:rFonts w:ascii="Arial" w:cs="Arial" w:eastAsia="Arial" w:hAnsi="Arial"/>
                <w:sz w:val="18"/>
                <w:szCs w:val="18"/>
                <w:color w:val="000000"/>
              </w:rPr>
              <w:t>Advisory vote to approve Apogee's executive compensation</w:t>
            </w:r>
          </w:p>
        </w:tc>
        <w:tc>
          <w:tcPr>
            <w:tcW w:w="202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FOR</w:t>
            </w:r>
          </w:p>
        </w:tc>
        <w:tc>
          <w:tcPr>
            <w:tcW w:w="2640" w:type="dxa"/>
            <w:vAlign w:val="bottom"/>
            <w:gridSpan w:val="4"/>
          </w:tcPr>
          <w:p>
            <w:pPr>
              <w:jc w:val="center"/>
              <w:ind w:right="580"/>
              <w:spacing w:after="0" w:line="202" w:lineRule="exact"/>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color w:val="0000FF"/>
              </w:rPr>
              <w:t>71</w:t>
            </w:r>
          </w:p>
        </w:tc>
      </w:tr>
      <w:tr>
        <w:trPr>
          <w:trHeight w:val="48"/>
        </w:trPr>
        <w:tc>
          <w:tcPr>
            <w:tcW w:w="6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6580" w:type="dxa"/>
            <w:vAlign w:val="bottom"/>
            <w:gridSpan w:val="2"/>
            <w:shd w:val="clear" w:color="auto" w:fill="D9D9D9"/>
          </w:tcPr>
          <w:p>
            <w:pPr>
              <w:ind w:left="100"/>
              <w:spacing w:after="0" w:line="202" w:lineRule="exact"/>
              <w:rPr>
                <w:sz w:val="20"/>
                <w:szCs w:val="20"/>
                <w:color w:val="auto"/>
              </w:rPr>
            </w:pPr>
            <w:r>
              <w:rPr>
                <w:rFonts w:ascii="Arial" w:cs="Arial" w:eastAsia="Arial" w:hAnsi="Arial"/>
                <w:sz w:val="18"/>
                <w:szCs w:val="18"/>
                <w:b w:val="1"/>
                <w:bCs w:val="1"/>
                <w:color w:val="05445E"/>
              </w:rPr>
              <w:t xml:space="preserve">Proposal 3: </w:t>
            </w:r>
            <w:r>
              <w:rPr>
                <w:rFonts w:ascii="Arial" w:cs="Arial" w:eastAsia="Arial" w:hAnsi="Arial"/>
                <w:sz w:val="18"/>
                <w:szCs w:val="18"/>
                <w:color w:val="000000"/>
              </w:rPr>
              <w:t>Advisory vote to ratify the appointment of Deloitte &amp; Touche LLP as</w:t>
            </w:r>
          </w:p>
        </w:tc>
        <w:tc>
          <w:tcPr>
            <w:tcW w:w="2020" w:type="dxa"/>
            <w:vAlign w:val="bottom"/>
            <w:gridSpan w:val="2"/>
            <w:shd w:val="clear" w:color="auto" w:fill="D9D9D9"/>
          </w:tcPr>
          <w:p>
            <w:pPr>
              <w:ind w:left="20"/>
              <w:spacing w:after="0" w:line="202" w:lineRule="exact"/>
              <w:rPr>
                <w:sz w:val="20"/>
                <w:szCs w:val="20"/>
                <w:color w:val="auto"/>
              </w:rPr>
            </w:pPr>
            <w:r>
              <w:rPr>
                <w:rFonts w:ascii="Arial" w:cs="Arial" w:eastAsia="Arial" w:hAnsi="Arial"/>
                <w:sz w:val="18"/>
                <w:szCs w:val="18"/>
                <w:b w:val="1"/>
                <w:bCs w:val="1"/>
                <w:color w:val="auto"/>
              </w:rPr>
              <w:t>FOR</w:t>
            </w:r>
          </w:p>
        </w:tc>
        <w:tc>
          <w:tcPr>
            <w:tcW w:w="2040" w:type="dxa"/>
            <w:vAlign w:val="bottom"/>
            <w:gridSpan w:val="3"/>
            <w:shd w:val="clear" w:color="auto" w:fill="D9D9D9"/>
          </w:tcPr>
          <w:p>
            <w:pPr>
              <w:jc w:val="center"/>
              <w:spacing w:after="0" w:line="202" w:lineRule="exact"/>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color w:val="0000FF"/>
              </w:rPr>
              <w:t>73</w:t>
            </w:r>
          </w:p>
        </w:tc>
        <w:tc>
          <w:tcPr>
            <w:tcW w:w="600" w:type="dxa"/>
            <w:vAlign w:val="bottom"/>
          </w:tcPr>
          <w:p>
            <w:pPr>
              <w:spacing w:after="0"/>
              <w:rPr>
                <w:sz w:val="17"/>
                <w:szCs w:val="17"/>
                <w:color w:val="auto"/>
              </w:rPr>
            </w:pPr>
          </w:p>
        </w:tc>
      </w:tr>
      <w:tr>
        <w:trPr>
          <w:trHeight w:val="218"/>
        </w:trPr>
        <w:tc>
          <w:tcPr>
            <w:tcW w:w="6580" w:type="dxa"/>
            <w:vAlign w:val="bottom"/>
            <w:tcBorders>
              <w:top w:val="single" w:sz="8" w:color="D9D9D9"/>
            </w:tcBorders>
            <w:gridSpan w:val="2"/>
            <w:shd w:val="clear" w:color="auto" w:fill="D9D9D9"/>
          </w:tcPr>
          <w:p>
            <w:pPr>
              <w:ind w:left="100"/>
              <w:spacing w:after="0"/>
              <w:rPr>
                <w:sz w:val="20"/>
                <w:szCs w:val="20"/>
                <w:color w:val="auto"/>
              </w:rPr>
            </w:pPr>
            <w:r>
              <w:rPr>
                <w:rFonts w:ascii="Arial" w:cs="Arial" w:eastAsia="Arial" w:hAnsi="Arial"/>
                <w:sz w:val="18"/>
                <w:szCs w:val="18"/>
                <w:color w:val="auto"/>
              </w:rPr>
              <w:t>our independent registered public accounting firm for the fiscal year ending</w:t>
            </w:r>
          </w:p>
        </w:tc>
        <w:tc>
          <w:tcPr>
            <w:tcW w:w="1940" w:type="dxa"/>
            <w:vAlign w:val="bottom"/>
            <w:tcBorders>
              <w:top w:val="single" w:sz="8" w:color="D9D9D9"/>
            </w:tcBorders>
            <w:shd w:val="clear" w:color="auto" w:fill="D9D9D9"/>
          </w:tcPr>
          <w:p>
            <w:pPr>
              <w:spacing w:after="0"/>
              <w:rPr>
                <w:sz w:val="18"/>
                <w:szCs w:val="18"/>
                <w:color w:val="auto"/>
              </w:rPr>
            </w:pPr>
          </w:p>
        </w:tc>
        <w:tc>
          <w:tcPr>
            <w:tcW w:w="80" w:type="dxa"/>
            <w:vAlign w:val="bottom"/>
            <w:tcBorders>
              <w:top w:val="single" w:sz="8" w:color="D9D9D9"/>
            </w:tcBorders>
            <w:shd w:val="clear" w:color="auto" w:fill="D9D9D9"/>
          </w:tcPr>
          <w:p>
            <w:pPr>
              <w:spacing w:after="0"/>
              <w:rPr>
                <w:sz w:val="18"/>
                <w:szCs w:val="18"/>
                <w:color w:val="auto"/>
              </w:rPr>
            </w:pPr>
          </w:p>
        </w:tc>
        <w:tc>
          <w:tcPr>
            <w:tcW w:w="1160" w:type="dxa"/>
            <w:vAlign w:val="bottom"/>
            <w:tcBorders>
              <w:top w:val="single" w:sz="8" w:color="D9D9D9"/>
            </w:tcBorders>
            <w:shd w:val="clear" w:color="auto" w:fill="D9D9D9"/>
          </w:tcPr>
          <w:p>
            <w:pPr>
              <w:spacing w:after="0"/>
              <w:rPr>
                <w:sz w:val="18"/>
                <w:szCs w:val="18"/>
                <w:color w:val="auto"/>
              </w:rPr>
            </w:pPr>
          </w:p>
        </w:tc>
        <w:tc>
          <w:tcPr>
            <w:tcW w:w="200" w:type="dxa"/>
            <w:vAlign w:val="bottom"/>
            <w:tcBorders>
              <w:top w:val="single" w:sz="8" w:color="0000FF"/>
            </w:tcBorders>
            <w:shd w:val="clear" w:color="auto" w:fill="D9D9D9"/>
          </w:tcPr>
          <w:p>
            <w:pPr>
              <w:spacing w:after="0"/>
              <w:rPr>
                <w:sz w:val="18"/>
                <w:szCs w:val="18"/>
                <w:color w:val="auto"/>
              </w:rPr>
            </w:pPr>
          </w:p>
        </w:tc>
        <w:tc>
          <w:tcPr>
            <w:tcW w:w="680" w:type="dxa"/>
            <w:vAlign w:val="bottom"/>
            <w:tcBorders>
              <w:top w:val="single" w:sz="8" w:color="D9D9D9"/>
            </w:tcBorders>
            <w:shd w:val="clear" w:color="auto" w:fill="D9D9D9"/>
          </w:tcPr>
          <w:p>
            <w:pPr>
              <w:spacing w:after="0"/>
              <w:rPr>
                <w:sz w:val="18"/>
                <w:szCs w:val="18"/>
                <w:color w:val="auto"/>
              </w:rPr>
            </w:pPr>
          </w:p>
        </w:tc>
        <w:tc>
          <w:tcPr>
            <w:tcW w:w="600" w:type="dxa"/>
            <w:vAlign w:val="bottom"/>
          </w:tcPr>
          <w:p>
            <w:pPr>
              <w:spacing w:after="0"/>
              <w:rPr>
                <w:sz w:val="18"/>
                <w:szCs w:val="18"/>
                <w:color w:val="auto"/>
              </w:rPr>
            </w:pPr>
          </w:p>
        </w:tc>
      </w:tr>
      <w:tr>
        <w:trPr>
          <w:trHeight w:val="242"/>
        </w:trPr>
        <w:tc>
          <w:tcPr>
            <w:tcW w:w="6580" w:type="dxa"/>
            <w:vAlign w:val="bottom"/>
            <w:tcBorders>
              <w:bottom w:val="single" w:sz="8" w:color="D9D9D9"/>
            </w:tcBorders>
            <w:gridSpan w:val="2"/>
            <w:shd w:val="clear" w:color="auto" w:fill="D9D9D9"/>
          </w:tcPr>
          <w:p>
            <w:pPr>
              <w:ind w:left="100"/>
              <w:spacing w:after="0"/>
              <w:rPr>
                <w:sz w:val="20"/>
                <w:szCs w:val="20"/>
                <w:color w:val="auto"/>
              </w:rPr>
            </w:pPr>
            <w:r>
              <w:rPr>
                <w:rFonts w:ascii="Arial" w:cs="Arial" w:eastAsia="Arial" w:hAnsi="Arial"/>
                <w:sz w:val="18"/>
                <w:szCs w:val="18"/>
                <w:color w:val="auto"/>
              </w:rPr>
              <w:t>February 28, 2026</w:t>
            </w:r>
          </w:p>
        </w:tc>
        <w:tc>
          <w:tcPr>
            <w:tcW w:w="1940" w:type="dxa"/>
            <w:vAlign w:val="bottom"/>
            <w:tcBorders>
              <w:bottom w:val="single" w:sz="8" w:color="D9D9D9"/>
            </w:tcBorders>
            <w:shd w:val="clear" w:color="auto" w:fill="D9D9D9"/>
          </w:tcPr>
          <w:p>
            <w:pPr>
              <w:spacing w:after="0"/>
              <w:rPr>
                <w:sz w:val="21"/>
                <w:szCs w:val="21"/>
                <w:color w:val="auto"/>
              </w:rPr>
            </w:pPr>
          </w:p>
        </w:tc>
        <w:tc>
          <w:tcPr>
            <w:tcW w:w="80" w:type="dxa"/>
            <w:vAlign w:val="bottom"/>
            <w:tcBorders>
              <w:bottom w:val="single" w:sz="8" w:color="D9D9D9"/>
            </w:tcBorders>
            <w:shd w:val="clear" w:color="auto" w:fill="D9D9D9"/>
          </w:tcPr>
          <w:p>
            <w:pPr>
              <w:spacing w:after="0"/>
              <w:rPr>
                <w:sz w:val="21"/>
                <w:szCs w:val="21"/>
                <w:color w:val="auto"/>
              </w:rPr>
            </w:pPr>
          </w:p>
        </w:tc>
        <w:tc>
          <w:tcPr>
            <w:tcW w:w="1160" w:type="dxa"/>
            <w:vAlign w:val="bottom"/>
            <w:tcBorders>
              <w:bottom w:val="single" w:sz="8" w:color="D9D9D9"/>
            </w:tcBorders>
            <w:shd w:val="clear" w:color="auto" w:fill="D9D9D9"/>
          </w:tcPr>
          <w:p>
            <w:pPr>
              <w:spacing w:after="0"/>
              <w:rPr>
                <w:sz w:val="21"/>
                <w:szCs w:val="21"/>
                <w:color w:val="auto"/>
              </w:rPr>
            </w:pPr>
          </w:p>
        </w:tc>
        <w:tc>
          <w:tcPr>
            <w:tcW w:w="200" w:type="dxa"/>
            <w:vAlign w:val="bottom"/>
            <w:tcBorders>
              <w:bottom w:val="single" w:sz="8" w:color="D9D9D9"/>
            </w:tcBorders>
            <w:shd w:val="clear" w:color="auto" w:fill="D9D9D9"/>
          </w:tcPr>
          <w:p>
            <w:pPr>
              <w:spacing w:after="0"/>
              <w:rPr>
                <w:sz w:val="21"/>
                <w:szCs w:val="21"/>
                <w:color w:val="auto"/>
              </w:rPr>
            </w:pPr>
          </w:p>
        </w:tc>
        <w:tc>
          <w:tcPr>
            <w:tcW w:w="680" w:type="dxa"/>
            <w:vAlign w:val="bottom"/>
            <w:tcBorders>
              <w:bottom w:val="single" w:sz="8" w:color="D9D9D9"/>
            </w:tcBorders>
            <w:shd w:val="clear" w:color="auto" w:fill="D9D9D9"/>
          </w:tcPr>
          <w:p>
            <w:pPr>
              <w:spacing w:after="0"/>
              <w:rPr>
                <w:sz w:val="21"/>
                <w:szCs w:val="21"/>
                <w:color w:val="auto"/>
              </w:rPr>
            </w:pPr>
          </w:p>
        </w:tc>
        <w:tc>
          <w:tcPr>
            <w:tcW w:w="600" w:type="dxa"/>
            <w:vAlign w:val="bottom"/>
          </w:tcPr>
          <w:p>
            <w:pPr>
              <w:spacing w:after="0"/>
              <w:rPr>
                <w:sz w:val="21"/>
                <w:szCs w:val="21"/>
                <w:color w:val="auto"/>
              </w:rPr>
            </w:pPr>
          </w:p>
        </w:tc>
      </w:tr>
      <w:tr>
        <w:trPr>
          <w:trHeight w:val="922"/>
        </w:trPr>
        <w:tc>
          <w:tcPr>
            <w:tcW w:w="6480" w:type="dxa"/>
            <w:vAlign w:val="bottom"/>
          </w:tcPr>
          <w:p>
            <w:pPr>
              <w:ind w:left="55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98"/>
        </w:trPr>
        <w:tc>
          <w:tcPr>
            <w:tcW w:w="6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5" w:name="page6"/>
    <w:bookmarkEnd w:id="5"/>
    <w:p>
      <w:pPr>
        <w:spacing w:after="0"/>
        <w:rPr>
          <w:sz w:val="20"/>
          <w:szCs w:val="20"/>
          <w:color w:val="auto"/>
        </w:rPr>
      </w:pPr>
      <w:r>
        <w:rPr>
          <w:rFonts w:ascii="Arial" w:cs="Arial" w:eastAsia="Arial" w:hAnsi="Arial"/>
          <w:sz w:val="29"/>
          <w:szCs w:val="29"/>
          <w:b w:val="1"/>
          <w:bCs w:val="1"/>
          <w:color w:val="05445E"/>
        </w:rPr>
        <w:t>Fiscal 2025 Financial Results</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0A0A0A"/>
        </w:rPr>
        <w:t>We are a leading provider of architectural building products and services, as well as high-performance coated materials used in a variety of applications. Our four reporting segments are: Architectural Metals (formerly Architectural Framing Systems), Architectural Glass, Architectural Services and Performance Surfaces (formerly Large-Scale Optical). During the fourth quarter of fiscal 2025, our Company changed the names of two reporting segments to better reflect their product focus and capabilities. There were no changes in the products or brands included within each of the reportable segments as part of the change in segment names.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100" w:type="dxa"/>
            <w:vAlign w:val="bottom"/>
            <w:tcBorders>
              <w:bottom w:val="single" w:sz="8" w:color="auto"/>
            </w:tcBorders>
          </w:tcPr>
          <w:p>
            <w:pPr>
              <w:spacing w:after="0"/>
              <w:rPr>
                <w:sz w:val="22"/>
                <w:szCs w:val="22"/>
                <w:color w:val="auto"/>
              </w:rPr>
            </w:pPr>
          </w:p>
        </w:tc>
        <w:tc>
          <w:tcPr>
            <w:tcW w:w="854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Summary of Fiscal 2025 Financial Results</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2"/>
        </w:trPr>
        <w:tc>
          <w:tcPr>
            <w:tcW w:w="21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9140" w:type="dxa"/>
            <w:vAlign w:val="bottom"/>
            <w:gridSpan w:val="2"/>
          </w:tcPr>
          <w:p>
            <w:pPr>
              <w:ind w:left="500"/>
              <w:spacing w:after="0"/>
              <w:rPr>
                <w:sz w:val="20"/>
                <w:szCs w:val="20"/>
                <w:color w:val="auto"/>
              </w:rPr>
            </w:pPr>
            <w:r>
              <w:rPr>
                <w:rFonts w:ascii="Arial" w:cs="Arial" w:eastAsia="Arial" w:hAnsi="Arial"/>
                <w:sz w:val="18"/>
                <w:szCs w:val="18"/>
                <w:color w:val="auto"/>
              </w:rPr>
              <w:t>•  Consolidated net sales were $1.36 billion compared to $1.42 billion in fiscal 2024.</w:t>
            </w:r>
          </w:p>
        </w:tc>
        <w:tc>
          <w:tcPr>
            <w:tcW w:w="0" w:type="dxa"/>
            <w:vAlign w:val="bottom"/>
          </w:tcPr>
          <w:p>
            <w:pPr>
              <w:spacing w:after="0"/>
              <w:rPr>
                <w:sz w:val="1"/>
                <w:szCs w:val="1"/>
                <w:color w:val="auto"/>
              </w:rPr>
            </w:pPr>
          </w:p>
        </w:tc>
      </w:tr>
      <w:tr>
        <w:trPr>
          <w:trHeight w:val="409"/>
        </w:trPr>
        <w:tc>
          <w:tcPr>
            <w:tcW w:w="2100" w:type="dxa"/>
            <w:vAlign w:val="bottom"/>
          </w:tcPr>
          <w:p>
            <w:pPr>
              <w:spacing w:after="0"/>
              <w:rPr>
                <w:sz w:val="24"/>
                <w:szCs w:val="24"/>
                <w:color w:val="auto"/>
              </w:rPr>
            </w:pPr>
          </w:p>
        </w:tc>
        <w:tc>
          <w:tcPr>
            <w:tcW w:w="9140" w:type="dxa"/>
            <w:vAlign w:val="bottom"/>
            <w:gridSpan w:val="2"/>
          </w:tcPr>
          <w:p>
            <w:pPr>
              <w:ind w:left="500"/>
              <w:spacing w:after="0"/>
              <w:rPr>
                <w:sz w:val="20"/>
                <w:szCs w:val="20"/>
                <w:color w:val="auto"/>
              </w:rPr>
            </w:pPr>
            <w:r>
              <w:rPr>
                <w:rFonts w:ascii="Arial" w:cs="Arial" w:eastAsia="Arial" w:hAnsi="Arial"/>
                <w:sz w:val="18"/>
                <w:szCs w:val="18"/>
                <w:color w:val="auto"/>
              </w:rPr>
              <w:t>•  Architectural Services Segment net sales were $419.9 million compared to $378.4 million in fiscal</w:t>
            </w:r>
          </w:p>
        </w:tc>
        <w:tc>
          <w:tcPr>
            <w:tcW w:w="0" w:type="dxa"/>
            <w:vAlign w:val="bottom"/>
          </w:tcPr>
          <w:p>
            <w:pPr>
              <w:spacing w:after="0"/>
              <w:rPr>
                <w:sz w:val="1"/>
                <w:szCs w:val="1"/>
                <w:color w:val="auto"/>
              </w:rPr>
            </w:pPr>
          </w:p>
        </w:tc>
      </w:tr>
      <w:tr>
        <w:trPr>
          <w:trHeight w:val="239"/>
        </w:trPr>
        <w:tc>
          <w:tcPr>
            <w:tcW w:w="2100" w:type="dxa"/>
            <w:vAlign w:val="bottom"/>
          </w:tcPr>
          <w:p>
            <w:pPr>
              <w:spacing w:after="0"/>
              <w:rPr>
                <w:sz w:val="20"/>
                <w:szCs w:val="20"/>
                <w:color w:val="auto"/>
              </w:rPr>
            </w:pPr>
          </w:p>
        </w:tc>
        <w:tc>
          <w:tcPr>
            <w:tcW w:w="8540" w:type="dxa"/>
            <w:vAlign w:val="bottom"/>
          </w:tcPr>
          <w:p>
            <w:pPr>
              <w:ind w:left="740"/>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2100" w:type="dxa"/>
            <w:vAlign w:val="bottom"/>
          </w:tcPr>
          <w:p>
            <w:pPr>
              <w:spacing w:after="0"/>
              <w:rPr>
                <w:sz w:val="24"/>
                <w:szCs w:val="24"/>
                <w:color w:val="auto"/>
              </w:rPr>
            </w:pPr>
          </w:p>
        </w:tc>
        <w:tc>
          <w:tcPr>
            <w:tcW w:w="9140" w:type="dxa"/>
            <w:vAlign w:val="bottom"/>
            <w:gridSpan w:val="2"/>
          </w:tcPr>
          <w:p>
            <w:pPr>
              <w:ind w:left="500"/>
              <w:spacing w:after="0"/>
              <w:rPr>
                <w:sz w:val="20"/>
                <w:szCs w:val="20"/>
                <w:color w:val="auto"/>
              </w:rPr>
            </w:pPr>
            <w:r>
              <w:rPr>
                <w:rFonts w:ascii="Arial" w:cs="Arial" w:eastAsia="Arial" w:hAnsi="Arial"/>
                <w:sz w:val="18"/>
                <w:szCs w:val="18"/>
                <w:color w:val="auto"/>
              </w:rPr>
              <w:t>•  Architectural Glass Segment net sales were $322.2 million compared to $378.4 million in fiscal</w:t>
            </w:r>
          </w:p>
        </w:tc>
        <w:tc>
          <w:tcPr>
            <w:tcW w:w="0" w:type="dxa"/>
            <w:vAlign w:val="bottom"/>
          </w:tcPr>
          <w:p>
            <w:pPr>
              <w:spacing w:after="0"/>
              <w:rPr>
                <w:sz w:val="1"/>
                <w:szCs w:val="1"/>
                <w:color w:val="auto"/>
              </w:rPr>
            </w:pPr>
          </w:p>
        </w:tc>
      </w:tr>
      <w:tr>
        <w:trPr>
          <w:trHeight w:val="239"/>
        </w:trPr>
        <w:tc>
          <w:tcPr>
            <w:tcW w:w="2100" w:type="dxa"/>
            <w:vAlign w:val="bottom"/>
          </w:tcPr>
          <w:p>
            <w:pPr>
              <w:spacing w:after="0"/>
              <w:rPr>
                <w:sz w:val="20"/>
                <w:szCs w:val="20"/>
                <w:color w:val="auto"/>
              </w:rPr>
            </w:pPr>
          </w:p>
        </w:tc>
        <w:tc>
          <w:tcPr>
            <w:tcW w:w="8540" w:type="dxa"/>
            <w:vAlign w:val="bottom"/>
          </w:tcPr>
          <w:p>
            <w:pPr>
              <w:ind w:left="740"/>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100" w:type="dxa"/>
            <w:vAlign w:val="bottom"/>
            <w:tcBorders>
              <w:bottom w:val="single" w:sz="8" w:color="auto"/>
            </w:tcBorders>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2100" w:type="dxa"/>
            <w:vAlign w:val="bottom"/>
          </w:tcPr>
          <w:p>
            <w:pPr>
              <w:ind w:left="20"/>
              <w:spacing w:after="0"/>
              <w:rPr>
                <w:sz w:val="20"/>
                <w:szCs w:val="20"/>
                <w:color w:val="auto"/>
              </w:rPr>
            </w:pPr>
            <w:r>
              <w:rPr>
                <w:rFonts w:ascii="Arial" w:cs="Arial" w:eastAsia="Arial" w:hAnsi="Arial"/>
                <w:sz w:val="18"/>
                <w:szCs w:val="18"/>
                <w:color w:val="auto"/>
              </w:rPr>
              <w:t>Earnings</w:t>
            </w:r>
          </w:p>
        </w:tc>
        <w:tc>
          <w:tcPr>
            <w:tcW w:w="9140" w:type="dxa"/>
            <w:vAlign w:val="bottom"/>
            <w:gridSpan w:val="2"/>
          </w:tcPr>
          <w:p>
            <w:pPr>
              <w:ind w:left="500"/>
              <w:spacing w:after="0"/>
              <w:rPr>
                <w:sz w:val="20"/>
                <w:szCs w:val="20"/>
                <w:color w:val="auto"/>
              </w:rPr>
            </w:pPr>
            <w:r>
              <w:rPr>
                <w:rFonts w:ascii="Arial" w:cs="Arial" w:eastAsia="Arial" w:hAnsi="Arial"/>
                <w:sz w:val="18"/>
                <w:szCs w:val="18"/>
                <w:color w:val="auto"/>
              </w:rPr>
              <w:t>•  Diluted earnings per share of $3.89 compared to $4.51 in fiscal 2024.</w:t>
            </w:r>
          </w:p>
        </w:tc>
        <w:tc>
          <w:tcPr>
            <w:tcW w:w="0" w:type="dxa"/>
            <w:vAlign w:val="bottom"/>
          </w:tcPr>
          <w:p>
            <w:pPr>
              <w:spacing w:after="0"/>
              <w:rPr>
                <w:sz w:val="1"/>
                <w:szCs w:val="1"/>
                <w:color w:val="auto"/>
              </w:rPr>
            </w:pPr>
          </w:p>
        </w:tc>
      </w:tr>
      <w:tr>
        <w:trPr>
          <w:trHeight w:val="23"/>
        </w:trPr>
        <w:tc>
          <w:tcPr>
            <w:tcW w:w="210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21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140" w:type="dxa"/>
            <w:vAlign w:val="bottom"/>
            <w:gridSpan w:val="2"/>
            <w:vMerge w:val="restart"/>
          </w:tcPr>
          <w:p>
            <w:pPr>
              <w:ind w:left="500"/>
              <w:spacing w:after="0"/>
              <w:rPr>
                <w:sz w:val="20"/>
                <w:szCs w:val="20"/>
                <w:color w:val="auto"/>
              </w:rPr>
            </w:pPr>
            <w:r>
              <w:rPr>
                <w:rFonts w:ascii="Arial" w:cs="Arial" w:eastAsia="Arial" w:hAnsi="Arial"/>
                <w:sz w:val="18"/>
                <w:szCs w:val="18"/>
                <w:color w:val="auto"/>
              </w:rPr>
              <w:t>•  Consolidated operating income was $118.1 million compared to $133.8 million in fiscal 2024.</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9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2100" w:type="dxa"/>
            <w:vAlign w:val="bottom"/>
          </w:tcPr>
          <w:p>
            <w:pPr>
              <w:spacing w:after="0"/>
              <w:rPr>
                <w:sz w:val="24"/>
                <w:szCs w:val="24"/>
                <w:color w:val="auto"/>
              </w:rPr>
            </w:pPr>
          </w:p>
        </w:tc>
        <w:tc>
          <w:tcPr>
            <w:tcW w:w="9140" w:type="dxa"/>
            <w:vAlign w:val="bottom"/>
            <w:gridSpan w:val="2"/>
          </w:tcPr>
          <w:p>
            <w:pPr>
              <w:ind w:left="500"/>
              <w:spacing w:after="0"/>
              <w:rPr>
                <w:sz w:val="20"/>
                <w:szCs w:val="20"/>
                <w:color w:val="auto"/>
              </w:rPr>
            </w:pPr>
            <w:r>
              <w:rPr>
                <w:rFonts w:ascii="Arial" w:cs="Arial" w:eastAsia="Arial" w:hAnsi="Arial"/>
                <w:sz w:val="18"/>
                <w:szCs w:val="18"/>
                <w:color w:val="auto"/>
              </w:rPr>
              <w:t>•  Architectural Services Segment operating income was $30.0 million compared to $11.8 million in</w:t>
            </w:r>
          </w:p>
        </w:tc>
        <w:tc>
          <w:tcPr>
            <w:tcW w:w="0" w:type="dxa"/>
            <w:vAlign w:val="bottom"/>
          </w:tcPr>
          <w:p>
            <w:pPr>
              <w:spacing w:after="0"/>
              <w:rPr>
                <w:sz w:val="1"/>
                <w:szCs w:val="1"/>
                <w:color w:val="auto"/>
              </w:rPr>
            </w:pPr>
          </w:p>
        </w:tc>
      </w:tr>
      <w:tr>
        <w:trPr>
          <w:trHeight w:val="239"/>
        </w:trPr>
        <w:tc>
          <w:tcPr>
            <w:tcW w:w="2100" w:type="dxa"/>
            <w:vAlign w:val="bottom"/>
          </w:tcPr>
          <w:p>
            <w:pPr>
              <w:spacing w:after="0"/>
              <w:rPr>
                <w:sz w:val="20"/>
                <w:szCs w:val="20"/>
                <w:color w:val="auto"/>
              </w:rPr>
            </w:pPr>
          </w:p>
        </w:tc>
        <w:tc>
          <w:tcPr>
            <w:tcW w:w="9140" w:type="dxa"/>
            <w:vAlign w:val="bottom"/>
            <w:gridSpan w:val="2"/>
          </w:tcPr>
          <w:p>
            <w:pPr>
              <w:ind w:left="740"/>
              <w:spacing w:after="0"/>
              <w:rPr>
                <w:sz w:val="20"/>
                <w:szCs w:val="20"/>
                <w:color w:val="auto"/>
              </w:rPr>
            </w:pPr>
            <w:r>
              <w:rPr>
                <w:rFonts w:ascii="Arial" w:cs="Arial" w:eastAsia="Arial" w:hAnsi="Arial"/>
                <w:sz w:val="18"/>
                <w:szCs w:val="18"/>
                <w:color w:val="auto"/>
              </w:rPr>
              <w:t>fiscal 2024.</w:t>
            </w:r>
          </w:p>
        </w:tc>
        <w:tc>
          <w:tcPr>
            <w:tcW w:w="0" w:type="dxa"/>
            <w:vAlign w:val="bottom"/>
          </w:tcPr>
          <w:p>
            <w:pPr>
              <w:spacing w:after="0"/>
              <w:rPr>
                <w:sz w:val="1"/>
                <w:szCs w:val="1"/>
                <w:color w:val="auto"/>
              </w:rPr>
            </w:pPr>
          </w:p>
        </w:tc>
      </w:tr>
      <w:tr>
        <w:trPr>
          <w:trHeight w:val="409"/>
        </w:trPr>
        <w:tc>
          <w:tcPr>
            <w:tcW w:w="2100" w:type="dxa"/>
            <w:vAlign w:val="bottom"/>
          </w:tcPr>
          <w:p>
            <w:pPr>
              <w:spacing w:after="0"/>
              <w:rPr>
                <w:sz w:val="24"/>
                <w:szCs w:val="24"/>
                <w:color w:val="auto"/>
              </w:rPr>
            </w:pPr>
          </w:p>
        </w:tc>
        <w:tc>
          <w:tcPr>
            <w:tcW w:w="9140" w:type="dxa"/>
            <w:vAlign w:val="bottom"/>
            <w:gridSpan w:val="2"/>
          </w:tcPr>
          <w:p>
            <w:pPr>
              <w:ind w:left="500"/>
              <w:spacing w:after="0"/>
              <w:rPr>
                <w:sz w:val="20"/>
                <w:szCs w:val="20"/>
                <w:color w:val="auto"/>
              </w:rPr>
            </w:pPr>
            <w:r>
              <w:rPr>
                <w:rFonts w:ascii="Arial" w:cs="Arial" w:eastAsia="Arial" w:hAnsi="Arial"/>
                <w:sz w:val="18"/>
                <w:szCs w:val="18"/>
                <w:color w:val="auto"/>
              </w:rPr>
              <w:t>•  Architectural Glass Segment operating income was $59.3 million compared to $68.0 million in</w:t>
            </w:r>
          </w:p>
        </w:tc>
        <w:tc>
          <w:tcPr>
            <w:tcW w:w="0" w:type="dxa"/>
            <w:vAlign w:val="bottom"/>
          </w:tcPr>
          <w:p>
            <w:pPr>
              <w:spacing w:after="0"/>
              <w:rPr>
                <w:sz w:val="1"/>
                <w:szCs w:val="1"/>
                <w:color w:val="auto"/>
              </w:rPr>
            </w:pPr>
          </w:p>
        </w:tc>
      </w:tr>
      <w:tr>
        <w:trPr>
          <w:trHeight w:val="239"/>
        </w:trPr>
        <w:tc>
          <w:tcPr>
            <w:tcW w:w="2100" w:type="dxa"/>
            <w:vAlign w:val="bottom"/>
          </w:tcPr>
          <w:p>
            <w:pPr>
              <w:spacing w:after="0"/>
              <w:rPr>
                <w:sz w:val="20"/>
                <w:szCs w:val="20"/>
                <w:color w:val="auto"/>
              </w:rPr>
            </w:pPr>
          </w:p>
        </w:tc>
        <w:tc>
          <w:tcPr>
            <w:tcW w:w="9140" w:type="dxa"/>
            <w:vAlign w:val="bottom"/>
            <w:gridSpan w:val="2"/>
          </w:tcPr>
          <w:p>
            <w:pPr>
              <w:ind w:left="740"/>
              <w:spacing w:after="0"/>
              <w:rPr>
                <w:sz w:val="20"/>
                <w:szCs w:val="20"/>
                <w:color w:val="auto"/>
              </w:rPr>
            </w:pPr>
            <w:r>
              <w:rPr>
                <w:rFonts w:ascii="Arial" w:cs="Arial" w:eastAsia="Arial" w:hAnsi="Arial"/>
                <w:sz w:val="18"/>
                <w:szCs w:val="18"/>
                <w:color w:val="auto"/>
              </w:rPr>
              <w:t>fiscal 2024.</w:t>
            </w:r>
          </w:p>
        </w:tc>
        <w:tc>
          <w:tcPr>
            <w:tcW w:w="0" w:type="dxa"/>
            <w:vAlign w:val="bottom"/>
          </w:tcPr>
          <w:p>
            <w:pPr>
              <w:spacing w:after="0"/>
              <w:rPr>
                <w:sz w:val="1"/>
                <w:szCs w:val="1"/>
                <w:color w:val="auto"/>
              </w:rPr>
            </w:pPr>
          </w:p>
        </w:tc>
      </w:tr>
      <w:tr>
        <w:trPr>
          <w:trHeight w:val="941"/>
        </w:trPr>
        <w:tc>
          <w:tcPr>
            <w:tcW w:w="21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10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9140" w:type="dxa"/>
            <w:vAlign w:val="bottom"/>
            <w:gridSpan w:val="2"/>
            <w:vMerge w:val="restart"/>
          </w:tcPr>
          <w:p>
            <w:pPr>
              <w:ind w:left="500"/>
              <w:spacing w:after="0"/>
              <w:rPr>
                <w:sz w:val="20"/>
                <w:szCs w:val="20"/>
                <w:color w:val="auto"/>
              </w:rPr>
            </w:pPr>
            <w:r>
              <w:rPr>
                <w:rFonts w:ascii="Arial" w:cs="Arial" w:eastAsia="Arial" w:hAnsi="Arial"/>
                <w:sz w:val="18"/>
                <w:szCs w:val="18"/>
                <w:color w:val="auto"/>
              </w:rPr>
              <w:t>•  Operating margin was 8.7% compared to 9.4% in fiscal 2024.</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9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10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2100" w:type="dxa"/>
            <w:vAlign w:val="bottom"/>
          </w:tcPr>
          <w:p>
            <w:pPr>
              <w:ind w:left="20"/>
              <w:spacing w:after="0"/>
              <w:rPr>
                <w:sz w:val="20"/>
                <w:szCs w:val="20"/>
                <w:color w:val="auto"/>
              </w:rPr>
            </w:pPr>
            <w:r>
              <w:rPr>
                <w:rFonts w:ascii="Arial" w:cs="Arial" w:eastAsia="Arial" w:hAnsi="Arial"/>
                <w:sz w:val="18"/>
                <w:szCs w:val="18"/>
                <w:color w:val="auto"/>
              </w:rPr>
              <w:t>Cash Flow</w:t>
            </w:r>
          </w:p>
        </w:tc>
        <w:tc>
          <w:tcPr>
            <w:tcW w:w="9140" w:type="dxa"/>
            <w:vAlign w:val="bottom"/>
            <w:gridSpan w:val="2"/>
            <w:vMerge w:val="restart"/>
          </w:tcPr>
          <w:p>
            <w:pPr>
              <w:ind w:left="500"/>
              <w:spacing w:after="0"/>
              <w:rPr>
                <w:sz w:val="20"/>
                <w:szCs w:val="20"/>
                <w:color w:val="auto"/>
              </w:rPr>
            </w:pPr>
            <w:r>
              <w:rPr>
                <w:rFonts w:ascii="Arial" w:cs="Arial" w:eastAsia="Arial" w:hAnsi="Arial"/>
                <w:sz w:val="18"/>
                <w:szCs w:val="18"/>
                <w:color w:val="auto"/>
              </w:rPr>
              <w:t>•  Net cash provided by operating activities in fiscal 2025 was $125.2 million, compared to $204.2</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16"/>
                <w:szCs w:val="16"/>
                <w:color w:val="auto"/>
              </w:rPr>
            </w:pPr>
          </w:p>
        </w:tc>
        <w:tc>
          <w:tcPr>
            <w:tcW w:w="9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100" w:type="dxa"/>
            <w:vAlign w:val="bottom"/>
          </w:tcPr>
          <w:p>
            <w:pPr>
              <w:spacing w:after="0"/>
              <w:rPr>
                <w:sz w:val="20"/>
                <w:szCs w:val="20"/>
                <w:color w:val="auto"/>
              </w:rPr>
            </w:pPr>
          </w:p>
        </w:tc>
        <w:tc>
          <w:tcPr>
            <w:tcW w:w="9140" w:type="dxa"/>
            <w:vAlign w:val="bottom"/>
            <w:gridSpan w:val="2"/>
          </w:tcPr>
          <w:p>
            <w:pPr>
              <w:ind w:left="740"/>
              <w:spacing w:after="0"/>
              <w:rPr>
                <w:sz w:val="20"/>
                <w:szCs w:val="20"/>
                <w:color w:val="auto"/>
              </w:rPr>
            </w:pPr>
            <w:r>
              <w:rPr>
                <w:rFonts w:ascii="Arial" w:cs="Arial" w:eastAsia="Arial" w:hAnsi="Arial"/>
                <w:sz w:val="18"/>
                <w:szCs w:val="18"/>
                <w:color w:val="auto"/>
              </w:rPr>
              <w:t>million in fiscal 2024.</w:t>
            </w:r>
          </w:p>
        </w:tc>
        <w:tc>
          <w:tcPr>
            <w:tcW w:w="0" w:type="dxa"/>
            <w:vAlign w:val="bottom"/>
          </w:tcPr>
          <w:p>
            <w:pPr>
              <w:spacing w:after="0"/>
              <w:rPr>
                <w:sz w:val="1"/>
                <w:szCs w:val="1"/>
                <w:color w:val="auto"/>
              </w:rPr>
            </w:pPr>
          </w:p>
        </w:tc>
      </w:tr>
      <w:tr>
        <w:trPr>
          <w:trHeight w:val="23"/>
        </w:trPr>
        <w:tc>
          <w:tcPr>
            <w:tcW w:w="210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28"/>
        </w:trPr>
        <w:tc>
          <w:tcPr>
            <w:tcW w:w="2100" w:type="dxa"/>
            <w:vAlign w:val="bottom"/>
          </w:tcPr>
          <w:p>
            <w:pPr>
              <w:ind w:left="20"/>
              <w:spacing w:after="0"/>
              <w:rPr>
                <w:sz w:val="20"/>
                <w:szCs w:val="20"/>
                <w:color w:val="auto"/>
              </w:rPr>
            </w:pPr>
            <w:r>
              <w:rPr>
                <w:rFonts w:ascii="Arial" w:cs="Arial" w:eastAsia="Arial" w:hAnsi="Arial"/>
                <w:sz w:val="18"/>
                <w:szCs w:val="18"/>
                <w:color w:val="auto"/>
              </w:rPr>
              <w:t>Shareholder Return</w:t>
            </w:r>
          </w:p>
        </w:tc>
        <w:tc>
          <w:tcPr>
            <w:tcW w:w="9140" w:type="dxa"/>
            <w:vAlign w:val="bottom"/>
            <w:gridSpan w:val="2"/>
          </w:tcPr>
          <w:p>
            <w:pPr>
              <w:ind w:left="500"/>
              <w:spacing w:after="0"/>
              <w:rPr>
                <w:sz w:val="20"/>
                <w:szCs w:val="20"/>
                <w:color w:val="auto"/>
              </w:rPr>
            </w:pPr>
            <w:r>
              <w:rPr>
                <w:rFonts w:ascii="Arial" w:cs="Arial" w:eastAsia="Arial" w:hAnsi="Arial"/>
                <w:sz w:val="18"/>
                <w:szCs w:val="18"/>
                <w:color w:val="auto"/>
              </w:rPr>
              <w:t>•  We repurchased 786,690 shares of our common stock during fiscal 2025 at a total cost of $45.4</w:t>
            </w:r>
          </w:p>
        </w:tc>
        <w:tc>
          <w:tcPr>
            <w:tcW w:w="0" w:type="dxa"/>
            <w:vAlign w:val="bottom"/>
          </w:tcPr>
          <w:p>
            <w:pPr>
              <w:spacing w:after="0"/>
              <w:rPr>
                <w:sz w:val="1"/>
                <w:szCs w:val="1"/>
                <w:color w:val="auto"/>
              </w:rPr>
            </w:pPr>
          </w:p>
        </w:tc>
      </w:tr>
      <w:tr>
        <w:trPr>
          <w:trHeight w:val="239"/>
        </w:trPr>
        <w:tc>
          <w:tcPr>
            <w:tcW w:w="2100" w:type="dxa"/>
            <w:vAlign w:val="bottom"/>
          </w:tcPr>
          <w:p>
            <w:pPr>
              <w:spacing w:after="0"/>
              <w:rPr>
                <w:sz w:val="20"/>
                <w:szCs w:val="20"/>
                <w:color w:val="auto"/>
              </w:rPr>
            </w:pPr>
          </w:p>
        </w:tc>
        <w:tc>
          <w:tcPr>
            <w:tcW w:w="9140" w:type="dxa"/>
            <w:vAlign w:val="bottom"/>
            <w:gridSpan w:val="2"/>
          </w:tcPr>
          <w:p>
            <w:pPr>
              <w:ind w:left="74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409"/>
        </w:trPr>
        <w:tc>
          <w:tcPr>
            <w:tcW w:w="2100" w:type="dxa"/>
            <w:vAlign w:val="bottom"/>
          </w:tcPr>
          <w:p>
            <w:pPr>
              <w:spacing w:after="0"/>
              <w:rPr>
                <w:sz w:val="24"/>
                <w:szCs w:val="24"/>
                <w:color w:val="auto"/>
              </w:rPr>
            </w:pPr>
          </w:p>
        </w:tc>
        <w:tc>
          <w:tcPr>
            <w:tcW w:w="9140" w:type="dxa"/>
            <w:vAlign w:val="bottom"/>
            <w:gridSpan w:val="2"/>
          </w:tcPr>
          <w:p>
            <w:pPr>
              <w:ind w:left="500"/>
              <w:spacing w:after="0"/>
              <w:rPr>
                <w:sz w:val="20"/>
                <w:szCs w:val="20"/>
                <w:color w:val="auto"/>
              </w:rPr>
            </w:pPr>
            <w:r>
              <w:rPr>
                <w:rFonts w:ascii="Arial" w:cs="Arial" w:eastAsia="Arial" w:hAnsi="Arial"/>
                <w:sz w:val="18"/>
                <w:szCs w:val="18"/>
                <w:color w:val="auto"/>
              </w:rPr>
              <w:t>•  We paid dividends totaling $21.7 million during fiscal 2025 and increased our quarterly cash</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9140" w:type="dxa"/>
            <w:vAlign w:val="bottom"/>
            <w:gridSpan w:val="2"/>
          </w:tcPr>
          <w:p>
            <w:pPr>
              <w:ind w:left="740"/>
              <w:spacing w:after="0"/>
              <w:rPr>
                <w:sz w:val="20"/>
                <w:szCs w:val="20"/>
                <w:color w:val="auto"/>
              </w:rPr>
            </w:pPr>
            <w:r>
              <w:rPr>
                <w:rFonts w:ascii="Arial" w:cs="Arial" w:eastAsia="Arial" w:hAnsi="Arial"/>
                <w:sz w:val="18"/>
                <w:szCs w:val="18"/>
                <w:color w:val="auto"/>
              </w:rPr>
              <w:t>dividend 4% to $0.26 per share during the fourth quarter of fiscal 2025, our twelfth consecutive</w:t>
            </w:r>
          </w:p>
        </w:tc>
        <w:tc>
          <w:tcPr>
            <w:tcW w:w="0" w:type="dxa"/>
            <w:vAlign w:val="bottom"/>
          </w:tcPr>
          <w:p>
            <w:pPr>
              <w:spacing w:after="0"/>
              <w:rPr>
                <w:sz w:val="1"/>
                <w:szCs w:val="1"/>
                <w:color w:val="auto"/>
              </w:rPr>
            </w:pPr>
          </w:p>
        </w:tc>
      </w:tr>
      <w:tr>
        <w:trPr>
          <w:trHeight w:val="239"/>
        </w:trPr>
        <w:tc>
          <w:tcPr>
            <w:tcW w:w="2100" w:type="dxa"/>
            <w:vAlign w:val="bottom"/>
          </w:tcPr>
          <w:p>
            <w:pPr>
              <w:spacing w:after="0"/>
              <w:rPr>
                <w:sz w:val="20"/>
                <w:szCs w:val="20"/>
                <w:color w:val="auto"/>
              </w:rPr>
            </w:pPr>
          </w:p>
        </w:tc>
        <w:tc>
          <w:tcPr>
            <w:tcW w:w="9140" w:type="dxa"/>
            <w:vAlign w:val="bottom"/>
            <w:gridSpan w:val="2"/>
          </w:tcPr>
          <w:p>
            <w:pPr>
              <w:ind w:left="740"/>
              <w:spacing w:after="0"/>
              <w:rPr>
                <w:sz w:val="20"/>
                <w:szCs w:val="20"/>
                <w:color w:val="auto"/>
              </w:rPr>
            </w:pPr>
            <w:r>
              <w:rPr>
                <w:rFonts w:ascii="Arial" w:cs="Arial" w:eastAsia="Arial" w:hAnsi="Arial"/>
                <w:sz w:val="18"/>
                <w:szCs w:val="18"/>
                <w:color w:val="auto"/>
              </w:rPr>
              <w:t>year with a dividend increase.</w:t>
            </w:r>
          </w:p>
        </w:tc>
        <w:tc>
          <w:tcPr>
            <w:tcW w:w="0" w:type="dxa"/>
            <w:vAlign w:val="bottom"/>
          </w:tcPr>
          <w:p>
            <w:pPr>
              <w:spacing w:after="0"/>
              <w:rPr>
                <w:sz w:val="1"/>
                <w:szCs w:val="1"/>
                <w:color w:val="auto"/>
              </w:rPr>
            </w:pPr>
          </w:p>
        </w:tc>
      </w:tr>
      <w:tr>
        <w:trPr>
          <w:trHeight w:val="409"/>
        </w:trPr>
        <w:tc>
          <w:tcPr>
            <w:tcW w:w="2100" w:type="dxa"/>
            <w:vAlign w:val="bottom"/>
          </w:tcPr>
          <w:p>
            <w:pPr>
              <w:spacing w:after="0"/>
              <w:rPr>
                <w:sz w:val="24"/>
                <w:szCs w:val="24"/>
                <w:color w:val="auto"/>
              </w:rPr>
            </w:pPr>
          </w:p>
        </w:tc>
        <w:tc>
          <w:tcPr>
            <w:tcW w:w="9140" w:type="dxa"/>
            <w:vAlign w:val="bottom"/>
            <w:gridSpan w:val="2"/>
          </w:tcPr>
          <w:p>
            <w:pPr>
              <w:ind w:left="500"/>
              <w:spacing w:after="0"/>
              <w:rPr>
                <w:sz w:val="20"/>
                <w:szCs w:val="20"/>
                <w:color w:val="auto"/>
              </w:rPr>
            </w:pPr>
            <w:r>
              <w:rPr>
                <w:rFonts w:ascii="Arial" w:cs="Arial" w:eastAsia="Arial" w:hAnsi="Arial"/>
                <w:sz w:val="18"/>
                <w:szCs w:val="18"/>
                <w:color w:val="auto"/>
              </w:rPr>
              <w:t>•  We delivered annualized total shareholder return (TSR) of -14.65%, 12.08% and 2.22% over the</w:t>
            </w:r>
          </w:p>
        </w:tc>
        <w:tc>
          <w:tcPr>
            <w:tcW w:w="0" w:type="dxa"/>
            <w:vAlign w:val="bottom"/>
          </w:tcPr>
          <w:p>
            <w:pPr>
              <w:spacing w:after="0"/>
              <w:rPr>
                <w:sz w:val="1"/>
                <w:szCs w:val="1"/>
                <w:color w:val="auto"/>
              </w:rPr>
            </w:pPr>
          </w:p>
        </w:tc>
      </w:tr>
      <w:tr>
        <w:trPr>
          <w:trHeight w:val="239"/>
        </w:trPr>
        <w:tc>
          <w:tcPr>
            <w:tcW w:w="2100" w:type="dxa"/>
            <w:vAlign w:val="bottom"/>
          </w:tcPr>
          <w:p>
            <w:pPr>
              <w:spacing w:after="0"/>
              <w:rPr>
                <w:sz w:val="20"/>
                <w:szCs w:val="20"/>
                <w:color w:val="auto"/>
              </w:rPr>
            </w:pPr>
          </w:p>
        </w:tc>
        <w:tc>
          <w:tcPr>
            <w:tcW w:w="9140" w:type="dxa"/>
            <w:vAlign w:val="bottom"/>
            <w:gridSpan w:val="2"/>
          </w:tcPr>
          <w:p>
            <w:pPr>
              <w:ind w:left="740"/>
              <w:spacing w:after="0"/>
              <w:rPr>
                <w:sz w:val="20"/>
                <w:szCs w:val="20"/>
                <w:color w:val="auto"/>
              </w:rPr>
            </w:pPr>
            <w:r>
              <w:rPr>
                <w:rFonts w:ascii="Arial" w:cs="Arial" w:eastAsia="Arial" w:hAnsi="Arial"/>
                <w:sz w:val="18"/>
                <w:szCs w:val="18"/>
                <w:color w:val="auto"/>
              </w:rPr>
              <w:t>past one-year, five-years and ten-years, respectively.</w:t>
            </w:r>
          </w:p>
        </w:tc>
        <w:tc>
          <w:tcPr>
            <w:tcW w:w="0" w:type="dxa"/>
            <w:vAlign w:val="bottom"/>
          </w:tcPr>
          <w:p>
            <w:pPr>
              <w:spacing w:after="0"/>
              <w:rPr>
                <w:sz w:val="1"/>
                <w:szCs w:val="1"/>
                <w:color w:val="auto"/>
              </w:rPr>
            </w:pPr>
          </w:p>
        </w:tc>
      </w:tr>
      <w:tr>
        <w:trPr>
          <w:trHeight w:val="23"/>
        </w:trPr>
        <w:tc>
          <w:tcPr>
            <w:tcW w:w="2100" w:type="dxa"/>
            <w:vAlign w:val="bottom"/>
            <w:tcBorders>
              <w:bottom w:val="single" w:sz="8" w:color="auto"/>
            </w:tcBorders>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5"/>
        </w:trPr>
        <w:tc>
          <w:tcPr>
            <w:tcW w:w="2100" w:type="dxa"/>
            <w:vAlign w:val="bottom"/>
          </w:tcPr>
          <w:p>
            <w:pPr>
              <w:spacing w:after="0"/>
              <w:rPr>
                <w:sz w:val="24"/>
                <w:szCs w:val="24"/>
                <w:color w:val="auto"/>
              </w:rPr>
            </w:pPr>
          </w:p>
        </w:tc>
        <w:tc>
          <w:tcPr>
            <w:tcW w:w="8540" w:type="dxa"/>
            <w:vAlign w:val="bottom"/>
          </w:tcPr>
          <w:p>
            <w:pPr>
              <w:ind w:left="348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100" w:type="dxa"/>
            <w:vAlign w:val="bottom"/>
            <w:tcBorders>
              <w:bottom w:val="single" w:sz="8" w:color="9A9A9A"/>
            </w:tcBorders>
          </w:tcPr>
          <w:p>
            <w:pPr>
              <w:spacing w:after="0"/>
              <w:rPr>
                <w:sz w:val="7"/>
                <w:szCs w:val="7"/>
                <w:color w:val="auto"/>
              </w:rPr>
            </w:pPr>
          </w:p>
        </w:tc>
        <w:tc>
          <w:tcPr>
            <w:tcW w:w="85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6" w:name="page7"/>
    <w:bookmarkEnd w:id="6"/>
    <w:p>
      <w:pPr>
        <w:spacing w:after="0"/>
        <w:rPr>
          <w:sz w:val="20"/>
          <w:szCs w:val="20"/>
          <w:color w:val="auto"/>
        </w:rPr>
      </w:pPr>
      <w:r>
        <w:rPr>
          <w:rFonts w:ascii="Arial" w:cs="Arial" w:eastAsia="Arial" w:hAnsi="Arial"/>
          <w:sz w:val="29"/>
          <w:szCs w:val="29"/>
          <w:b w:val="1"/>
          <w:bCs w:val="1"/>
          <w:color w:val="05445E"/>
        </w:rPr>
        <w:t>Executive Compensation Program</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compensation programs are designed to attract, motivate and retain executive talent to achieve success in both the short- and long-term for our Company; pay for sustainable performance in an ever-changing environment; and align the interests of our executive officers with our shareholders. We continue to refine our executive compensation program to reflect changes in our business strategy and evolving executive compensation practices.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Executive Compensation Highlights</w:t>
      </w:r>
    </w:p>
    <w:p>
      <w:pPr>
        <w:spacing w:after="0" w:line="223" w:lineRule="exact"/>
        <w:rPr>
          <w:sz w:val="20"/>
          <w:szCs w:val="20"/>
          <w:color w:val="auto"/>
        </w:rPr>
      </w:pPr>
    </w:p>
    <w:p>
      <w:pPr>
        <w:ind w:left="980" w:hanging="324"/>
        <w:spacing w:after="0" w:line="287" w:lineRule="auto"/>
        <w:tabs>
          <w:tab w:leader="none" w:pos="975" w:val="left"/>
        </w:tabs>
        <w:numPr>
          <w:ilvl w:val="0"/>
          <w:numId w:val="7"/>
        </w:numPr>
        <w:rPr>
          <w:rFonts w:ascii="Arial" w:cs="Arial" w:eastAsia="Arial" w:hAnsi="Arial"/>
          <w:sz w:val="18"/>
          <w:szCs w:val="18"/>
          <w:b w:val="1"/>
          <w:bCs w:val="1"/>
          <w:color w:val="05445E"/>
        </w:rPr>
      </w:pPr>
      <w:r>
        <w:rPr>
          <w:rFonts w:ascii="Arial" w:cs="Arial" w:eastAsia="Arial" w:hAnsi="Arial"/>
          <w:sz w:val="18"/>
          <w:szCs w:val="18"/>
          <w:color w:val="auto"/>
        </w:rPr>
        <w:t>We seek alignment of pay and performance each year. A significant portion of our compensation program is performance-based through the use of short- and long-term incentive plans that have multiple financial performance metrics.</w:t>
      </w:r>
    </w:p>
    <w:p>
      <w:pPr>
        <w:spacing w:after="0" w:line="152" w:lineRule="exact"/>
        <w:rPr>
          <w:rFonts w:ascii="Arial" w:cs="Arial" w:eastAsia="Arial" w:hAnsi="Arial"/>
          <w:sz w:val="18"/>
          <w:szCs w:val="18"/>
          <w:b w:val="1"/>
          <w:bCs w:val="1"/>
          <w:color w:val="05445E"/>
        </w:rPr>
      </w:pPr>
    </w:p>
    <w:p>
      <w:pPr>
        <w:ind w:left="980" w:hanging="324"/>
        <w:spacing w:after="0" w:line="287" w:lineRule="auto"/>
        <w:tabs>
          <w:tab w:leader="none" w:pos="975" w:val="left"/>
        </w:tabs>
        <w:numPr>
          <w:ilvl w:val="0"/>
          <w:numId w:val="7"/>
        </w:numPr>
        <w:rPr>
          <w:rFonts w:ascii="Arial" w:cs="Arial" w:eastAsia="Arial" w:hAnsi="Arial"/>
          <w:sz w:val="18"/>
          <w:szCs w:val="18"/>
          <w:b w:val="1"/>
          <w:bCs w:val="1"/>
          <w:color w:val="05445E"/>
        </w:rPr>
      </w:pPr>
      <w:r>
        <w:rPr>
          <w:rFonts w:ascii="Arial" w:cs="Arial" w:eastAsia="Arial" w:hAnsi="Arial"/>
          <w:sz w:val="18"/>
          <w:szCs w:val="18"/>
          <w:color w:val="auto"/>
        </w:rPr>
        <w:t>We annually disclose Company performance against the established performance metrics for our annual cash incentive in our proxy statement.</w:t>
      </w:r>
    </w:p>
    <w:p>
      <w:pPr>
        <w:spacing w:after="0" w:line="152" w:lineRule="exact"/>
        <w:rPr>
          <w:rFonts w:ascii="Arial" w:cs="Arial" w:eastAsia="Arial" w:hAnsi="Arial"/>
          <w:sz w:val="18"/>
          <w:szCs w:val="18"/>
          <w:b w:val="1"/>
          <w:bCs w:val="1"/>
          <w:color w:val="05445E"/>
        </w:rPr>
      </w:pPr>
    </w:p>
    <w:p>
      <w:pPr>
        <w:jc w:val="both"/>
        <w:ind w:left="980" w:hanging="324"/>
        <w:spacing w:after="0" w:line="257" w:lineRule="auto"/>
        <w:tabs>
          <w:tab w:leader="none" w:pos="975" w:val="left"/>
        </w:tabs>
        <w:numPr>
          <w:ilvl w:val="0"/>
          <w:numId w:val="7"/>
        </w:numPr>
        <w:rPr>
          <w:rFonts w:ascii="Arial" w:cs="Arial" w:eastAsia="Arial" w:hAnsi="Arial"/>
          <w:sz w:val="18"/>
          <w:szCs w:val="18"/>
          <w:b w:val="1"/>
          <w:bCs w:val="1"/>
          <w:color w:val="05445E"/>
        </w:rPr>
      </w:pPr>
      <w:r>
        <w:rPr>
          <w:rFonts w:ascii="Arial" w:cs="Arial" w:eastAsia="Arial" w:hAnsi="Arial"/>
          <w:sz w:val="18"/>
          <w:szCs w:val="18"/>
          <w:color w:val="auto"/>
        </w:rPr>
        <w:t xml:space="preserve">Our long-term incentive compensation program consists of annual restricted stock awards that vest over three years and annual performance awards with overlapping three-year performance periods that vest at the end of the performance period based on our three-year cumulative adjusted diluted earnings per share ("Adjusted Diluted EPS") and three-year average adjusted return on invested capital (“Adjusted ROIC”) over the performance period and that settle 50% in shares and 50% in cash. (Adjusted Diluted EPS and Adjusted ROIC are non-GAAP financial measures. See discussion of non-GAAP financial measures on page </w:t>
      </w:r>
      <w:r>
        <w:rPr>
          <w:rFonts w:ascii="Arial" w:cs="Arial" w:eastAsia="Arial" w:hAnsi="Arial"/>
          <w:sz w:val="18"/>
          <w:szCs w:val="18"/>
          <w:u w:val="single" w:color="auto"/>
          <w:color w:val="0000FF"/>
        </w:rPr>
        <w:t>35</w:t>
      </w:r>
      <w:r>
        <w:rPr>
          <w:rFonts w:ascii="Arial" w:cs="Arial" w:eastAsia="Arial" w:hAnsi="Arial"/>
          <w:sz w:val="18"/>
          <w:szCs w:val="18"/>
          <w:color w:val="000000"/>
        </w:rPr>
        <w:t>.)</w:t>
      </w:r>
    </w:p>
    <w:p>
      <w:pPr>
        <w:spacing w:after="0" w:line="182" w:lineRule="exact"/>
        <w:rPr>
          <w:rFonts w:ascii="Arial" w:cs="Arial" w:eastAsia="Arial" w:hAnsi="Arial"/>
          <w:sz w:val="18"/>
          <w:szCs w:val="18"/>
          <w:b w:val="1"/>
          <w:bCs w:val="1"/>
          <w:color w:val="05445E"/>
        </w:rPr>
      </w:pPr>
    </w:p>
    <w:p>
      <w:pPr>
        <w:ind w:left="980" w:hanging="324"/>
        <w:spacing w:after="0"/>
        <w:tabs>
          <w:tab w:leader="none" w:pos="980" w:val="left"/>
        </w:tabs>
        <w:numPr>
          <w:ilvl w:val="0"/>
          <w:numId w:val="7"/>
        </w:numPr>
        <w:rPr>
          <w:rFonts w:ascii="Arial" w:cs="Arial" w:eastAsia="Arial" w:hAnsi="Arial"/>
          <w:sz w:val="18"/>
          <w:szCs w:val="18"/>
          <w:b w:val="1"/>
          <w:bCs w:val="1"/>
          <w:color w:val="05445E"/>
        </w:rPr>
      </w:pPr>
      <w:r>
        <w:rPr>
          <w:rFonts w:ascii="Arial" w:cs="Arial" w:eastAsia="Arial" w:hAnsi="Arial"/>
          <w:sz w:val="18"/>
          <w:szCs w:val="18"/>
          <w:color w:val="auto"/>
        </w:rPr>
        <w:t>We deliver a significant portion of potential total compensation to our executive officers in the form of equity.</w:t>
      </w:r>
    </w:p>
    <w:p>
      <w:pPr>
        <w:spacing w:after="0" w:line="225" w:lineRule="exact"/>
        <w:rPr>
          <w:rFonts w:ascii="Arial" w:cs="Arial" w:eastAsia="Arial" w:hAnsi="Arial"/>
          <w:sz w:val="18"/>
          <w:szCs w:val="18"/>
          <w:b w:val="1"/>
          <w:bCs w:val="1"/>
          <w:color w:val="05445E"/>
        </w:rPr>
      </w:pPr>
    </w:p>
    <w:p>
      <w:pPr>
        <w:jc w:val="both"/>
        <w:ind w:left="980" w:hanging="324"/>
        <w:spacing w:after="0" w:line="257" w:lineRule="auto"/>
        <w:tabs>
          <w:tab w:leader="none" w:pos="975" w:val="left"/>
        </w:tabs>
        <w:numPr>
          <w:ilvl w:val="0"/>
          <w:numId w:val="7"/>
        </w:numPr>
        <w:rPr>
          <w:rFonts w:ascii="Arial" w:cs="Arial" w:eastAsia="Arial" w:hAnsi="Arial"/>
          <w:sz w:val="18"/>
          <w:szCs w:val="18"/>
          <w:b w:val="1"/>
          <w:bCs w:val="1"/>
          <w:color w:val="05445E"/>
        </w:rPr>
      </w:pPr>
      <w:r>
        <w:rPr>
          <w:rFonts w:ascii="Arial" w:cs="Arial" w:eastAsia="Arial" w:hAnsi="Arial"/>
          <w:sz w:val="18"/>
          <w:szCs w:val="18"/>
          <w:color w:val="auto"/>
        </w:rPr>
        <w:t>We have stock ownership guidelines for our Chief Executive Officer that require an ownership level of five times their annual base salary, three times their annual salary for our Chief Financial Officer, two times their annual salaries for corporate executive officers and segment presidents, including Messrs. Jewell, T. Johnson and Ms. Trende, and one times their annual salaries for other corporate executives. Messrs. Silberhorn, Jewell, and T. Johnson achieved the required ownership levels within the required grace period. Mr. Osberg and Ms. Trende are on pace to achieve their ownership level requirement within the five-year period.</w:t>
      </w:r>
    </w:p>
    <w:p>
      <w:pPr>
        <w:spacing w:after="0" w:line="182" w:lineRule="exact"/>
        <w:rPr>
          <w:rFonts w:ascii="Arial" w:cs="Arial" w:eastAsia="Arial" w:hAnsi="Arial"/>
          <w:sz w:val="18"/>
          <w:szCs w:val="18"/>
          <w:b w:val="1"/>
          <w:bCs w:val="1"/>
          <w:color w:val="05445E"/>
        </w:rPr>
      </w:pPr>
    </w:p>
    <w:p>
      <w:pPr>
        <w:jc w:val="both"/>
        <w:ind w:left="980" w:hanging="324"/>
        <w:spacing w:after="0" w:line="268" w:lineRule="auto"/>
        <w:tabs>
          <w:tab w:leader="none" w:pos="975" w:val="left"/>
        </w:tabs>
        <w:numPr>
          <w:ilvl w:val="0"/>
          <w:numId w:val="7"/>
        </w:numPr>
        <w:rPr>
          <w:rFonts w:ascii="Arial" w:cs="Arial" w:eastAsia="Arial" w:hAnsi="Arial"/>
          <w:sz w:val="18"/>
          <w:szCs w:val="18"/>
          <w:b w:val="1"/>
          <w:bCs w:val="1"/>
          <w:color w:val="05445E"/>
        </w:rPr>
      </w:pPr>
      <w:r>
        <w:rPr>
          <w:rFonts w:ascii="Arial" w:cs="Arial" w:eastAsia="Arial" w:hAnsi="Arial"/>
          <w:sz w:val="18"/>
          <w:szCs w:val="18"/>
          <w:color w:val="auto"/>
        </w:rPr>
        <w:t>We have “clawback” policies that we amended in 2023 to comply with the incentive compensation recovery rules adopted by the SEC and Nasdaq. We have a clawback policy that provides for similar recoupment rights from participants in our executive compensation program.</w:t>
      </w:r>
    </w:p>
    <w:p>
      <w:pPr>
        <w:spacing w:after="0" w:line="170" w:lineRule="exact"/>
        <w:rPr>
          <w:rFonts w:ascii="Arial" w:cs="Arial" w:eastAsia="Arial" w:hAnsi="Arial"/>
          <w:sz w:val="18"/>
          <w:szCs w:val="18"/>
          <w:b w:val="1"/>
          <w:bCs w:val="1"/>
          <w:color w:val="05445E"/>
        </w:rPr>
      </w:pPr>
    </w:p>
    <w:p>
      <w:pPr>
        <w:jc w:val="both"/>
        <w:ind w:left="980" w:hanging="324"/>
        <w:spacing w:after="0" w:line="259" w:lineRule="auto"/>
        <w:tabs>
          <w:tab w:leader="none" w:pos="975" w:val="left"/>
        </w:tabs>
        <w:numPr>
          <w:ilvl w:val="0"/>
          <w:numId w:val="7"/>
        </w:numPr>
        <w:rPr>
          <w:rFonts w:ascii="Arial" w:cs="Arial" w:eastAsia="Arial" w:hAnsi="Arial"/>
          <w:sz w:val="18"/>
          <w:szCs w:val="18"/>
          <w:b w:val="1"/>
          <w:bCs w:val="1"/>
          <w:color w:val="05445E"/>
        </w:rPr>
      </w:pPr>
      <w:r>
        <w:rPr>
          <w:rFonts w:ascii="Arial" w:cs="Arial" w:eastAsia="Arial" w:hAnsi="Arial"/>
          <w:sz w:val="18"/>
          <w:szCs w:val="18"/>
          <w:color w:val="auto"/>
        </w:rPr>
        <w:t>We have a hedging policy that prohibits all employees and directors from engaging in hedging transactions in our Company’s securities. We also have an anti-pledging policy that prohibits executive officers and directors of the Company from, directly or indirectly, pledging, hypothecating, or otherwise encumbering shares of the Company’s common stock as collateral for indebtedness. None of our executive officers have pledged any shares of our common stock as security or collateral on a personal loan.</w:t>
      </w:r>
    </w:p>
    <w:p>
      <w:pPr>
        <w:spacing w:after="0" w:line="179" w:lineRule="exact"/>
        <w:rPr>
          <w:rFonts w:ascii="Arial" w:cs="Arial" w:eastAsia="Arial" w:hAnsi="Arial"/>
          <w:sz w:val="18"/>
          <w:szCs w:val="18"/>
          <w:b w:val="1"/>
          <w:bCs w:val="1"/>
          <w:color w:val="05445E"/>
        </w:rPr>
      </w:pPr>
    </w:p>
    <w:p>
      <w:pPr>
        <w:ind w:left="980" w:hanging="324"/>
        <w:spacing w:after="0" w:line="287" w:lineRule="auto"/>
        <w:tabs>
          <w:tab w:leader="none" w:pos="975" w:val="left"/>
        </w:tabs>
        <w:numPr>
          <w:ilvl w:val="0"/>
          <w:numId w:val="7"/>
        </w:numPr>
        <w:rPr>
          <w:rFonts w:ascii="Arial" w:cs="Arial" w:eastAsia="Arial" w:hAnsi="Arial"/>
          <w:sz w:val="18"/>
          <w:szCs w:val="18"/>
          <w:b w:val="1"/>
          <w:bCs w:val="1"/>
          <w:color w:val="05445E"/>
        </w:rPr>
      </w:pPr>
      <w:r>
        <w:rPr>
          <w:rFonts w:ascii="Arial" w:cs="Arial" w:eastAsia="Arial" w:hAnsi="Arial"/>
          <w:sz w:val="18"/>
          <w:szCs w:val="18"/>
          <w:color w:val="auto"/>
        </w:rPr>
        <w:t>Our “double-trigger” change-in-control agreements do not provide for any excise tax “gross-ups,” and we do not provide any tax “gross-ups” on any benefits for our executive officers.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Fiscal 2025 Executive Compensation Actions</w:t>
      </w:r>
    </w:p>
    <w:p>
      <w:pPr>
        <w:spacing w:after="0" w:line="223" w:lineRule="exact"/>
        <w:rPr>
          <w:sz w:val="20"/>
          <w:szCs w:val="20"/>
          <w:color w:val="auto"/>
        </w:rPr>
      </w:pPr>
    </w:p>
    <w:p>
      <w:pPr>
        <w:jc w:val="both"/>
        <w:ind w:left="980" w:hanging="324"/>
        <w:spacing w:after="0" w:line="259" w:lineRule="auto"/>
        <w:tabs>
          <w:tab w:leader="none" w:pos="975" w:val="left"/>
        </w:tabs>
        <w:numPr>
          <w:ilvl w:val="0"/>
          <w:numId w:val="8"/>
        </w:numPr>
        <w:rPr>
          <w:rFonts w:ascii="Arial" w:cs="Arial" w:eastAsia="Arial" w:hAnsi="Arial"/>
          <w:sz w:val="18"/>
          <w:szCs w:val="18"/>
          <w:b w:val="1"/>
          <w:bCs w:val="1"/>
          <w:color w:val="05445E"/>
        </w:rPr>
      </w:pPr>
      <w:r>
        <w:rPr>
          <w:rFonts w:ascii="Arial" w:cs="Arial" w:eastAsia="Arial" w:hAnsi="Arial"/>
          <w:sz w:val="18"/>
          <w:szCs w:val="18"/>
          <w:u w:val="single" w:color="auto"/>
          <w:color w:val="auto"/>
        </w:rPr>
        <w:t>Base Salaries</w:t>
      </w:r>
      <w:r>
        <w:rPr>
          <w:rFonts w:ascii="Arial" w:cs="Arial" w:eastAsia="Arial" w:hAnsi="Arial"/>
          <w:sz w:val="18"/>
          <w:szCs w:val="18"/>
          <w:color w:val="auto"/>
        </w:rPr>
        <w:t xml:space="preserve">. For fiscal 2025, the Committee awarded a base salary increase of 3.56% to Mr. Silberhorn, our Chief Executive Officer. Among our Other Named Executive Officers, Messrs. Osberg, Jewell and T. Johnson received base salary increases ranging from 2.39% to 2.71%. Ms. Trende's base salary was established when she joined the Company on July 29, 2024 during fiscal 2025. See “Fiscal 2025 Individual Compensation Actions” beginning on page </w:t>
      </w:r>
      <w:r>
        <w:rPr>
          <w:rFonts w:ascii="Arial" w:cs="Arial" w:eastAsia="Arial" w:hAnsi="Arial"/>
          <w:sz w:val="18"/>
          <w:szCs w:val="18"/>
          <w:u w:val="single" w:color="auto"/>
          <w:color w:val="0000FF"/>
        </w:rPr>
        <w:t>42</w:t>
      </w:r>
      <w:r>
        <w:rPr>
          <w:rFonts w:ascii="Arial" w:cs="Arial" w:eastAsia="Arial" w:hAnsi="Arial"/>
          <w:sz w:val="18"/>
          <w:szCs w:val="18"/>
          <w:color w:val="auto"/>
        </w:rPr>
        <w:t xml:space="preserve"> for a discussion of factors considered in establishing base salaries and subsequent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7" w:name="page8"/>
    <w:bookmarkEnd w:id="7"/>
    <w:p>
      <w:pPr>
        <w:jc w:val="both"/>
        <w:ind w:left="324" w:hanging="324"/>
        <w:spacing w:after="0" w:line="255" w:lineRule="auto"/>
        <w:tabs>
          <w:tab w:leader="none" w:pos="319" w:val="left"/>
        </w:tabs>
        <w:numPr>
          <w:ilvl w:val="0"/>
          <w:numId w:val="9"/>
        </w:numPr>
        <w:rPr>
          <w:rFonts w:ascii="Arial" w:cs="Arial" w:eastAsia="Arial" w:hAnsi="Arial"/>
          <w:sz w:val="18"/>
          <w:szCs w:val="18"/>
          <w:b w:val="1"/>
          <w:bCs w:val="1"/>
          <w:color w:val="05445E"/>
        </w:rPr>
      </w:pPr>
      <w:r>
        <w:rPr>
          <w:rFonts w:ascii="Arial" w:cs="Arial" w:eastAsia="Arial" w:hAnsi="Arial"/>
          <w:sz w:val="18"/>
          <w:szCs w:val="18"/>
          <w:u w:val="single" w:color="auto"/>
          <w:color w:val="auto"/>
        </w:rPr>
        <w:t>Annual Cash Incentive Payouts</w:t>
      </w:r>
      <w:r>
        <w:rPr>
          <w:rFonts w:ascii="Arial" w:cs="Arial" w:eastAsia="Arial" w:hAnsi="Arial"/>
          <w:sz w:val="18"/>
          <w:szCs w:val="18"/>
          <w:color w:val="auto"/>
        </w:rPr>
        <w:t xml:space="preserve">. Our annual cash incentive awards are designed to reward achievement of financial goals established in our annual operating plan. For Messrs. Silberhorn and Osberg, whose payouts were based on consolidated performance metrics, the fiscal 2025 annual cash incentive paid out at 84.04% of target. For Messrs. Jewell and T. Johnson, whose payouts were based on segment as well as consolidated performance metrics, the fiscal 2025 annual cash incentive paid out at 123.38% and 170.22% of target, respectively. </w:t>
      </w:r>
      <w:r>
        <w:rPr>
          <w:rFonts w:ascii="Arial" w:cs="Arial" w:eastAsia="Arial" w:hAnsi="Arial"/>
          <w:sz w:val="18"/>
          <w:szCs w:val="18"/>
          <w:color w:val="0A0A0A"/>
        </w:rPr>
        <w:t>Ms. Trende, who joined the Company during fiscal 2025, received a cash</w:t>
      </w:r>
      <w:r>
        <w:rPr>
          <w:rFonts w:ascii="Arial" w:cs="Arial" w:eastAsia="Arial" w:hAnsi="Arial"/>
          <w:sz w:val="18"/>
          <w:szCs w:val="18"/>
          <w:color w:val="auto"/>
        </w:rPr>
        <w:t xml:space="preserve"> </w:t>
      </w:r>
      <w:r>
        <w:rPr>
          <w:rFonts w:ascii="Arial" w:cs="Arial" w:eastAsia="Arial" w:hAnsi="Arial"/>
          <w:sz w:val="18"/>
          <w:szCs w:val="18"/>
          <w:color w:val="0A0A0A"/>
        </w:rPr>
        <w:t xml:space="preserve">incentive paid out at 100% of target as set forth in her "Offer Letter" as described below. </w:t>
      </w:r>
      <w:r>
        <w:rPr>
          <w:rFonts w:ascii="Arial" w:cs="Arial" w:eastAsia="Arial" w:hAnsi="Arial"/>
          <w:sz w:val="18"/>
          <w:szCs w:val="18"/>
          <w:color w:val="000000"/>
        </w:rPr>
        <w:t>See “Fiscal 2025 Annual Cash Incentive</w:t>
      </w:r>
      <w:r>
        <w:rPr>
          <w:rFonts w:ascii="Arial" w:cs="Arial" w:eastAsia="Arial" w:hAnsi="Arial"/>
          <w:sz w:val="18"/>
          <w:szCs w:val="18"/>
          <w:color w:val="0A0A0A"/>
        </w:rPr>
        <w:t xml:space="preserve"> </w:t>
      </w:r>
      <w:r>
        <w:rPr>
          <w:rFonts w:ascii="Arial" w:cs="Arial" w:eastAsia="Arial" w:hAnsi="Arial"/>
          <w:sz w:val="18"/>
          <w:szCs w:val="18"/>
          <w:color w:val="000000"/>
        </w:rPr>
        <w:t xml:space="preserve">Payouts” beginning on page </w:t>
      </w:r>
      <w:r>
        <w:rPr>
          <w:rFonts w:ascii="Arial" w:cs="Arial" w:eastAsia="Arial" w:hAnsi="Arial"/>
          <w:sz w:val="18"/>
          <w:szCs w:val="18"/>
          <w:u w:val="single" w:color="auto"/>
          <w:color w:val="0000FF"/>
        </w:rPr>
        <w:t>44</w:t>
      </w:r>
      <w:r>
        <w:rPr>
          <w:rFonts w:ascii="Arial" w:cs="Arial" w:eastAsia="Arial" w:hAnsi="Arial"/>
          <w:sz w:val="18"/>
          <w:szCs w:val="18"/>
          <w:color w:val="000000"/>
        </w:rPr>
        <w:t xml:space="preserve"> for a discussion of the metrics, goals and amounts paid to our Named Executive Officers for our annual cash incentive awards in fiscal 2025.</w:t>
      </w:r>
    </w:p>
    <w:p>
      <w:pPr>
        <w:spacing w:after="0" w:line="184" w:lineRule="exact"/>
        <w:rPr>
          <w:rFonts w:ascii="Arial" w:cs="Arial" w:eastAsia="Arial" w:hAnsi="Arial"/>
          <w:sz w:val="18"/>
          <w:szCs w:val="18"/>
          <w:b w:val="1"/>
          <w:bCs w:val="1"/>
          <w:color w:val="05445E"/>
        </w:rPr>
      </w:pPr>
    </w:p>
    <w:p>
      <w:pPr>
        <w:jc w:val="both"/>
        <w:ind w:left="324" w:hanging="324"/>
        <w:spacing w:after="0" w:line="253" w:lineRule="auto"/>
        <w:tabs>
          <w:tab w:leader="none" w:pos="319" w:val="left"/>
        </w:tabs>
        <w:numPr>
          <w:ilvl w:val="0"/>
          <w:numId w:val="9"/>
        </w:numPr>
        <w:rPr>
          <w:rFonts w:ascii="Arial" w:cs="Arial" w:eastAsia="Arial" w:hAnsi="Arial"/>
          <w:sz w:val="18"/>
          <w:szCs w:val="18"/>
          <w:b w:val="1"/>
          <w:bCs w:val="1"/>
          <w:color w:val="05445E"/>
        </w:rPr>
      </w:pPr>
      <w:r>
        <w:rPr>
          <w:rFonts w:ascii="Arial" w:cs="Arial" w:eastAsia="Arial" w:hAnsi="Arial"/>
          <w:sz w:val="18"/>
          <w:szCs w:val="18"/>
          <w:u w:val="single" w:color="auto"/>
          <w:color w:val="auto"/>
        </w:rPr>
        <w:t>Long-Term Incentive Awards</w:t>
      </w:r>
      <w:r>
        <w:rPr>
          <w:rFonts w:ascii="Arial" w:cs="Arial" w:eastAsia="Arial" w:hAnsi="Arial"/>
          <w:sz w:val="18"/>
          <w:szCs w:val="18"/>
          <w:color w:val="auto"/>
        </w:rPr>
        <w:t xml:space="preserve">. Beginning in fiscal 2025, our long-term incentive program for our Other Named Executive Officers is comprised of: (i) 50% time-based restricted stock awards that vest ratably over three years; and (ii) 50% performance awards with a three-year performance period, which settle 50% in cash and 50% in stock and are paid out at the end of the period based on the Company’s cumulative Adjusted Diluted EPS and average Adjusted ROIC over the three-year performance period. We added Adjusted Diluted EPS as a metric in fiscal 2025 in order to diversify and balance our performance metrics, incentivizing earnings growth as well as return on invested capital. Mr. Silberhorn’s long-term incentive awards in fiscal 2025 consisted of 40% time-based restricted stock and 60% as a performance award with terms consistent with those provided to the Other Named Executive Officers. In fiscal 2025, Mr. Silberhorn received a restricted stock award valued at $1,211,581 and a performance award with a target payout of $1,817,386 and Messrs. Osberg, Jewell, and T. Johnson received restricted stock awards with values ranging from $192,592 to $484,483 and performance awards with target payouts ranging from $256,774 to $484,491. </w:t>
      </w:r>
      <w:r>
        <w:rPr>
          <w:rFonts w:ascii="Arial" w:cs="Arial" w:eastAsia="Arial" w:hAnsi="Arial"/>
          <w:sz w:val="18"/>
          <w:szCs w:val="18"/>
          <w:color w:val="0A0A0A"/>
        </w:rPr>
        <w:t>Ms.</w:t>
      </w:r>
      <w:r>
        <w:rPr>
          <w:rFonts w:ascii="Arial" w:cs="Arial" w:eastAsia="Arial" w:hAnsi="Arial"/>
          <w:sz w:val="18"/>
          <w:szCs w:val="18"/>
          <w:color w:val="auto"/>
        </w:rPr>
        <w:t xml:space="preserve"> </w:t>
      </w:r>
      <w:r>
        <w:rPr>
          <w:rFonts w:ascii="Arial" w:cs="Arial" w:eastAsia="Arial" w:hAnsi="Arial"/>
          <w:sz w:val="18"/>
          <w:szCs w:val="18"/>
          <w:color w:val="0A0A0A"/>
        </w:rPr>
        <w:t xml:space="preserve">Trende joined the Company on July 29, 2024 during fiscal 2025. On that date, in addition to her new hire inducement award, she received a restricted stock award with a value of $245,970 and a performance award with a target payout of $246,019. </w:t>
      </w:r>
      <w:r>
        <w:rPr>
          <w:rFonts w:ascii="Arial" w:cs="Arial" w:eastAsia="Arial" w:hAnsi="Arial"/>
          <w:sz w:val="18"/>
          <w:szCs w:val="18"/>
          <w:color w:val="000000"/>
        </w:rPr>
        <w:t>See</w:t>
      </w:r>
      <w:r>
        <w:rPr>
          <w:rFonts w:ascii="Arial" w:cs="Arial" w:eastAsia="Arial" w:hAnsi="Arial"/>
          <w:sz w:val="18"/>
          <w:szCs w:val="18"/>
          <w:color w:val="0A0A0A"/>
        </w:rPr>
        <w:t xml:space="preserve"> </w:t>
      </w:r>
      <w:r>
        <w:rPr>
          <w:rFonts w:ascii="Arial" w:cs="Arial" w:eastAsia="Arial" w:hAnsi="Arial"/>
          <w:sz w:val="18"/>
          <w:szCs w:val="18"/>
          <w:color w:val="000000"/>
        </w:rPr>
        <w:t xml:space="preserve">“Long-Term Incentive Compensation” beginning on page </w:t>
      </w:r>
      <w:r>
        <w:rPr>
          <w:rFonts w:ascii="Arial" w:cs="Arial" w:eastAsia="Arial" w:hAnsi="Arial"/>
          <w:sz w:val="18"/>
          <w:szCs w:val="18"/>
          <w:u w:val="single" w:color="auto"/>
          <w:color w:val="0000FF"/>
        </w:rPr>
        <w:t>46</w:t>
      </w:r>
      <w:r>
        <w:rPr>
          <w:rFonts w:ascii="Arial" w:cs="Arial" w:eastAsia="Arial" w:hAnsi="Arial"/>
          <w:sz w:val="18"/>
          <w:szCs w:val="18"/>
          <w:color w:val="000000"/>
        </w:rPr>
        <w:t xml:space="preserve"> for additional information about our long-term incentive program and fiscal 2025 awards.</w:t>
      </w:r>
    </w:p>
    <w:p>
      <w:pPr>
        <w:spacing w:after="0" w:line="185" w:lineRule="exact"/>
        <w:rPr>
          <w:rFonts w:ascii="Arial" w:cs="Arial" w:eastAsia="Arial" w:hAnsi="Arial"/>
          <w:sz w:val="18"/>
          <w:szCs w:val="18"/>
          <w:b w:val="1"/>
          <w:bCs w:val="1"/>
          <w:color w:val="05445E"/>
        </w:rPr>
      </w:pPr>
    </w:p>
    <w:p>
      <w:pPr>
        <w:jc w:val="both"/>
        <w:ind w:left="324" w:hanging="324"/>
        <w:spacing w:after="0" w:line="253" w:lineRule="auto"/>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New Executive Vice President and Chief Human Resources Officer Appointment</w:t>
      </w:r>
      <w:r>
        <w:rPr>
          <w:rFonts w:ascii="Arial" w:cs="Arial" w:eastAsia="Arial" w:hAnsi="Arial"/>
          <w:sz w:val="18"/>
          <w:szCs w:val="18"/>
          <w:color w:val="auto"/>
        </w:rPr>
        <w:t xml:space="preserve">. In connection with Ms. Trende's appointment as Executive Vice President and Chief Human Resources Officer effective July 29, 2024, the Company and Ms. Trende entered into an "Offer Letter Agreement" (the "Offer Letter"). Pursuant to the terms of the Offer Letter, Ms. Trende is entitled to an initial annual base salary of $410,000 per year and a one-time sign-on bonus of $200,000 (which is subject to repayment if Ms. Trende left the Company during the first twelve months of her employment). This bonus was included in the Bonus column for fiscal 2025 in the "Summary Compensation Table" beginning on page </w:t>
      </w:r>
      <w:r>
        <w:rPr>
          <w:rFonts w:ascii="Arial" w:cs="Arial" w:eastAsia="Arial" w:hAnsi="Arial"/>
          <w:sz w:val="18"/>
          <w:szCs w:val="18"/>
          <w:u w:val="single" w:color="auto"/>
          <w:color w:val="0000FF"/>
        </w:rPr>
        <w:t>53</w:t>
      </w:r>
      <w:r>
        <w:rPr>
          <w:rFonts w:ascii="Arial" w:cs="Arial" w:eastAsia="Arial" w:hAnsi="Arial"/>
          <w:sz w:val="18"/>
          <w:szCs w:val="18"/>
          <w:color w:val="auto"/>
        </w:rPr>
        <w:t>. The Offer Letter also provided for the grant to Ms. Trende of a new hire inducement award of $475,000 worth of restricted shares of the Company's stock, based on the closing price on Ms. Trende's hire date, which was included in the Stock Awards column for fiscal 2025 in the "Summary Compensation Table." Based on continued employment with the Company, 50% of such restricted shares vest twelve-months after her hire date, and the remaining 50% will vest twenty-four months after her hire date. Ms. Trende participates in the Company's annual cash incentive plan, with a target cash incentive of 60% of base salary. The Offer Letter also provided Ms. Trende with a prorated fiscal 2025 annual cash incentive payout of at least 100% of target. She received long-term incentive awards of time-based restricted stock valued at 60% of base salary, and a performance award with a target payout of 60% of base salary, with terms consistent with those provided to the Other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56515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147" w:right="339" w:bottom="1440" w:gutter="0" w:footer="0" w:header="0"/>
        </w:sectPr>
      </w:pPr>
    </w:p>
    <w:bookmarkStart w:id="8" w:name="page9"/>
    <w:bookmarkEnd w:id="8"/>
    <w:p>
      <w:pPr>
        <w:spacing w:after="0"/>
        <w:rPr>
          <w:sz w:val="20"/>
          <w:szCs w:val="20"/>
          <w:color w:val="auto"/>
        </w:rPr>
      </w:pPr>
      <w:r>
        <w:rPr>
          <w:rFonts w:ascii="Arial" w:cs="Arial" w:eastAsia="Arial" w:hAnsi="Arial"/>
          <w:sz w:val="29"/>
          <w:szCs w:val="29"/>
          <w:b w:val="1"/>
          <w:bCs w:val="1"/>
          <w:color w:val="05445E"/>
        </w:rPr>
        <w:t>Board Composition and Diversity Highlights</w:t>
      </w:r>
    </w:p>
    <w:p>
      <w:pPr>
        <w:spacing w:after="0" w:line="2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composition of our Board of Directors features a majority of independent directors and a diversity of background, skills and experiences that facilitate effective oversight and enrich Board deliberations on strategic planning, operations, risk management and other critical topics,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274320</wp:posOffset>
            </wp:positionV>
            <wp:extent cx="1783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17145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274320</wp:posOffset>
            </wp:positionV>
            <wp:extent cx="1783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1714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0"/>
        <w:spacing w:after="0"/>
        <w:tabs>
          <w:tab w:leader="none" w:pos="6780" w:val="left"/>
        </w:tabs>
        <w:rPr>
          <w:sz w:val="20"/>
          <w:szCs w:val="20"/>
          <w:color w:val="auto"/>
        </w:rPr>
      </w:pPr>
      <w:r>
        <w:rPr>
          <w:rFonts w:ascii="Arial" w:cs="Arial" w:eastAsia="Arial" w:hAnsi="Arial"/>
          <w:sz w:val="18"/>
          <w:szCs w:val="18"/>
          <w:b w:val="1"/>
          <w:bCs w:val="1"/>
          <w:color w:val="FFFFFF"/>
        </w:rPr>
        <w:t>Director Independence</w:t>
      </w:r>
      <w:r>
        <w:rPr>
          <w:sz w:val="20"/>
          <w:szCs w:val="20"/>
          <w:color w:val="auto"/>
        </w:rPr>
        <w:tab/>
      </w:r>
      <w:r>
        <w:rPr>
          <w:rFonts w:ascii="Arial" w:cs="Arial" w:eastAsia="Arial" w:hAnsi="Arial"/>
          <w:sz w:val="17"/>
          <w:szCs w:val="17"/>
          <w:b w:val="1"/>
          <w:bCs w:val="1"/>
          <w:color w:val="FFFFFF"/>
        </w:rPr>
        <w:t>Tenure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86360</wp:posOffset>
            </wp:positionV>
            <wp:extent cx="6480810" cy="1714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8081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ind w:left="660"/>
              <w:spacing w:after="0"/>
              <w:rPr>
                <w:sz w:val="20"/>
                <w:szCs w:val="20"/>
                <w:color w:val="auto"/>
              </w:rPr>
            </w:pPr>
            <w:r>
              <w:rPr>
                <w:rFonts w:ascii="Arial" w:cs="Arial" w:eastAsia="Arial" w:hAnsi="Arial"/>
                <w:sz w:val="18"/>
                <w:szCs w:val="18"/>
                <w:color w:val="6D6D6D"/>
              </w:rPr>
              <w:t>8 of 9 Directors</w:t>
            </w:r>
          </w:p>
        </w:tc>
        <w:tc>
          <w:tcPr>
            <w:tcW w:w="3880" w:type="dxa"/>
            <w:vAlign w:val="bottom"/>
            <w:gridSpan w:val="2"/>
            <w:vMerge w:val="restart"/>
          </w:tcPr>
          <w:p>
            <w:pPr>
              <w:ind w:left="2360"/>
              <w:spacing w:after="0"/>
              <w:rPr>
                <w:sz w:val="20"/>
                <w:szCs w:val="20"/>
                <w:color w:val="auto"/>
              </w:rPr>
            </w:pPr>
            <w:r>
              <w:rPr>
                <w:rFonts w:ascii="Arial" w:cs="Arial" w:eastAsia="Arial" w:hAnsi="Arial"/>
                <w:sz w:val="18"/>
                <w:szCs w:val="18"/>
                <w:color w:val="6D6D6D"/>
              </w:rPr>
              <w:t>4 of 9 Directors</w:t>
            </w:r>
          </w:p>
        </w:tc>
        <w:tc>
          <w:tcPr>
            <w:tcW w:w="0" w:type="dxa"/>
            <w:vAlign w:val="bottom"/>
          </w:tcPr>
          <w:p>
            <w:pPr>
              <w:spacing w:after="0"/>
              <w:rPr>
                <w:sz w:val="1"/>
                <w:szCs w:val="1"/>
                <w:color w:val="auto"/>
              </w:rPr>
            </w:pPr>
          </w:p>
        </w:tc>
      </w:tr>
      <w:tr>
        <w:trPr>
          <w:trHeight w:val="108"/>
        </w:trPr>
        <w:tc>
          <w:tcPr>
            <w:tcW w:w="4180" w:type="dxa"/>
            <w:vAlign w:val="bottom"/>
            <w:vMerge w:val="restart"/>
          </w:tcPr>
          <w:p>
            <w:pPr>
              <w:spacing w:after="0"/>
              <w:rPr>
                <w:sz w:val="20"/>
                <w:szCs w:val="20"/>
                <w:color w:val="auto"/>
              </w:rPr>
            </w:pPr>
            <w:r>
              <w:rPr>
                <w:rFonts w:ascii="Arial" w:cs="Arial" w:eastAsia="Arial" w:hAnsi="Arial"/>
                <w:sz w:val="18"/>
                <w:szCs w:val="18"/>
                <w:color w:val="6D6D6D"/>
              </w:rPr>
              <w:t>Independent</w:t>
            </w:r>
          </w:p>
        </w:tc>
        <w:tc>
          <w:tcPr>
            <w:tcW w:w="3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180" w:type="dxa"/>
            <w:vAlign w:val="bottom"/>
            <w:vMerge w:val="continue"/>
          </w:tcPr>
          <w:p>
            <w:pPr>
              <w:spacing w:after="0"/>
              <w:rPr>
                <w:sz w:val="11"/>
                <w:szCs w:val="11"/>
                <w:color w:val="auto"/>
              </w:rPr>
            </w:pPr>
          </w:p>
        </w:tc>
        <w:tc>
          <w:tcPr>
            <w:tcW w:w="3880" w:type="dxa"/>
            <w:vAlign w:val="bottom"/>
            <w:gridSpan w:val="2"/>
            <w:vMerge w:val="restart"/>
          </w:tcPr>
          <w:p>
            <w:pPr>
              <w:ind w:left="1720"/>
              <w:spacing w:after="0"/>
              <w:rPr>
                <w:sz w:val="20"/>
                <w:szCs w:val="20"/>
                <w:color w:val="auto"/>
              </w:rPr>
            </w:pPr>
            <w:r>
              <w:rPr>
                <w:rFonts w:ascii="Arial" w:cs="Arial" w:eastAsia="Arial" w:hAnsi="Arial"/>
                <w:sz w:val="18"/>
                <w:szCs w:val="18"/>
                <w:color w:val="6D6D6D"/>
                <w:w w:val="97"/>
              </w:rPr>
              <w:t>5 or Fewer Years of Tenure</w:t>
            </w:r>
          </w:p>
        </w:tc>
        <w:tc>
          <w:tcPr>
            <w:tcW w:w="0" w:type="dxa"/>
            <w:vAlign w:val="bottom"/>
          </w:tcPr>
          <w:p>
            <w:pPr>
              <w:spacing w:after="0"/>
              <w:rPr>
                <w:sz w:val="1"/>
                <w:szCs w:val="1"/>
                <w:color w:val="auto"/>
              </w:rPr>
            </w:pPr>
          </w:p>
        </w:tc>
      </w:tr>
      <w:tr>
        <w:trPr>
          <w:trHeight w:val="108"/>
        </w:trPr>
        <w:tc>
          <w:tcPr>
            <w:tcW w:w="4180" w:type="dxa"/>
            <w:vAlign w:val="bottom"/>
          </w:tcPr>
          <w:p>
            <w:pPr>
              <w:spacing w:after="0"/>
              <w:rPr>
                <w:sz w:val="9"/>
                <w:szCs w:val="9"/>
                <w:color w:val="auto"/>
              </w:rPr>
            </w:pPr>
          </w:p>
        </w:tc>
        <w:tc>
          <w:tcPr>
            <w:tcW w:w="3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7"/>
        </w:trPr>
        <w:tc>
          <w:tcPr>
            <w:tcW w:w="4180" w:type="dxa"/>
            <w:vAlign w:val="bottom"/>
          </w:tcPr>
          <w:p>
            <w:pPr>
              <w:spacing w:after="0"/>
              <w:rPr>
                <w:sz w:val="24"/>
                <w:szCs w:val="24"/>
                <w:color w:val="auto"/>
              </w:rPr>
            </w:pPr>
          </w:p>
        </w:tc>
        <w:tc>
          <w:tcPr>
            <w:tcW w:w="38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2900" w:type="dxa"/>
            <w:vAlign w:val="bottom"/>
            <w:shd w:val="clear" w:color="auto" w:fill="05445E"/>
          </w:tcPr>
          <w:p>
            <w:pPr>
              <w:ind w:left="1060"/>
              <w:spacing w:after="0"/>
              <w:rPr>
                <w:sz w:val="20"/>
                <w:szCs w:val="20"/>
                <w:color w:val="auto"/>
              </w:rPr>
            </w:pPr>
            <w:r>
              <w:rPr>
                <w:rFonts w:ascii="Arial" w:cs="Arial" w:eastAsia="Arial" w:hAnsi="Arial"/>
                <w:sz w:val="18"/>
                <w:szCs w:val="18"/>
                <w:b w:val="1"/>
                <w:bCs w:val="1"/>
                <w:color w:val="FFFFFF"/>
              </w:rPr>
              <w:t>Diversity</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51435</wp:posOffset>
            </wp:positionV>
            <wp:extent cx="2880360" cy="1971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8036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6D6D6D"/>
        </w:rPr>
        <w:t>3 of 9 Female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6D6D6D"/>
        </w:rPr>
        <w:t>2 of 9 Racially Diverse/Male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Board Skills Matrix</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Each member of our Board of Directors brings a diversity of skills and experience to their service on our Board. The following matrix highlights the key skills, experience, and range of tenure for our directors as of April 28, 2025. This matrix is intended as a summary and is not an exhaustive list of each director's qualifications for Board service, which are described in greater detail in their biographies beginning on page </w:t>
      </w:r>
      <w:r>
        <w:rPr>
          <w:rFonts w:ascii="Arial" w:cs="Arial" w:eastAsia="Arial" w:hAnsi="Arial"/>
          <w:sz w:val="18"/>
          <w:szCs w:val="18"/>
          <w:u w:val="single" w:color="auto"/>
          <w:color w:val="0000FF"/>
        </w:rPr>
        <w:t>13</w:t>
      </w:r>
      <w:r>
        <w:rPr>
          <w:rFonts w:ascii="Arial" w:cs="Arial" w:eastAsia="Arial" w:hAnsi="Arial"/>
          <w:sz w:val="18"/>
          <w:szCs w:val="18"/>
          <w:color w:val="auto"/>
        </w:rPr>
        <w:t>.</w:t>
      </w:r>
    </w:p>
    <w:p>
      <w:pPr>
        <w:sectPr>
          <w:pgSz w:w="11900" w:h="16838" w:orient="portrait"/>
          <w:cols w:equalWidth="0" w:num="1">
            <w:col w:w="11240"/>
          </w:cols>
          <w:pgMar w:left="320" w:top="11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Board Skills Matrix</w:t>
      </w:r>
    </w:p>
    <w:p>
      <w:pPr>
        <w:spacing w:after="0" w:line="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Executive</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Leadership</w:t>
      </w:r>
    </w:p>
    <w:p>
      <w:pPr>
        <w:spacing w:after="0" w:line="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Business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Operations</w:t>
      </w:r>
    </w:p>
    <w:p>
      <w:pPr>
        <w:spacing w:after="0" w:line="45" w:lineRule="exact"/>
        <w:rPr>
          <w:sz w:val="20"/>
          <w:szCs w:val="20"/>
          <w:color w:val="auto"/>
        </w:rPr>
      </w:pPr>
    </w:p>
    <w:p>
      <w:pPr>
        <w:ind w:left="100" w:right="500"/>
        <w:spacing w:after="0" w:line="266" w:lineRule="auto"/>
        <w:rPr>
          <w:sz w:val="20"/>
          <w:szCs w:val="20"/>
          <w:color w:val="auto"/>
        </w:rPr>
      </w:pPr>
      <w:r>
        <w:rPr>
          <w:rFonts w:ascii="Times New Roman" w:cs="Times New Roman" w:eastAsia="Times New Roman" w:hAnsi="Times New Roman"/>
          <w:sz w:val="18"/>
          <w:szCs w:val="18"/>
          <w:color w:val="auto"/>
        </w:rPr>
        <w:t>Strategy Development and Execution</w:t>
      </w:r>
    </w:p>
    <w:p>
      <w:pPr>
        <w:spacing w:after="0" w:line="14" w:lineRule="exact"/>
        <w:rPr>
          <w:sz w:val="20"/>
          <w:szCs w:val="20"/>
          <w:color w:val="auto"/>
        </w:rPr>
      </w:pPr>
    </w:p>
    <w:p>
      <w:pPr>
        <w:ind w:left="100" w:right="500"/>
        <w:spacing w:after="0" w:line="261" w:lineRule="auto"/>
        <w:rPr>
          <w:sz w:val="20"/>
          <w:szCs w:val="20"/>
          <w:color w:val="auto"/>
        </w:rPr>
      </w:pPr>
      <w:r>
        <w:rPr>
          <w:rFonts w:ascii="Times New Roman" w:cs="Times New Roman" w:eastAsia="Times New Roman" w:hAnsi="Times New Roman"/>
          <w:sz w:val="18"/>
          <w:szCs w:val="18"/>
          <w:color w:val="auto"/>
        </w:rPr>
        <w:t>Portfolio Management / Mergers and Acquisitions</w:t>
      </w:r>
    </w:p>
    <w:p>
      <w:pPr>
        <w:spacing w:after="0" w:line="18" w:lineRule="exact"/>
        <w:rPr>
          <w:sz w:val="20"/>
          <w:szCs w:val="20"/>
          <w:color w:val="auto"/>
        </w:rPr>
      </w:pPr>
    </w:p>
    <w:p>
      <w:pPr>
        <w:ind w:left="100" w:right="600"/>
        <w:spacing w:after="0" w:line="281" w:lineRule="auto"/>
        <w:rPr>
          <w:sz w:val="20"/>
          <w:szCs w:val="20"/>
          <w:color w:val="auto"/>
        </w:rPr>
      </w:pPr>
      <w:r>
        <w:rPr>
          <w:rFonts w:ascii="Times New Roman" w:cs="Times New Roman" w:eastAsia="Times New Roman" w:hAnsi="Times New Roman"/>
          <w:sz w:val="18"/>
          <w:szCs w:val="18"/>
          <w:color w:val="auto"/>
        </w:rPr>
        <w:t>Financial Management</w:t>
      </w:r>
    </w:p>
    <w:p>
      <w:pPr>
        <w:spacing w:after="0" w:line="1" w:lineRule="exact"/>
        <w:rPr>
          <w:sz w:val="20"/>
          <w:szCs w:val="20"/>
          <w:color w:val="auto"/>
        </w:rPr>
      </w:pPr>
    </w:p>
    <w:p>
      <w:pPr>
        <w:ind w:left="100" w:right="420"/>
        <w:spacing w:after="0" w:line="281" w:lineRule="auto"/>
        <w:rPr>
          <w:sz w:val="20"/>
          <w:szCs w:val="20"/>
          <w:color w:val="auto"/>
        </w:rPr>
      </w:pPr>
      <w:r>
        <w:rPr>
          <w:rFonts w:ascii="Times New Roman" w:cs="Times New Roman" w:eastAsia="Times New Roman" w:hAnsi="Times New Roman"/>
          <w:sz w:val="18"/>
          <w:szCs w:val="18"/>
          <w:color w:val="auto"/>
        </w:rPr>
        <w:t>Enterprise Risk Management</w:t>
      </w:r>
    </w:p>
    <w:p>
      <w:pPr>
        <w:spacing w:after="0" w:line="1" w:lineRule="exact"/>
        <w:rPr>
          <w:sz w:val="20"/>
          <w:szCs w:val="20"/>
          <w:color w:val="auto"/>
        </w:rPr>
      </w:pPr>
    </w:p>
    <w:p>
      <w:pPr>
        <w:ind w:left="100" w:right="600"/>
        <w:spacing w:after="0" w:line="261" w:lineRule="auto"/>
        <w:rPr>
          <w:sz w:val="20"/>
          <w:szCs w:val="20"/>
          <w:color w:val="auto"/>
        </w:rPr>
      </w:pPr>
      <w:r>
        <w:rPr>
          <w:rFonts w:ascii="Times New Roman" w:cs="Times New Roman" w:eastAsia="Times New Roman" w:hAnsi="Times New Roman"/>
          <w:sz w:val="18"/>
          <w:szCs w:val="18"/>
          <w:color w:val="auto"/>
        </w:rPr>
        <w:t>Construction and Building Products Experience</w:t>
      </w:r>
    </w:p>
    <w:p>
      <w:pPr>
        <w:spacing w:after="0" w:line="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Public</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Company</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Board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Experience</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(other than</w:t>
      </w:r>
    </w:p>
    <w:p>
      <w:pPr>
        <w:spacing w:after="0" w:line="9" w:lineRule="exact"/>
        <w:rPr>
          <w:sz w:val="20"/>
          <w:szCs w:val="20"/>
          <w:color w:val="auto"/>
        </w:rPr>
      </w:pPr>
    </w:p>
    <w:p>
      <w:pPr>
        <w:ind w:left="100" w:right="420"/>
        <w:spacing w:after="0" w:line="344" w:lineRule="auto"/>
        <w:rPr>
          <w:sz w:val="20"/>
          <w:szCs w:val="20"/>
          <w:color w:val="auto"/>
        </w:rPr>
      </w:pPr>
      <w:r>
        <w:rPr>
          <w:rFonts w:ascii="Times New Roman" w:cs="Times New Roman" w:eastAsia="Times New Roman" w:hAnsi="Times New Roman"/>
          <w:sz w:val="17"/>
          <w:szCs w:val="17"/>
          <w:color w:val="auto"/>
        </w:rPr>
        <w:t xml:space="preserve">Apogee) Cybersecurity </w:t>
      </w:r>
      <w:r>
        <w:rPr>
          <w:rFonts w:ascii="Times New Roman" w:cs="Times New Roman" w:eastAsia="Times New Roman" w:hAnsi="Times New Roman"/>
          <w:sz w:val="17"/>
          <w:szCs w:val="17"/>
          <w:b w:val="1"/>
          <w:bCs w:val="1"/>
          <w:color w:val="auto"/>
        </w:rPr>
        <w:t>Tenure (years)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Christina</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Frank</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Lloyd</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Elizabeth</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Donald</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Herbert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Mark</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9"/>
              </w:rPr>
              <w:t>Ty</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Patricia</w:t>
            </w:r>
          </w:p>
        </w:tc>
      </w:tr>
      <w:tr>
        <w:trPr>
          <w:trHeight w:val="216"/>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G.</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M.</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K.</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R.</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w:t>
            </w:r>
          </w:p>
        </w:tc>
      </w:tr>
      <w:tr>
        <w:trPr>
          <w:trHeight w:val="234"/>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Alvord</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Heard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Johnson</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Lilly</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Nolan</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Parker</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Pompa</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Silberhorn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Wagner</w:t>
            </w:r>
          </w:p>
        </w:tc>
      </w:tr>
      <w:tr>
        <w:trPr>
          <w:trHeight w:val="27"/>
        </w:trPr>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26"/>
        </w:trPr>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20" w:type="dxa"/>
            <w:vAlign w:val="bottom"/>
            <w:gridSpan w:val="2"/>
          </w:tcPr>
          <w:p>
            <w:pPr>
              <w:jc w:val="center"/>
              <w:ind w:right="80"/>
              <w:spacing w:after="0"/>
              <w:rPr>
                <w:sz w:val="20"/>
                <w:szCs w:val="20"/>
                <w:color w:val="auto"/>
              </w:rPr>
            </w:pPr>
            <w:r>
              <w:rPr>
                <w:rFonts w:ascii="Wingdings" w:cs="Wingdings" w:eastAsia="Wingdings" w:hAnsi="Wingdings"/>
                <w:sz w:val="18"/>
                <w:szCs w:val="18"/>
                <w:b w:val="1"/>
                <w:bCs w:val="1"/>
                <w:color w:val="auto"/>
              </w:rPr>
              <w:t>ü</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8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16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940" w:type="dxa"/>
            <w:vAlign w:val="bottom"/>
          </w:tcPr>
          <w:p>
            <w:pPr>
              <w:jc w:val="center"/>
              <w:spacing w:after="0"/>
              <w:rPr>
                <w:sz w:val="20"/>
                <w:szCs w:val="20"/>
                <w:color w:val="auto"/>
              </w:rPr>
            </w:pPr>
            <w:r>
              <w:rPr>
                <w:rFonts w:ascii="Wingdings" w:cs="Wingdings" w:eastAsia="Wingdings" w:hAnsi="Wingdings"/>
                <w:sz w:val="18"/>
                <w:szCs w:val="18"/>
                <w:b w:val="1"/>
                <w:bCs w:val="1"/>
                <w:color w:val="auto"/>
              </w:rPr>
              <w:t>ü</w:t>
            </w:r>
          </w:p>
        </w:tc>
      </w:tr>
      <w:tr>
        <w:trPr>
          <w:trHeight w:val="486"/>
        </w:trPr>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20" w:type="dxa"/>
            <w:vAlign w:val="bottom"/>
            <w:gridSpan w:val="2"/>
          </w:tcPr>
          <w:p>
            <w:pPr>
              <w:jc w:val="center"/>
              <w:ind w:right="80"/>
              <w:spacing w:after="0"/>
              <w:rPr>
                <w:sz w:val="20"/>
                <w:szCs w:val="20"/>
                <w:color w:val="auto"/>
              </w:rPr>
            </w:pPr>
            <w:r>
              <w:rPr>
                <w:rFonts w:ascii="Wingdings" w:cs="Wingdings" w:eastAsia="Wingdings" w:hAnsi="Wingdings"/>
                <w:sz w:val="18"/>
                <w:szCs w:val="18"/>
                <w:b w:val="1"/>
                <w:bCs w:val="1"/>
                <w:color w:val="auto"/>
              </w:rPr>
              <w:t>ü</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16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940" w:type="dxa"/>
            <w:vAlign w:val="bottom"/>
          </w:tcPr>
          <w:p>
            <w:pPr>
              <w:jc w:val="center"/>
              <w:spacing w:after="0"/>
              <w:rPr>
                <w:sz w:val="20"/>
                <w:szCs w:val="20"/>
                <w:color w:val="auto"/>
              </w:rPr>
            </w:pPr>
            <w:r>
              <w:rPr>
                <w:rFonts w:ascii="Wingdings" w:cs="Wingdings" w:eastAsia="Wingdings" w:hAnsi="Wingdings"/>
                <w:sz w:val="18"/>
                <w:szCs w:val="18"/>
                <w:b w:val="1"/>
                <w:bCs w:val="1"/>
                <w:color w:val="auto"/>
              </w:rPr>
              <w:t>ü</w:t>
            </w:r>
          </w:p>
        </w:tc>
      </w:tr>
      <w:tr>
        <w:trPr>
          <w:trHeight w:val="594"/>
        </w:trPr>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20" w:type="dxa"/>
            <w:vAlign w:val="bottom"/>
            <w:gridSpan w:val="2"/>
          </w:tcPr>
          <w:p>
            <w:pPr>
              <w:jc w:val="center"/>
              <w:ind w:right="8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60" w:type="dxa"/>
            <w:vAlign w:val="bottom"/>
            <w:gridSpan w:val="2"/>
          </w:tcPr>
          <w:p>
            <w:pPr>
              <w:jc w:val="center"/>
              <w:ind w:right="8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16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940" w:type="dxa"/>
            <w:vAlign w:val="bottom"/>
          </w:tcPr>
          <w:p>
            <w:pPr>
              <w:jc w:val="center"/>
              <w:spacing w:after="0"/>
              <w:rPr>
                <w:sz w:val="20"/>
                <w:szCs w:val="20"/>
                <w:color w:val="auto"/>
              </w:rPr>
            </w:pPr>
            <w:r>
              <w:rPr>
                <w:rFonts w:ascii="Wingdings" w:cs="Wingdings" w:eastAsia="Wingdings" w:hAnsi="Wingdings"/>
                <w:sz w:val="18"/>
                <w:szCs w:val="18"/>
                <w:b w:val="1"/>
                <w:bCs w:val="1"/>
                <w:color w:val="auto"/>
              </w:rPr>
              <w:t>ü</w:t>
            </w:r>
          </w:p>
        </w:tc>
      </w:tr>
      <w:tr>
        <w:trPr>
          <w:trHeight w:val="810"/>
        </w:trPr>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20" w:type="dxa"/>
            <w:vAlign w:val="bottom"/>
            <w:gridSpan w:val="2"/>
          </w:tcPr>
          <w:p>
            <w:pPr>
              <w:jc w:val="center"/>
              <w:ind w:right="8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60" w:type="dxa"/>
            <w:vAlign w:val="bottom"/>
            <w:gridSpan w:val="2"/>
          </w:tcPr>
          <w:p>
            <w:pPr>
              <w:jc w:val="center"/>
              <w:ind w:right="8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16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940" w:type="dxa"/>
            <w:vAlign w:val="bottom"/>
          </w:tcPr>
          <w:p>
            <w:pPr>
              <w:jc w:val="center"/>
              <w:spacing w:after="0"/>
              <w:rPr>
                <w:sz w:val="20"/>
                <w:szCs w:val="20"/>
                <w:color w:val="auto"/>
              </w:rPr>
            </w:pPr>
            <w:r>
              <w:rPr>
                <w:rFonts w:ascii="Wingdings" w:cs="Wingdings" w:eastAsia="Wingdings" w:hAnsi="Wingdings"/>
                <w:sz w:val="18"/>
                <w:szCs w:val="18"/>
                <w:b w:val="1"/>
                <w:bCs w:val="1"/>
                <w:color w:val="auto"/>
              </w:rPr>
              <w:t>ü</w:t>
            </w:r>
          </w:p>
        </w:tc>
      </w:tr>
      <w:tr>
        <w:trPr>
          <w:trHeight w:val="702"/>
        </w:trPr>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20" w:type="dxa"/>
            <w:vAlign w:val="bottom"/>
            <w:gridSpan w:val="2"/>
          </w:tcPr>
          <w:p>
            <w:pPr>
              <w:jc w:val="center"/>
              <w:ind w:right="8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60" w:type="dxa"/>
            <w:vAlign w:val="bottom"/>
            <w:gridSpan w:val="2"/>
          </w:tcPr>
          <w:p>
            <w:pPr>
              <w:jc w:val="center"/>
              <w:ind w:right="8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16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940" w:type="dxa"/>
            <w:vAlign w:val="bottom"/>
          </w:tcPr>
          <w:p>
            <w:pPr>
              <w:jc w:val="center"/>
              <w:spacing w:after="0"/>
              <w:rPr>
                <w:sz w:val="20"/>
                <w:szCs w:val="20"/>
                <w:color w:val="auto"/>
              </w:rPr>
            </w:pPr>
            <w:r>
              <w:rPr>
                <w:rFonts w:ascii="Wingdings" w:cs="Wingdings" w:eastAsia="Wingdings" w:hAnsi="Wingdings"/>
                <w:sz w:val="18"/>
                <w:szCs w:val="18"/>
                <w:b w:val="1"/>
                <w:bCs w:val="1"/>
                <w:color w:val="auto"/>
              </w:rPr>
              <w:t>ü</w:t>
            </w:r>
          </w:p>
        </w:tc>
      </w:tr>
      <w:tr>
        <w:trPr>
          <w:trHeight w:val="486"/>
        </w:trPr>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20" w:type="dxa"/>
            <w:vAlign w:val="bottom"/>
            <w:gridSpan w:val="2"/>
          </w:tcPr>
          <w:p>
            <w:pPr>
              <w:jc w:val="center"/>
              <w:ind w:right="8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60" w:type="dxa"/>
            <w:vAlign w:val="bottom"/>
            <w:gridSpan w:val="2"/>
          </w:tcPr>
          <w:p>
            <w:pPr>
              <w:jc w:val="center"/>
              <w:ind w:right="8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16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940" w:type="dxa"/>
            <w:vAlign w:val="bottom"/>
          </w:tcPr>
          <w:p>
            <w:pPr>
              <w:jc w:val="center"/>
              <w:spacing w:after="0"/>
              <w:rPr>
                <w:sz w:val="20"/>
                <w:szCs w:val="20"/>
                <w:color w:val="auto"/>
              </w:rPr>
            </w:pPr>
            <w:r>
              <w:rPr>
                <w:rFonts w:ascii="Wingdings" w:cs="Wingdings" w:eastAsia="Wingdings" w:hAnsi="Wingdings"/>
                <w:sz w:val="18"/>
                <w:szCs w:val="18"/>
                <w:b w:val="1"/>
                <w:bCs w:val="1"/>
                <w:color w:val="auto"/>
              </w:rPr>
              <w:t>ü</w:t>
            </w:r>
          </w:p>
        </w:tc>
      </w:tr>
      <w:tr>
        <w:trPr>
          <w:trHeight w:val="702"/>
        </w:trPr>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20" w:type="dxa"/>
            <w:vAlign w:val="bottom"/>
            <w:gridSpan w:val="2"/>
          </w:tcPr>
          <w:p>
            <w:pPr>
              <w:jc w:val="center"/>
              <w:ind w:right="80"/>
              <w:spacing w:after="0"/>
              <w:rPr>
                <w:sz w:val="20"/>
                <w:szCs w:val="20"/>
                <w:color w:val="auto"/>
              </w:rPr>
            </w:pPr>
            <w:r>
              <w:rPr>
                <w:rFonts w:ascii="Wingdings" w:cs="Wingdings" w:eastAsia="Wingdings" w:hAnsi="Wingdings"/>
                <w:sz w:val="18"/>
                <w:szCs w:val="18"/>
                <w:b w:val="1"/>
                <w:bCs w:val="1"/>
                <w:color w:val="auto"/>
              </w:rPr>
              <w:t>ü</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16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940" w:type="dxa"/>
            <w:vAlign w:val="bottom"/>
          </w:tcPr>
          <w:p>
            <w:pPr>
              <w:spacing w:after="0"/>
              <w:rPr>
                <w:sz w:val="24"/>
                <w:szCs w:val="24"/>
                <w:color w:val="auto"/>
              </w:rPr>
            </w:pPr>
          </w:p>
        </w:tc>
      </w:tr>
      <w:tr>
        <w:trPr>
          <w:trHeight w:val="1134"/>
        </w:trPr>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1020" w:type="dxa"/>
            <w:vAlign w:val="bottom"/>
            <w:gridSpan w:val="2"/>
          </w:tcPr>
          <w:p>
            <w:pPr>
              <w:jc w:val="center"/>
              <w:ind w:right="80"/>
              <w:spacing w:after="0"/>
              <w:rPr>
                <w:sz w:val="20"/>
                <w:szCs w:val="20"/>
                <w:color w:val="auto"/>
              </w:rPr>
            </w:pPr>
            <w:r>
              <w:rPr>
                <w:rFonts w:ascii="Wingdings" w:cs="Wingdings" w:eastAsia="Wingdings" w:hAnsi="Wingdings"/>
                <w:sz w:val="18"/>
                <w:szCs w:val="18"/>
                <w:b w:val="1"/>
                <w:bCs w:val="1"/>
                <w:color w:val="auto"/>
              </w:rPr>
              <w:t>ü</w:t>
            </w: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940" w:type="dxa"/>
            <w:vAlign w:val="bottom"/>
          </w:tcPr>
          <w:p>
            <w:pPr>
              <w:jc w:val="center"/>
              <w:spacing w:after="0"/>
              <w:rPr>
                <w:sz w:val="20"/>
                <w:szCs w:val="20"/>
                <w:color w:val="auto"/>
              </w:rPr>
            </w:pPr>
            <w:r>
              <w:rPr>
                <w:rFonts w:ascii="Wingdings" w:cs="Wingdings" w:eastAsia="Wingdings" w:hAnsi="Wingdings"/>
                <w:sz w:val="18"/>
                <w:szCs w:val="18"/>
                <w:b w:val="1"/>
                <w:bCs w:val="1"/>
                <w:color w:val="auto"/>
              </w:rPr>
              <w:t>ü</w:t>
            </w:r>
          </w:p>
        </w:tc>
      </w:tr>
      <w:tr>
        <w:trPr>
          <w:trHeight w:val="810"/>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Wingdings" w:cs="Wingdings" w:eastAsia="Wingdings" w:hAnsi="Wingdings"/>
                <w:sz w:val="18"/>
                <w:szCs w:val="18"/>
                <w:b w:val="1"/>
                <w:bCs w:val="1"/>
                <w:color w:val="auto"/>
              </w:rPr>
              <w:t>ü</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-3411220</wp:posOffset>
            </wp:positionV>
            <wp:extent cx="7132320" cy="44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-2382520</wp:posOffset>
            </wp:positionV>
            <wp:extent cx="713232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-1765300</wp:posOffset>
            </wp:positionV>
            <wp:extent cx="7132320" cy="582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582930"/>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-325120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-4036695</wp:posOffset>
            </wp:positionV>
            <wp:extent cx="7132320" cy="316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1640" w:space="220"/>
            <w:col w:w="9380"/>
          </w:cols>
          <w:pgMar w:left="320" w:top="1149" w:right="33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9"/>
          <w:szCs w:val="29"/>
          <w:b w:val="1"/>
          <w:bCs w:val="1"/>
          <w:color w:val="05445E"/>
        </w:rPr>
        <w:t>Active Shareholder Engagement Program</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 engagement is a key part of our commitment to good governance. We regularly engage with our shareholders to discuss our business and to gain insights on the issues that are most important to them. In fiscal 2025, we continued our shareholder engagement practices, utilizing a combination of in-person and virtual meeting formats to stay connected with our shareholders. During fiscal 2025, members of our management team participated in several virtual and in-person investor conferences and met with investors in numerous other in-person and virtual meetings, conference calls and phone calls. The feedback from our engagement with investors is regularly shared with our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Cautionary statement of forward-looking information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Proxy Statement contains certain statements regarding our strategic plan and our sustainability initiatives, including goals and commitments. Such statements are not guarantees or promises that such goals or commitments will be met, and they will continue to evolve and develop. Strategic, sustainability-related and other statements contained in this Proxy Statement may constitute “forward-looking” statements within the meaning of the Private Securities Litigation Reform Act, including statements about our future financial performance, business and initiatives, which may evolve over time. We use words such as “aims,” “anticipates,” “believes,” “commits,” “expects,” “intends,” “plans,” “strives,” “will,” and similar expressions to identify forward-looking statements. Forward-looking statements reflect management’s current expectations, plans or forecasts, are not guarantees of future results or performance, involve certain known and unknown risks, uncertainties and assumptions that are difficult to predict and often beyond our control and are inherently uncertain. Actual outcomes and results may differ materially from those expressed in, or implied by, forward-looking statements. You should not place undue reliance on any forward-looking statements and should consider the uncertainties and risks discussed in our most recent Annual Report on Form 10-K and subsequent SEC filings. We undertake no obligation to update or revise any forward-looking statements.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Certain sections of this Proxy Statement reference or refer you to materials posted on our website, </w:t>
      </w:r>
      <w:r>
        <w:rPr>
          <w:rFonts w:ascii="Arial" w:cs="Arial" w:eastAsia="Arial" w:hAnsi="Arial"/>
          <w:sz w:val="18"/>
          <w:szCs w:val="18"/>
          <w:color w:val="0000FF"/>
        </w:rPr>
        <w:t>www.apog.com</w:t>
      </w:r>
      <w:r>
        <w:rPr>
          <w:rFonts w:ascii="Arial" w:cs="Arial" w:eastAsia="Arial" w:hAnsi="Arial"/>
          <w:sz w:val="18"/>
          <w:szCs w:val="18"/>
          <w:color w:val="auto"/>
        </w:rPr>
        <w:t>. These materials and our website are not incorporated by reference in, and are not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5"/>
          <w:szCs w:val="25"/>
          <w:b w:val="1"/>
          <w:bCs w:val="1"/>
          <w:color w:val="auto"/>
        </w:rPr>
        <w:t>Security Ownership of Certain Beneficial Owners</w:t>
      </w: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information concerning beneficial ownership of our common stock outstanding as of April 28, 2025, by persons known to us to own more than 5% of our common stock. Unless otherwise indicated, the named holders have sole voting and investment power with respect to the shares beneficially owned by them. As of April 28, 2025, there were 21,573,126 shares of common stock outstanding.</w:t>
      </w:r>
    </w:p>
    <w:p>
      <w:pPr>
        <w:sectPr>
          <w:pgSz w:w="11900" w:h="16838" w:orient="portrait"/>
          <w:cols w:equalWidth="0" w:num="1">
            <w:col w:w="11240"/>
          </w:cols>
          <w:pgMar w:left="320" w:top="1141" w:right="339" w:bottom="1440" w:gutter="0" w:footer="0" w:header="0"/>
        </w:sectPr>
      </w:pP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05445E"/>
              </w:rPr>
              <w:t>Amount and Nature</w:t>
            </w:r>
          </w:p>
        </w:tc>
      </w:tr>
      <w:tr>
        <w:trPr>
          <w:trHeight w:val="216"/>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05445E"/>
              </w:rPr>
              <w:t>Name and Address of</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05445E"/>
              </w:rPr>
              <w:t>of Beneficial</w:t>
            </w:r>
          </w:p>
        </w:tc>
      </w:tr>
      <w:tr>
        <w:trPr>
          <w:trHeight w:val="255"/>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5445E"/>
              </w:rPr>
              <w:t>Beneficial Owner</w:t>
            </w:r>
          </w:p>
        </w:tc>
        <w:tc>
          <w:tcPr>
            <w:tcW w:w="100" w:type="dxa"/>
            <w:vAlign w:val="bottom"/>
          </w:tcPr>
          <w:p>
            <w:pPr>
              <w:spacing w:after="0"/>
              <w:rPr>
                <w:sz w:val="22"/>
                <w:szCs w:val="22"/>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Ownership (#)</w:t>
            </w:r>
          </w:p>
        </w:tc>
      </w:tr>
      <w:tr>
        <w:trPr>
          <w:trHeight w:val="224"/>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BlackRock, Inc.</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3,910,203</w:t>
            </w:r>
          </w:p>
        </w:tc>
      </w:tr>
      <w:tr>
        <w:trPr>
          <w:trHeight w:val="216"/>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50 Hudson Yards</w:t>
            </w:r>
          </w:p>
        </w:tc>
        <w:tc>
          <w:tcPr>
            <w:tcW w:w="2440" w:type="dxa"/>
            <w:vAlign w:val="bottom"/>
          </w:tcPr>
          <w:p>
            <w:pPr>
              <w:spacing w:after="0"/>
              <w:rPr>
                <w:sz w:val="18"/>
                <w:szCs w:val="18"/>
                <w:color w:val="auto"/>
              </w:rPr>
            </w:pPr>
          </w:p>
        </w:tc>
      </w:tr>
      <w:tr>
        <w:trPr>
          <w:trHeight w:val="239"/>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New York, NY 10001</w:t>
            </w:r>
          </w:p>
        </w:tc>
        <w:tc>
          <w:tcPr>
            <w:tcW w:w="2440" w:type="dxa"/>
            <w:vAlign w:val="bottom"/>
          </w:tcPr>
          <w:p>
            <w:pPr>
              <w:spacing w:after="0"/>
              <w:rPr>
                <w:sz w:val="20"/>
                <w:szCs w:val="20"/>
                <w:color w:val="auto"/>
              </w:rPr>
            </w:pPr>
          </w:p>
        </w:tc>
      </w:tr>
      <w:tr>
        <w:trPr>
          <w:trHeight w:val="247"/>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The Vanguard Group, Inc.</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3,097,343</w:t>
            </w:r>
          </w:p>
        </w:tc>
      </w:tr>
      <w:tr>
        <w:trPr>
          <w:trHeight w:val="216"/>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100 Vanguard Boulevard</w:t>
            </w:r>
          </w:p>
        </w:tc>
        <w:tc>
          <w:tcPr>
            <w:tcW w:w="2440" w:type="dxa"/>
            <w:vAlign w:val="bottom"/>
          </w:tcPr>
          <w:p>
            <w:pPr>
              <w:spacing w:after="0"/>
              <w:rPr>
                <w:sz w:val="18"/>
                <w:szCs w:val="18"/>
                <w:color w:val="auto"/>
              </w:rPr>
            </w:pPr>
          </w:p>
        </w:tc>
      </w:tr>
      <w:tr>
        <w:trPr>
          <w:trHeight w:val="239"/>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Malvern, PA 19355</w:t>
            </w:r>
          </w:p>
        </w:tc>
        <w:tc>
          <w:tcPr>
            <w:tcW w:w="2440" w:type="dxa"/>
            <w:vAlign w:val="bottom"/>
          </w:tcPr>
          <w:p>
            <w:pPr>
              <w:spacing w:after="0"/>
              <w:rPr>
                <w:sz w:val="20"/>
                <w:szCs w:val="20"/>
                <w:color w:val="auto"/>
              </w:rPr>
            </w:pPr>
          </w:p>
        </w:tc>
      </w:tr>
      <w:tr>
        <w:trPr>
          <w:trHeight w:val="247"/>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Victory Capital Management Inc.</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1,155,967</w:t>
            </w:r>
          </w:p>
        </w:tc>
      </w:tr>
      <w:tr>
        <w:trPr>
          <w:trHeight w:val="216"/>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15935 La Cantera Pkwy</w:t>
            </w:r>
          </w:p>
        </w:tc>
        <w:tc>
          <w:tcPr>
            <w:tcW w:w="2440" w:type="dxa"/>
            <w:vAlign w:val="bottom"/>
          </w:tcPr>
          <w:p>
            <w:pPr>
              <w:spacing w:after="0"/>
              <w:rPr>
                <w:sz w:val="18"/>
                <w:szCs w:val="18"/>
                <w:color w:val="auto"/>
              </w:rPr>
            </w:pPr>
          </w:p>
        </w:tc>
      </w:tr>
      <w:tr>
        <w:trPr>
          <w:trHeight w:val="239"/>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San Antonio, TX 78256</w:t>
            </w:r>
          </w:p>
        </w:tc>
        <w:tc>
          <w:tcPr>
            <w:tcW w:w="2440" w:type="dxa"/>
            <w:vAlign w:val="bottom"/>
          </w:tcPr>
          <w:p>
            <w:pPr>
              <w:spacing w:after="0"/>
              <w:rPr>
                <w:sz w:val="20"/>
                <w:szCs w:val="20"/>
                <w:color w:val="auto"/>
              </w:rPr>
            </w:pPr>
          </w:p>
        </w:tc>
      </w:tr>
      <w:tr>
        <w:trPr>
          <w:trHeight w:val="246"/>
        </w:trPr>
        <w:tc>
          <w:tcPr>
            <w:tcW w:w="5020" w:type="dxa"/>
            <w:vAlign w:val="bottom"/>
          </w:tcPr>
          <w:p>
            <w:pPr>
              <w:spacing w:after="0"/>
              <w:rPr>
                <w:sz w:val="20"/>
                <w:szCs w:val="20"/>
                <w:color w:val="auto"/>
              </w:rPr>
            </w:pPr>
            <w:r>
              <w:rPr>
                <w:rFonts w:ascii="Arial" w:cs="Arial" w:eastAsia="Arial" w:hAnsi="Arial"/>
                <w:sz w:val="11"/>
                <w:szCs w:val="11"/>
                <w:color w:val="auto"/>
              </w:rPr>
              <w:t>___________________________</w:t>
            </w:r>
          </w:p>
        </w:tc>
        <w:tc>
          <w:tcPr>
            <w:tcW w:w="100" w:type="dxa"/>
            <w:vAlign w:val="bottom"/>
          </w:tcPr>
          <w:p>
            <w:pPr>
              <w:spacing w:after="0"/>
              <w:rPr>
                <w:sz w:val="21"/>
                <w:szCs w:val="21"/>
                <w:color w:val="auto"/>
              </w:rPr>
            </w:pPr>
          </w:p>
        </w:tc>
        <w:tc>
          <w:tcPr>
            <w:tcW w:w="24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-586740</wp:posOffset>
            </wp:positionV>
            <wp:extent cx="6540500"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40500" cy="44577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-1487170</wp:posOffset>
            </wp:positionV>
            <wp:extent cx="6540500" cy="454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40500" cy="454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60"/>
        <w:spacing w:after="0"/>
        <w:rPr>
          <w:sz w:val="20"/>
          <w:szCs w:val="20"/>
          <w:color w:val="auto"/>
        </w:rPr>
      </w:pPr>
      <w:r>
        <w:rPr>
          <w:rFonts w:ascii="Arial" w:cs="Arial" w:eastAsia="Arial" w:hAnsi="Arial"/>
          <w:sz w:val="17"/>
          <w:szCs w:val="17"/>
          <w:b w:val="1"/>
          <w:bCs w:val="1"/>
          <w:color w:val="05445E"/>
        </w:rPr>
        <w:t>Percent of Class (%)</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18.13</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14.36</w:t>
      </w:r>
    </w:p>
    <w:p>
      <w:pPr>
        <w:spacing w:after="0" w:line="200" w:lineRule="exact"/>
        <w:rPr>
          <w:sz w:val="20"/>
          <w:szCs w:val="20"/>
          <w:color w:val="auto"/>
        </w:rPr>
      </w:pPr>
    </w:p>
    <w:p>
      <w:pPr>
        <w:spacing w:after="0" w:line="2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5.36</w:t>
      </w:r>
    </w:p>
    <w:p>
      <w:pPr>
        <w:spacing w:after="0" w:line="805" w:lineRule="exact"/>
        <w:rPr>
          <w:sz w:val="20"/>
          <w:szCs w:val="20"/>
          <w:color w:val="auto"/>
        </w:rPr>
      </w:pPr>
    </w:p>
    <w:p>
      <w:pPr>
        <w:sectPr>
          <w:pgSz w:w="11900" w:h="16838" w:orient="portrait"/>
          <w:cols w:equalWidth="0" w:num="3">
            <w:col w:w="7900" w:space="80"/>
            <w:col w:w="140" w:space="420"/>
            <w:col w:w="2700"/>
          </w:cols>
          <w:pgMar w:left="320" w:top="1141" w:right="339" w:bottom="1440" w:gutter="0" w:footer="0" w:header="0"/>
          <w:type w:val="continuous"/>
        </w:sectPr>
      </w:pPr>
    </w:p>
    <w:p>
      <w:pPr>
        <w:jc w:val="both"/>
        <w:ind w:left="820" w:hanging="488"/>
        <w:spacing w:after="0" w:line="259" w:lineRule="auto"/>
        <w:tabs>
          <w:tab w:leader="none" w:pos="8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relied upon the information provided by BlackRock, Inc. (“BlackRock”) in a Schedule 13G/A filed on November 8, 2024, and reporting information as of September 30, 2024. The Schedule 13G/A was filed by BlackRock in its capacity as a parent holding company or control person and indicates that BlackRock has sole investment power over 3,910,203 shares and sole voting power over 3,856,763 shares. BlackRock Fund Advisors, a subsidiary of BlackRock, beneficially owns 5% or greater of the outstanding shares of the security class reported on the Schedule 13G/A.</w:t>
      </w:r>
    </w:p>
    <w:p>
      <w:pPr>
        <w:spacing w:after="0" w:line="71" w:lineRule="exact"/>
        <w:rPr>
          <w:rFonts w:ascii="Arial" w:cs="Arial" w:eastAsia="Arial" w:hAnsi="Arial"/>
          <w:sz w:val="18"/>
          <w:szCs w:val="18"/>
          <w:color w:val="auto"/>
        </w:rPr>
      </w:pPr>
    </w:p>
    <w:p>
      <w:pPr>
        <w:jc w:val="both"/>
        <w:ind w:left="820" w:hanging="488"/>
        <w:spacing w:after="0" w:line="262" w:lineRule="auto"/>
        <w:tabs>
          <w:tab w:leader="none" w:pos="8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relied upon the information provided by The Vanguard Group, Inc., an investment advisor (“Vanguard”), in a Schedule 13G/A filed on February 13, 2024, and reporting information as of December 29, 2023. Of the shares reported, Vanguard has sole investment power over 3,048,674 shares, shared investment power over 48,669 shares, and shared voting power over 25,538 shares.</w:t>
      </w:r>
    </w:p>
    <w:p>
      <w:pPr>
        <w:spacing w:after="0" w:line="68" w:lineRule="exact"/>
        <w:rPr>
          <w:rFonts w:ascii="Arial" w:cs="Arial" w:eastAsia="Arial" w:hAnsi="Arial"/>
          <w:sz w:val="18"/>
          <w:szCs w:val="18"/>
          <w:color w:val="auto"/>
        </w:rPr>
      </w:pPr>
    </w:p>
    <w:p>
      <w:pPr>
        <w:jc w:val="both"/>
        <w:ind w:left="820" w:hanging="488"/>
        <w:spacing w:after="0" w:line="268" w:lineRule="auto"/>
        <w:tabs>
          <w:tab w:leader="none" w:pos="8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relied upon the information provided by Victory Capital Management Inc. (“Victory Capital”) in a Schedule 13G filed on January 28, 2025, and reporting information as of December 31, 2024. Of the shares reported, Victory Capital has sole investment power over 1,155,967 shares and sole voting power over 1,150,192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5"/>
          <w:szCs w:val="25"/>
          <w:b w:val="1"/>
          <w:bCs w:val="1"/>
          <w:color w:val="auto"/>
        </w:rPr>
        <w:t>Security Ownership of Directors and Management</w:t>
      </w: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Except as otherwise noted, the following table sets forth the number of shares of our common stock beneficially owned as of April 28, 2025, by each of our directors, each of our executive officers named in the "Summary Compensation Table" beginning on page </w:t>
      </w:r>
      <w:r>
        <w:rPr>
          <w:rFonts w:ascii="Arial" w:cs="Arial" w:eastAsia="Arial" w:hAnsi="Arial"/>
          <w:sz w:val="18"/>
          <w:szCs w:val="18"/>
          <w:u w:val="single" w:color="auto"/>
          <w:color w:val="0000FF"/>
        </w:rPr>
        <w:t>53</w:t>
      </w:r>
      <w:r>
        <w:rPr>
          <w:rFonts w:ascii="Arial" w:cs="Arial" w:eastAsia="Arial" w:hAnsi="Arial"/>
          <w:sz w:val="18"/>
          <w:szCs w:val="18"/>
          <w:color w:val="auto"/>
        </w:rPr>
        <w:t xml:space="preserve"> (our “Named Executive Officers”) and by all of our current directors and executive officers as a group. As of April 28, 2025, there were 21,573,126 shares of common stock outstanding.</w:t>
      </w:r>
    </w:p>
    <w:p>
      <w:pPr>
        <w:sectPr>
          <w:pgSz w:w="11900" w:h="16838" w:orient="portrait"/>
          <w:cols w:equalWidth="0" w:num="1">
            <w:col w:w="11240"/>
          </w:cols>
          <w:pgMar w:left="320" w:top="1141" w:right="339" w:bottom="1440" w:gutter="0" w:footer="0" w:header="0"/>
        </w:sect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05445E"/>
              </w:rPr>
              <w:t>Amount and</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05445E"/>
              </w:rPr>
              <w:t>Nature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05445E"/>
                <w:w w:val="98"/>
              </w:rPr>
              <w:t>of Beneficial</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Borders>
              <w:bottom w:val="single" w:sz="8" w:color="auto"/>
            </w:tcBorders>
          </w:tcPr>
          <w:p>
            <w:pPr>
              <w:spacing w:after="0"/>
              <w:rPr>
                <w:sz w:val="22"/>
                <w:szCs w:val="22"/>
                <w:color w:val="auto"/>
              </w:rPr>
            </w:pPr>
          </w:p>
        </w:tc>
        <w:tc>
          <w:tcPr>
            <w:tcW w:w="6020" w:type="dxa"/>
            <w:vAlign w:val="bottom"/>
            <w:tcBorders>
              <w:bottom w:val="single" w:sz="8" w:color="auto"/>
            </w:tcBorders>
            <w:gridSpan w:val="3"/>
          </w:tcPr>
          <w:p>
            <w:pPr>
              <w:ind w:left="1900"/>
              <w:spacing w:after="0"/>
              <w:rPr>
                <w:sz w:val="20"/>
                <w:szCs w:val="20"/>
                <w:color w:val="auto"/>
              </w:rPr>
            </w:pPr>
            <w:r>
              <w:rPr>
                <w:rFonts w:ascii="Arial" w:cs="Arial" w:eastAsia="Arial" w:hAnsi="Arial"/>
                <w:sz w:val="18"/>
                <w:szCs w:val="18"/>
                <w:b w:val="1"/>
                <w:bCs w:val="1"/>
                <w:color w:val="05445E"/>
              </w:rPr>
              <w:t>Name of Beneficial Owner</w:t>
            </w:r>
          </w:p>
        </w:tc>
        <w:tc>
          <w:tcPr>
            <w:tcW w:w="100" w:type="dxa"/>
            <w:vAlign w:val="bottom"/>
          </w:tcPr>
          <w:p>
            <w:pPr>
              <w:spacing w:after="0"/>
              <w:rPr>
                <w:sz w:val="22"/>
                <w:szCs w:val="22"/>
                <w:color w:val="auto"/>
              </w:rPr>
            </w:pPr>
          </w:p>
        </w:tc>
        <w:tc>
          <w:tcPr>
            <w:tcW w:w="250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05445E"/>
                <w:w w:val="93"/>
              </w:rPr>
              <w:t>Ownership (#)</w:t>
            </w:r>
            <w:r>
              <w:rPr>
                <w:rFonts w:ascii="Arial" w:cs="Arial" w:eastAsia="Arial" w:hAnsi="Arial"/>
                <w:sz w:val="23"/>
                <w:szCs w:val="23"/>
                <w:b w:val="1"/>
                <w:bCs w:val="1"/>
                <w:color w:val="05445E"/>
                <w:w w:val="93"/>
                <w:vertAlign w:val="superscript"/>
              </w:rPr>
              <w:t>(1)(2)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99"/>
              </w:rPr>
              <w:t>Non-Employee Directors</w:t>
            </w:r>
          </w:p>
        </w:tc>
        <w:tc>
          <w:tcPr>
            <w:tcW w:w="4020" w:type="dxa"/>
            <w:vAlign w:val="bottom"/>
            <w:gridSpan w:val="3"/>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Christina M. Alvord</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9,113</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20" w:type="dxa"/>
            <w:vAlign w:val="bottom"/>
            <w:gridSpan w:val="4"/>
            <w:vMerge w:val="restart"/>
          </w:tcPr>
          <w:p>
            <w:pPr>
              <w:spacing w:after="0"/>
              <w:rPr>
                <w:sz w:val="20"/>
                <w:szCs w:val="20"/>
                <w:color w:val="auto"/>
              </w:rPr>
            </w:pPr>
            <w:r>
              <w:rPr>
                <w:rFonts w:ascii="Arial" w:cs="Arial" w:eastAsia="Arial" w:hAnsi="Arial"/>
                <w:sz w:val="18"/>
                <w:szCs w:val="18"/>
                <w:color w:val="auto"/>
              </w:rPr>
              <w:t>Frank G. Heard</w:t>
            </w:r>
          </w:p>
        </w:tc>
        <w:tc>
          <w:tcPr>
            <w:tcW w:w="2500" w:type="dxa"/>
            <w:vAlign w:val="bottom"/>
            <w:vMerge w:val="restart"/>
          </w:tcPr>
          <w:p>
            <w:pPr>
              <w:jc w:val="right"/>
              <w:ind w:right="570"/>
              <w:spacing w:after="0"/>
              <w:rPr>
                <w:sz w:val="20"/>
                <w:szCs w:val="20"/>
                <w:color w:val="auto"/>
              </w:rPr>
            </w:pPr>
            <w:r>
              <w:rPr>
                <w:rFonts w:ascii="Arial" w:cs="Arial" w:eastAsia="Arial" w:hAnsi="Arial"/>
                <w:sz w:val="18"/>
                <w:szCs w:val="18"/>
                <w:color w:val="auto"/>
              </w:rPr>
              <w:t>8,855</w:t>
            </w:r>
          </w:p>
        </w:tc>
        <w:tc>
          <w:tcPr>
            <w:tcW w:w="26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120" w:type="dxa"/>
            <w:vAlign w:val="bottom"/>
            <w:gridSpan w:val="4"/>
            <w:vMerge w:val="continue"/>
          </w:tcPr>
          <w:p>
            <w:pPr>
              <w:spacing w:after="0"/>
              <w:rPr>
                <w:sz w:val="8"/>
                <w:szCs w:val="8"/>
                <w:color w:val="auto"/>
              </w:rPr>
            </w:pPr>
          </w:p>
        </w:tc>
        <w:tc>
          <w:tcPr>
            <w:tcW w:w="25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Lloyd E. Johnson</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7,131</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Elizabeth M. Lilly</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12,488</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Donald A. Nolan</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8,047</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Herbert K. Parker</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10,529</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Mark A. Pompa</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Patricia K. Wagner</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24,623</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Named Executive Officers</w:t>
            </w:r>
          </w:p>
        </w:tc>
        <w:tc>
          <w:tcPr>
            <w:tcW w:w="3900" w:type="dxa"/>
            <w:vAlign w:val="bottom"/>
            <w:gridSpan w:val="2"/>
          </w:tcPr>
          <w:p>
            <w:pPr>
              <w:spacing w:after="0"/>
              <w:rPr>
                <w:sz w:val="19"/>
                <w:szCs w:val="19"/>
                <w:color w:val="auto"/>
              </w:rPr>
            </w:pPr>
          </w:p>
        </w:tc>
        <w:tc>
          <w:tcPr>
            <w:tcW w:w="2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Ty R. Silberhorn</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149,305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Matthew J. Osberg</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36,543</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20" w:type="dxa"/>
            <w:vAlign w:val="bottom"/>
            <w:gridSpan w:val="4"/>
            <w:vMerge w:val="restart"/>
          </w:tcPr>
          <w:p>
            <w:pPr>
              <w:spacing w:after="0"/>
              <w:rPr>
                <w:sz w:val="20"/>
                <w:szCs w:val="20"/>
                <w:color w:val="auto"/>
              </w:rPr>
            </w:pPr>
            <w:r>
              <w:rPr>
                <w:rFonts w:ascii="Arial" w:cs="Arial" w:eastAsia="Arial" w:hAnsi="Arial"/>
                <w:sz w:val="18"/>
                <w:szCs w:val="18"/>
                <w:color w:val="auto"/>
              </w:rPr>
              <w:t>Brent C. Jewell</w:t>
            </w:r>
          </w:p>
        </w:tc>
        <w:tc>
          <w:tcPr>
            <w:tcW w:w="2500" w:type="dxa"/>
            <w:vAlign w:val="bottom"/>
            <w:vMerge w:val="restart"/>
          </w:tcPr>
          <w:p>
            <w:pPr>
              <w:jc w:val="right"/>
              <w:ind w:right="570"/>
              <w:spacing w:after="0"/>
              <w:rPr>
                <w:sz w:val="20"/>
                <w:szCs w:val="20"/>
                <w:color w:val="auto"/>
              </w:rPr>
            </w:pPr>
            <w:r>
              <w:rPr>
                <w:rFonts w:ascii="Arial" w:cs="Arial" w:eastAsia="Arial" w:hAnsi="Arial"/>
                <w:sz w:val="18"/>
                <w:szCs w:val="18"/>
                <w:color w:val="auto"/>
              </w:rPr>
              <w:t>31,617</w:t>
            </w:r>
          </w:p>
        </w:tc>
        <w:tc>
          <w:tcPr>
            <w:tcW w:w="26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120" w:type="dxa"/>
            <w:vAlign w:val="bottom"/>
            <w:gridSpan w:val="4"/>
            <w:vMerge w:val="continue"/>
          </w:tcPr>
          <w:p>
            <w:pPr>
              <w:spacing w:after="0"/>
              <w:rPr>
                <w:sz w:val="8"/>
                <w:szCs w:val="8"/>
                <w:color w:val="auto"/>
              </w:rPr>
            </w:pPr>
          </w:p>
        </w:tc>
        <w:tc>
          <w:tcPr>
            <w:tcW w:w="25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Troy R. Johnson</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42,261</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Arial" w:cs="Arial" w:eastAsia="Arial" w:hAnsi="Arial"/>
                <w:sz w:val="18"/>
                <w:szCs w:val="18"/>
                <w:color w:val="auto"/>
              </w:rPr>
              <w:t>Raelyn A. Trende</w:t>
            </w:r>
          </w:p>
        </w:tc>
        <w:tc>
          <w:tcPr>
            <w:tcW w:w="2500" w:type="dxa"/>
            <w:vAlign w:val="bottom"/>
          </w:tcPr>
          <w:p>
            <w:pPr>
              <w:jc w:val="right"/>
              <w:ind w:right="570"/>
              <w:spacing w:after="0"/>
              <w:rPr>
                <w:sz w:val="20"/>
                <w:szCs w:val="20"/>
                <w:color w:val="auto"/>
              </w:rPr>
            </w:pPr>
            <w:r>
              <w:rPr>
                <w:rFonts w:ascii="Arial" w:cs="Arial" w:eastAsia="Arial" w:hAnsi="Arial"/>
                <w:sz w:val="18"/>
                <w:szCs w:val="18"/>
                <w:color w:val="auto"/>
              </w:rPr>
              <w:t>16,360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20" w:type="dxa"/>
            <w:vAlign w:val="bottom"/>
            <w:gridSpan w:val="4"/>
            <w:vMerge w:val="restart"/>
          </w:tcPr>
          <w:p>
            <w:pPr>
              <w:spacing w:after="0"/>
              <w:rPr>
                <w:sz w:val="20"/>
                <w:szCs w:val="20"/>
                <w:color w:val="auto"/>
              </w:rPr>
            </w:pPr>
            <w:r>
              <w:rPr>
                <w:rFonts w:ascii="Arial" w:cs="Arial" w:eastAsia="Arial" w:hAnsi="Arial"/>
                <w:sz w:val="18"/>
                <w:szCs w:val="18"/>
                <w:color w:val="auto"/>
              </w:rPr>
              <w:t>All directors and executive officers as a group (16 persons)</w:t>
            </w:r>
          </w:p>
        </w:tc>
        <w:tc>
          <w:tcPr>
            <w:tcW w:w="2500" w:type="dxa"/>
            <w:vAlign w:val="bottom"/>
            <w:vMerge w:val="restart"/>
          </w:tcPr>
          <w:p>
            <w:pPr>
              <w:jc w:val="right"/>
              <w:ind w:right="1190"/>
              <w:spacing w:after="0"/>
              <w:rPr>
                <w:sz w:val="20"/>
                <w:szCs w:val="20"/>
                <w:color w:val="auto"/>
              </w:rPr>
            </w:pPr>
            <w:r>
              <w:rPr>
                <w:rFonts w:ascii="Arial" w:cs="Arial" w:eastAsia="Arial" w:hAnsi="Arial"/>
                <w:sz w:val="18"/>
                <w:szCs w:val="18"/>
                <w:color w:val="auto"/>
              </w:rPr>
              <w:t>434,520</w:t>
            </w:r>
          </w:p>
        </w:tc>
        <w:tc>
          <w:tcPr>
            <w:tcW w:w="26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120" w:type="dxa"/>
            <w:vAlign w:val="bottom"/>
            <w:gridSpan w:val="4"/>
            <w:vMerge w:val="continue"/>
          </w:tcPr>
          <w:p>
            <w:pPr>
              <w:spacing w:after="0"/>
              <w:rPr>
                <w:sz w:val="8"/>
                <w:szCs w:val="8"/>
                <w:color w:val="auto"/>
              </w:rPr>
            </w:pPr>
          </w:p>
        </w:tc>
        <w:tc>
          <w:tcPr>
            <w:tcW w:w="25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-2564765</wp:posOffset>
            </wp:positionV>
            <wp:extent cx="706374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-2221865</wp:posOffset>
            </wp:positionV>
            <wp:extent cx="706374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-1878965</wp:posOffset>
            </wp:positionV>
            <wp:extent cx="706374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-1536065</wp:posOffset>
            </wp:positionV>
            <wp:extent cx="706374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-1021715</wp:posOffset>
            </wp:positionV>
            <wp:extent cx="706374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-678815</wp:posOffset>
            </wp:positionV>
            <wp:extent cx="706374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-335915</wp:posOffset>
            </wp:positionV>
            <wp:extent cx="706374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63740" cy="18034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5445E"/>
        </w:rPr>
        <w:t>Percent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05445E"/>
        </w:rPr>
        <w:t>of Class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5445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23495</wp:posOffset>
            </wp:positionV>
            <wp:extent cx="12941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2%</w:t>
      </w:r>
    </w:p>
    <w:p>
      <w:pPr>
        <w:spacing w:after="0" w:line="373" w:lineRule="exact"/>
        <w:rPr>
          <w:sz w:val="20"/>
          <w:szCs w:val="20"/>
          <w:color w:val="auto"/>
        </w:rPr>
      </w:pPr>
    </w:p>
    <w:p>
      <w:pPr>
        <w:sectPr>
          <w:pgSz w:w="11900" w:h="16838" w:orient="portrait"/>
          <w:cols w:equalWidth="0" w:num="2">
            <w:col w:w="9080" w:space="720"/>
            <w:col w:w="1440"/>
          </w:cols>
          <w:pgMar w:left="320" w:top="1141" w:right="339" w:bottom="1440" w:gutter="0" w:footer="0" w:header="0"/>
          <w:type w:val="continuous"/>
        </w:sectPr>
      </w:pPr>
    </w:p>
    <w:p>
      <w:pPr>
        <w:spacing w:after="0"/>
        <w:rPr>
          <w:sz w:val="20"/>
          <w:szCs w:val="20"/>
          <w:color w:val="auto"/>
        </w:rPr>
      </w:pPr>
      <w:r>
        <w:rPr>
          <w:rFonts w:ascii="Arial" w:cs="Arial" w:eastAsia="Arial" w:hAnsi="Arial"/>
          <w:sz w:val="18"/>
          <w:szCs w:val="18"/>
          <w:color w:val="auto"/>
        </w:rPr>
        <w:t>* Indicates less than 1%.</w:t>
      </w:r>
    </w:p>
    <w:p>
      <w:pPr>
        <w:spacing w:after="0" w:line="117" w:lineRule="exact"/>
        <w:rPr>
          <w:sz w:val="20"/>
          <w:szCs w:val="20"/>
          <w:color w:val="auto"/>
        </w:rPr>
      </w:pPr>
    </w:p>
    <w:p>
      <w:pPr>
        <w:ind w:left="500" w:right="20" w:hanging="492"/>
        <w:spacing w:after="0" w:line="287" w:lineRule="auto"/>
        <w:tabs>
          <w:tab w:leader="none" w:pos="4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Unless otherwise indicated, the individuals listed in the table have sole voting and investment power with respect to the shares owned by them, and such shares are not subject to any pledge.</w:t>
      </w:r>
    </w:p>
    <w:p>
      <w:pPr>
        <w:spacing w:after="0" w:line="44" w:lineRule="exact"/>
        <w:rPr>
          <w:rFonts w:ascii="Arial" w:cs="Arial" w:eastAsia="Arial" w:hAnsi="Arial"/>
          <w:sz w:val="18"/>
          <w:szCs w:val="18"/>
          <w:color w:val="auto"/>
        </w:rPr>
      </w:pPr>
    </w:p>
    <w:p>
      <w:pPr>
        <w:jc w:val="both"/>
        <w:ind w:left="500" w:hanging="492"/>
        <w:spacing w:after="0" w:line="268" w:lineRule="auto"/>
        <w:tabs>
          <w:tab w:leader="none" w:pos="4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our non-employee directors, the number indicated includes the following shares of restricted stock issued to the named individual pursuant to our 2009 Non-Employee Director Stock Incentive Plan, as Amended (2014) (the “2009 Director Stock Plan”) and 2019 Non-Employee Director Stock Plan, as Amended and Restated (2024) (the “2019 Director Stock Plan”).</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55"/>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5445E"/>
              </w:rPr>
              <w:t>Director</w:t>
            </w:r>
          </w:p>
        </w:tc>
        <w:tc>
          <w:tcPr>
            <w:tcW w:w="260" w:type="dxa"/>
            <w:vAlign w:val="bottom"/>
            <w:tcBorders>
              <w:bottom w:val="single" w:sz="8" w:color="D9D9D9"/>
            </w:tcBorders>
          </w:tcPr>
          <w:p>
            <w:pPr>
              <w:spacing w:after="0"/>
              <w:rPr>
                <w:sz w:val="22"/>
                <w:szCs w:val="22"/>
                <w:color w:val="auto"/>
              </w:rPr>
            </w:pPr>
          </w:p>
        </w:tc>
        <w:tc>
          <w:tcPr>
            <w:tcW w:w="3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05445E"/>
              </w:rPr>
              <w:t>Shares of Restricted Stock</w:t>
            </w:r>
          </w:p>
        </w:tc>
        <w:tc>
          <w:tcPr>
            <w:tcW w:w="80" w:type="dxa"/>
            <w:vAlign w:val="bottom"/>
            <w:tcBorders>
              <w:bottom w:val="single" w:sz="8" w:color="D9D9D9"/>
            </w:tcBorders>
          </w:tcPr>
          <w:p>
            <w:pPr>
              <w:spacing w:after="0"/>
              <w:rPr>
                <w:sz w:val="22"/>
                <w:szCs w:val="22"/>
                <w:color w:val="auto"/>
              </w:rPr>
            </w:pPr>
          </w:p>
        </w:tc>
      </w:tr>
      <w:tr>
        <w:trPr>
          <w:trHeight w:val="270"/>
        </w:trPr>
        <w:tc>
          <w:tcPr>
            <w:tcW w:w="4540" w:type="dxa"/>
            <w:vAlign w:val="bottom"/>
            <w:gridSpan w:val="2"/>
            <w:shd w:val="clear" w:color="auto" w:fill="D9D9D9"/>
          </w:tcPr>
          <w:p>
            <w:pPr>
              <w:ind w:left="100"/>
              <w:spacing w:after="0"/>
              <w:rPr>
                <w:sz w:val="20"/>
                <w:szCs w:val="20"/>
                <w:color w:val="auto"/>
              </w:rPr>
            </w:pPr>
            <w:r>
              <w:rPr>
                <w:rFonts w:ascii="Arial" w:cs="Arial" w:eastAsia="Arial" w:hAnsi="Arial"/>
                <w:sz w:val="18"/>
                <w:szCs w:val="18"/>
                <w:color w:val="auto"/>
              </w:rPr>
              <w:t>Elizabeth M. Lilly</w:t>
            </w:r>
            <w:r>
              <w:rPr>
                <w:rFonts w:ascii="Arial" w:cs="Arial" w:eastAsia="Arial" w:hAnsi="Arial"/>
                <w:sz w:val="23"/>
                <w:szCs w:val="23"/>
                <w:color w:val="auto"/>
                <w:vertAlign w:val="superscript"/>
              </w:rPr>
              <w:t>(a)</w:t>
            </w:r>
          </w:p>
        </w:tc>
        <w:tc>
          <w:tcPr>
            <w:tcW w:w="3180" w:type="dxa"/>
            <w:vAlign w:val="bottom"/>
            <w:shd w:val="clear" w:color="auto" w:fill="D9D9D9"/>
          </w:tcPr>
          <w:p>
            <w:pPr>
              <w:jc w:val="right"/>
              <w:ind w:right="910"/>
              <w:spacing w:after="0"/>
              <w:rPr>
                <w:sz w:val="20"/>
                <w:szCs w:val="20"/>
                <w:color w:val="auto"/>
              </w:rPr>
            </w:pPr>
            <w:r>
              <w:rPr>
                <w:rFonts w:ascii="Arial" w:cs="Arial" w:eastAsia="Arial" w:hAnsi="Arial"/>
                <w:sz w:val="18"/>
                <w:szCs w:val="18"/>
                <w:color w:val="auto"/>
              </w:rPr>
              <w:t>1,325</w:t>
            </w:r>
          </w:p>
        </w:tc>
        <w:tc>
          <w:tcPr>
            <w:tcW w:w="80" w:type="dxa"/>
            <w:vAlign w:val="bottom"/>
            <w:shd w:val="clear" w:color="auto" w:fill="D9D9D9"/>
          </w:tcPr>
          <w:p>
            <w:pPr>
              <w:spacing w:after="0"/>
              <w:rPr>
                <w:sz w:val="23"/>
                <w:szCs w:val="23"/>
                <w:color w:val="auto"/>
              </w:rPr>
            </w:pPr>
          </w:p>
        </w:tc>
      </w:tr>
      <w:tr>
        <w:trPr>
          <w:trHeight w:val="247"/>
        </w:trPr>
        <w:tc>
          <w:tcPr>
            <w:tcW w:w="4540" w:type="dxa"/>
            <w:vAlign w:val="bottom"/>
            <w:gridSpan w:val="2"/>
          </w:tcPr>
          <w:p>
            <w:pPr>
              <w:ind w:left="100"/>
              <w:spacing w:after="0"/>
              <w:rPr>
                <w:sz w:val="20"/>
                <w:szCs w:val="20"/>
                <w:color w:val="auto"/>
              </w:rPr>
            </w:pPr>
            <w:r>
              <w:rPr>
                <w:rFonts w:ascii="Arial" w:cs="Arial" w:eastAsia="Arial" w:hAnsi="Arial"/>
                <w:sz w:val="18"/>
                <w:szCs w:val="18"/>
                <w:color w:val="auto"/>
              </w:rPr>
              <w:t>Herbert K. Parker</w:t>
            </w:r>
          </w:p>
        </w:tc>
        <w:tc>
          <w:tcPr>
            <w:tcW w:w="3180" w:type="dxa"/>
            <w:vAlign w:val="bottom"/>
          </w:tcPr>
          <w:p>
            <w:pPr>
              <w:jc w:val="right"/>
              <w:ind w:right="910"/>
              <w:spacing w:after="0"/>
              <w:rPr>
                <w:sz w:val="20"/>
                <w:szCs w:val="20"/>
                <w:color w:val="auto"/>
              </w:rPr>
            </w:pPr>
            <w:r>
              <w:rPr>
                <w:rFonts w:ascii="Arial" w:cs="Arial" w:eastAsia="Arial" w:hAnsi="Arial"/>
                <w:sz w:val="18"/>
                <w:szCs w:val="18"/>
                <w:color w:val="auto"/>
              </w:rPr>
              <w:t>4,423</w:t>
            </w:r>
          </w:p>
        </w:tc>
        <w:tc>
          <w:tcPr>
            <w:tcW w:w="80" w:type="dxa"/>
            <w:vAlign w:val="bottom"/>
          </w:tcPr>
          <w:p>
            <w:pPr>
              <w:spacing w:after="0"/>
              <w:rPr>
                <w:sz w:val="21"/>
                <w:szCs w:val="21"/>
                <w:color w:val="auto"/>
              </w:rPr>
            </w:pPr>
          </w:p>
        </w:tc>
      </w:tr>
      <w:tr>
        <w:trPr>
          <w:trHeight w:val="23"/>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7"/>
        </w:trPr>
        <w:tc>
          <w:tcPr>
            <w:tcW w:w="4540" w:type="dxa"/>
            <w:vAlign w:val="bottom"/>
            <w:gridSpan w:val="2"/>
            <w:shd w:val="clear" w:color="auto" w:fill="D9D9D9"/>
          </w:tcPr>
          <w:p>
            <w:pPr>
              <w:ind w:left="100"/>
              <w:spacing w:after="0"/>
              <w:rPr>
                <w:sz w:val="20"/>
                <w:szCs w:val="20"/>
                <w:color w:val="auto"/>
              </w:rPr>
            </w:pPr>
            <w:r>
              <w:rPr>
                <w:rFonts w:ascii="Arial" w:cs="Arial" w:eastAsia="Arial" w:hAnsi="Arial"/>
                <w:sz w:val="18"/>
                <w:szCs w:val="18"/>
                <w:color w:val="auto"/>
              </w:rPr>
              <w:t>Patricia K. Wagner</w:t>
            </w:r>
          </w:p>
        </w:tc>
        <w:tc>
          <w:tcPr>
            <w:tcW w:w="3180" w:type="dxa"/>
            <w:vAlign w:val="bottom"/>
            <w:shd w:val="clear" w:color="auto" w:fill="D9D9D9"/>
          </w:tcPr>
          <w:p>
            <w:pPr>
              <w:jc w:val="right"/>
              <w:ind w:right="910"/>
              <w:spacing w:after="0"/>
              <w:rPr>
                <w:sz w:val="20"/>
                <w:szCs w:val="20"/>
                <w:color w:val="auto"/>
              </w:rPr>
            </w:pPr>
            <w:r>
              <w:rPr>
                <w:rFonts w:ascii="Arial" w:cs="Arial" w:eastAsia="Arial" w:hAnsi="Arial"/>
                <w:sz w:val="18"/>
                <w:szCs w:val="18"/>
                <w:color w:val="auto"/>
              </w:rPr>
              <w:t>4,423</w:t>
            </w:r>
          </w:p>
        </w:tc>
        <w:tc>
          <w:tcPr>
            <w:tcW w:w="80" w:type="dxa"/>
            <w:vAlign w:val="bottom"/>
            <w:shd w:val="clear" w:color="auto" w:fill="D9D9D9"/>
          </w:tcPr>
          <w:p>
            <w:pPr>
              <w:spacing w:after="0"/>
              <w:rPr>
                <w:sz w:val="21"/>
                <w:szCs w:val="21"/>
                <w:color w:val="auto"/>
              </w:rPr>
            </w:pPr>
          </w:p>
        </w:tc>
      </w:tr>
      <w:tr>
        <w:trPr>
          <w:trHeight w:val="23"/>
        </w:trPr>
        <w:tc>
          <w:tcPr>
            <w:tcW w:w="4280" w:type="dxa"/>
            <w:vAlign w:val="bottom"/>
            <w:shd w:val="clear" w:color="auto" w:fill="D9D9D9"/>
          </w:tcPr>
          <w:p>
            <w:pPr>
              <w:spacing w:after="0"/>
              <w:rPr>
                <w:sz w:val="2"/>
                <w:szCs w:val="2"/>
                <w:color w:val="auto"/>
              </w:rPr>
            </w:pPr>
          </w:p>
        </w:tc>
        <w:tc>
          <w:tcPr>
            <w:tcW w:w="260" w:type="dxa"/>
            <w:vAlign w:val="bottom"/>
            <w:shd w:val="clear" w:color="auto" w:fill="D9D9D9"/>
          </w:tcPr>
          <w:p>
            <w:pPr>
              <w:spacing w:after="0"/>
              <w:rPr>
                <w:sz w:val="2"/>
                <w:szCs w:val="2"/>
                <w:color w:val="auto"/>
              </w:rPr>
            </w:pPr>
          </w:p>
        </w:tc>
        <w:tc>
          <w:tcPr>
            <w:tcW w:w="3180" w:type="dxa"/>
            <w:vAlign w:val="bottom"/>
            <w:shd w:val="clear" w:color="auto" w:fill="D9D9D9"/>
          </w:tcPr>
          <w:p>
            <w:pPr>
              <w:spacing w:after="0"/>
              <w:rPr>
                <w:sz w:val="2"/>
                <w:szCs w:val="2"/>
                <w:color w:val="auto"/>
              </w:rPr>
            </w:pPr>
          </w:p>
        </w:tc>
        <w:tc>
          <w:tcPr>
            <w:tcW w:w="80" w:type="dxa"/>
            <w:vAlign w:val="bottom"/>
            <w:shd w:val="clear" w:color="auto" w:fill="D9D9D9"/>
          </w:tcPr>
          <w:p>
            <w:pPr>
              <w:spacing w:after="0"/>
              <w:rPr>
                <w:sz w:val="2"/>
                <w:szCs w:val="2"/>
                <w:color w:val="auto"/>
              </w:rPr>
            </w:pPr>
          </w:p>
        </w:tc>
      </w:tr>
    </w:tbl>
    <w:p>
      <w:pPr>
        <w:spacing w:after="0" w:line="284" w:lineRule="exact"/>
        <w:rPr>
          <w:sz w:val="20"/>
          <w:szCs w:val="20"/>
          <w:color w:val="auto"/>
        </w:rPr>
      </w:pPr>
    </w:p>
    <w:p>
      <w:pPr>
        <w:ind w:left="1300"/>
        <w:spacing w:after="0"/>
        <w:rPr>
          <w:sz w:val="20"/>
          <w:szCs w:val="20"/>
          <w:color w:val="auto"/>
        </w:rPr>
      </w:pPr>
      <w:r>
        <w:rPr>
          <w:rFonts w:ascii="Arial" w:cs="Arial" w:eastAsia="Arial" w:hAnsi="Arial"/>
          <w:sz w:val="11"/>
          <w:szCs w:val="11"/>
          <w:color w:val="auto"/>
        </w:rPr>
        <w:t>___________________________</w:t>
      </w:r>
    </w:p>
    <w:p>
      <w:pPr>
        <w:spacing w:after="0" w:line="111" w:lineRule="exact"/>
        <w:rPr>
          <w:sz w:val="20"/>
          <w:szCs w:val="20"/>
          <w:color w:val="auto"/>
        </w:rPr>
      </w:pPr>
    </w:p>
    <w:p>
      <w:pPr>
        <w:ind w:left="1760" w:hanging="452"/>
        <w:spacing w:after="0" w:line="287" w:lineRule="auto"/>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Elected to defer a portion of or all of their restricted stock grants. Deferred awards appear in footnote (2) of the "Fiscal 2025 Non-Employee Director Compensation Table" on page </w:t>
      </w:r>
      <w:r>
        <w:rPr>
          <w:rFonts w:ascii="Arial" w:cs="Arial" w:eastAsia="Arial" w:hAnsi="Arial"/>
          <w:sz w:val="18"/>
          <w:szCs w:val="18"/>
          <w:u w:val="single" w:color="auto"/>
          <w:color w:val="0000FF"/>
        </w:rPr>
        <w:t>30</w:t>
      </w:r>
      <w:r>
        <w:rPr>
          <w:rFonts w:ascii="Arial" w:cs="Arial" w:eastAsia="Arial" w:hAnsi="Arial"/>
          <w:sz w:val="18"/>
          <w:szCs w:val="18"/>
          <w:color w:val="auto"/>
        </w:rPr>
        <w:t>.</w:t>
      </w:r>
    </w:p>
    <w:p>
      <w:pPr>
        <w:spacing w:after="0" w:line="45"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All shares of restricted stock held pursuant to our 2009 Director Stock Plan and 2019 Director Stock Plan are subject to future vesting conditions, and holders of such shares have no investment power over such shares.</w:t>
      </w:r>
    </w:p>
    <w:p>
      <w:pPr>
        <w:sectPr>
          <w:pgSz w:w="11900" w:h="16838" w:orient="portrait"/>
          <w:cols w:equalWidth="0" w:num="1">
            <w:col w:w="11240"/>
          </w:cols>
          <w:pgMar w:left="320" w:top="1141" w:right="33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type w:val="continuous"/>
        </w:sectPr>
      </w:pPr>
    </w:p>
    <w:bookmarkStart w:id="13" w:name="page14"/>
    <w:bookmarkEnd w:id="13"/>
    <w:p>
      <w:pPr>
        <w:jc w:val="both"/>
        <w:ind w:left="500"/>
        <w:spacing w:after="0" w:line="268" w:lineRule="auto"/>
        <w:rPr>
          <w:sz w:val="20"/>
          <w:szCs w:val="20"/>
          <w:color w:val="auto"/>
        </w:rPr>
      </w:pPr>
      <w:r>
        <w:rPr>
          <w:rFonts w:ascii="Arial" w:cs="Arial" w:eastAsia="Arial" w:hAnsi="Arial"/>
          <w:sz w:val="18"/>
          <w:szCs w:val="18"/>
          <w:color w:val="auto"/>
        </w:rPr>
        <w:t>For our executive officers, the number of shares indicated includes the following shares issued to the named individual pursuant to our 2019 Stock Incentive Plan, as Amended and Restated (2021) (the “2019 Stock Incentive Plan”) and our Employee Stock Purchase Plan.</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05445E"/>
              </w:rPr>
              <w:t>Shares Held in Employee</w:t>
            </w:r>
          </w:p>
        </w:tc>
      </w:tr>
      <w:tr>
        <w:trPr>
          <w:trHeight w:val="255"/>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5445E"/>
              </w:rPr>
              <w:t>Named Executive Officers</w:t>
            </w:r>
          </w:p>
        </w:tc>
        <w:tc>
          <w:tcPr>
            <w:tcW w:w="80" w:type="dxa"/>
            <w:vAlign w:val="bottom"/>
            <w:tcBorders>
              <w:bottom w:val="single" w:sz="8" w:color="D9D9D9"/>
            </w:tcBorders>
          </w:tcPr>
          <w:p>
            <w:pPr>
              <w:spacing w:after="0"/>
              <w:rPr>
                <w:sz w:val="22"/>
                <w:szCs w:val="22"/>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5445E"/>
              </w:rPr>
              <w:t>Shares of Restricted Stock</w:t>
            </w:r>
          </w:p>
        </w:tc>
        <w:tc>
          <w:tcPr>
            <w:tcW w:w="100" w:type="dxa"/>
            <w:vAlign w:val="bottom"/>
            <w:tcBorders>
              <w:bottom w:val="single" w:sz="8" w:color="D9D9D9"/>
            </w:tcBorders>
          </w:tcPr>
          <w:p>
            <w:pPr>
              <w:spacing w:after="0"/>
              <w:rPr>
                <w:sz w:val="22"/>
                <w:szCs w:val="22"/>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Stock Purchase Plan</w:t>
            </w:r>
          </w:p>
        </w:tc>
      </w:tr>
      <w:tr>
        <w:trPr>
          <w:trHeight w:val="250"/>
        </w:trPr>
        <w:tc>
          <w:tcPr>
            <w:tcW w:w="424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Ty R. Silberhorn</w:t>
            </w:r>
          </w:p>
        </w:tc>
        <w:tc>
          <w:tcPr>
            <w:tcW w:w="2400" w:type="dxa"/>
            <w:vAlign w:val="bottom"/>
            <w:tcBorders>
              <w:bottom w:val="single" w:sz="8" w:color="D9D9D9"/>
            </w:tcBorders>
            <w:shd w:val="clear" w:color="auto" w:fill="D9D9D9"/>
          </w:tcPr>
          <w:p>
            <w:pPr>
              <w:jc w:val="right"/>
              <w:ind w:right="570"/>
              <w:spacing w:after="0"/>
              <w:rPr>
                <w:sz w:val="20"/>
                <w:szCs w:val="20"/>
                <w:color w:val="auto"/>
              </w:rPr>
            </w:pPr>
            <w:r>
              <w:rPr>
                <w:rFonts w:ascii="Arial" w:cs="Arial" w:eastAsia="Arial" w:hAnsi="Arial"/>
                <w:sz w:val="18"/>
                <w:szCs w:val="18"/>
                <w:color w:val="auto"/>
              </w:rPr>
              <w:t>98,178</w:t>
            </w:r>
          </w:p>
        </w:tc>
        <w:tc>
          <w:tcPr>
            <w:tcW w:w="100" w:type="dxa"/>
            <w:vAlign w:val="bottom"/>
            <w:tcBorders>
              <w:bottom w:val="single" w:sz="8" w:color="D9D9D9"/>
            </w:tcBorders>
            <w:shd w:val="clear" w:color="auto" w:fill="D9D9D9"/>
          </w:tcPr>
          <w:p>
            <w:pPr>
              <w:spacing w:after="0"/>
              <w:rPr>
                <w:sz w:val="21"/>
                <w:szCs w:val="21"/>
                <w:color w:val="auto"/>
              </w:rPr>
            </w:pPr>
          </w:p>
        </w:tc>
        <w:tc>
          <w:tcPr>
            <w:tcW w:w="2700" w:type="dxa"/>
            <w:vAlign w:val="bottom"/>
            <w:tcBorders>
              <w:bottom w:val="single" w:sz="8" w:color="D9D9D9"/>
            </w:tcBorders>
            <w:shd w:val="clear" w:color="auto" w:fill="D9D9D9"/>
          </w:tcPr>
          <w:p>
            <w:pPr>
              <w:jc w:val="right"/>
              <w:ind w:right="1390"/>
              <w:spacing w:after="0"/>
              <w:rPr>
                <w:sz w:val="20"/>
                <w:szCs w:val="20"/>
                <w:color w:val="auto"/>
              </w:rPr>
            </w:pPr>
            <w:r>
              <w:rPr>
                <w:rFonts w:ascii="Arial" w:cs="Arial" w:eastAsia="Arial" w:hAnsi="Arial"/>
                <w:sz w:val="18"/>
                <w:szCs w:val="18"/>
                <w:color w:val="auto"/>
              </w:rPr>
              <w:t>2,195</w:t>
            </w:r>
          </w:p>
        </w:tc>
      </w:tr>
      <w:tr>
        <w:trPr>
          <w:trHeight w:val="247"/>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Matthew J. Osberg</w:t>
            </w:r>
          </w:p>
        </w:tc>
        <w:tc>
          <w:tcPr>
            <w:tcW w:w="2400" w:type="dxa"/>
            <w:vAlign w:val="bottom"/>
          </w:tcPr>
          <w:p>
            <w:pPr>
              <w:jc w:val="right"/>
              <w:ind w:right="570"/>
              <w:spacing w:after="0"/>
              <w:rPr>
                <w:sz w:val="20"/>
                <w:szCs w:val="20"/>
                <w:color w:val="auto"/>
              </w:rPr>
            </w:pPr>
            <w:r>
              <w:rPr>
                <w:rFonts w:ascii="Arial" w:cs="Arial" w:eastAsia="Arial" w:hAnsi="Arial"/>
                <w:sz w:val="18"/>
                <w:szCs w:val="18"/>
                <w:color w:val="auto"/>
              </w:rPr>
              <w:t>27,304</w:t>
            </w:r>
          </w:p>
        </w:tc>
        <w:tc>
          <w:tcPr>
            <w:tcW w:w="10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424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Brent C. Jewell</w:t>
            </w:r>
          </w:p>
        </w:tc>
        <w:tc>
          <w:tcPr>
            <w:tcW w:w="2400" w:type="dxa"/>
            <w:vAlign w:val="bottom"/>
            <w:tcBorders>
              <w:bottom w:val="single" w:sz="8" w:color="D9D9D9"/>
            </w:tcBorders>
            <w:shd w:val="clear" w:color="auto" w:fill="D9D9D9"/>
          </w:tcPr>
          <w:p>
            <w:pPr>
              <w:jc w:val="right"/>
              <w:ind w:right="570"/>
              <w:spacing w:after="0"/>
              <w:rPr>
                <w:sz w:val="20"/>
                <w:szCs w:val="20"/>
                <w:color w:val="auto"/>
              </w:rPr>
            </w:pPr>
            <w:r>
              <w:rPr>
                <w:rFonts w:ascii="Arial" w:cs="Arial" w:eastAsia="Arial" w:hAnsi="Arial"/>
                <w:sz w:val="18"/>
                <w:szCs w:val="18"/>
                <w:color w:val="auto"/>
              </w:rPr>
              <w:t>17,547</w:t>
            </w:r>
          </w:p>
        </w:tc>
        <w:tc>
          <w:tcPr>
            <w:tcW w:w="100" w:type="dxa"/>
            <w:vAlign w:val="bottom"/>
            <w:tcBorders>
              <w:bottom w:val="single" w:sz="8" w:color="D9D9D9"/>
            </w:tcBorders>
            <w:shd w:val="clear" w:color="auto" w:fill="D9D9D9"/>
          </w:tcPr>
          <w:p>
            <w:pPr>
              <w:spacing w:after="0"/>
              <w:rPr>
                <w:sz w:val="21"/>
                <w:szCs w:val="21"/>
                <w:color w:val="auto"/>
              </w:rPr>
            </w:pPr>
          </w:p>
        </w:tc>
        <w:tc>
          <w:tcPr>
            <w:tcW w:w="27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9"/>
              </w:rPr>
              <w:t>—</w:t>
            </w:r>
          </w:p>
        </w:tc>
      </w:tr>
      <w:tr>
        <w:trPr>
          <w:trHeight w:val="247"/>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Troy R. Johnson</w:t>
            </w:r>
          </w:p>
        </w:tc>
        <w:tc>
          <w:tcPr>
            <w:tcW w:w="2400" w:type="dxa"/>
            <w:vAlign w:val="bottom"/>
          </w:tcPr>
          <w:p>
            <w:pPr>
              <w:jc w:val="right"/>
              <w:ind w:right="570"/>
              <w:spacing w:after="0"/>
              <w:rPr>
                <w:sz w:val="20"/>
                <w:szCs w:val="20"/>
                <w:color w:val="auto"/>
              </w:rPr>
            </w:pPr>
            <w:r>
              <w:rPr>
                <w:rFonts w:ascii="Arial" w:cs="Arial" w:eastAsia="Arial" w:hAnsi="Arial"/>
                <w:sz w:val="18"/>
                <w:szCs w:val="18"/>
                <w:color w:val="auto"/>
              </w:rPr>
              <w:t>14,896</w:t>
            </w:r>
          </w:p>
        </w:tc>
        <w:tc>
          <w:tcPr>
            <w:tcW w:w="100" w:type="dxa"/>
            <w:vAlign w:val="bottom"/>
          </w:tcPr>
          <w:p>
            <w:pPr>
              <w:spacing w:after="0"/>
              <w:rPr>
                <w:sz w:val="21"/>
                <w:szCs w:val="21"/>
                <w:color w:val="auto"/>
              </w:rPr>
            </w:pPr>
          </w:p>
        </w:tc>
        <w:tc>
          <w:tcPr>
            <w:tcW w:w="2700" w:type="dxa"/>
            <w:vAlign w:val="bottom"/>
          </w:tcPr>
          <w:p>
            <w:pPr>
              <w:jc w:val="right"/>
              <w:ind w:right="1390"/>
              <w:spacing w:after="0"/>
              <w:rPr>
                <w:sz w:val="20"/>
                <w:szCs w:val="20"/>
                <w:color w:val="auto"/>
              </w:rPr>
            </w:pPr>
            <w:r>
              <w:rPr>
                <w:rFonts w:ascii="Arial" w:cs="Arial" w:eastAsia="Arial" w:hAnsi="Arial"/>
                <w:sz w:val="18"/>
                <w:szCs w:val="18"/>
                <w:color w:val="auto"/>
              </w:rPr>
              <w:t>3,309</w:t>
            </w:r>
          </w:p>
        </w:tc>
      </w:tr>
      <w:tr>
        <w:trPr>
          <w:trHeight w:val="23"/>
        </w:trPr>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47"/>
        </w:trPr>
        <w:tc>
          <w:tcPr>
            <w:tcW w:w="42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Raelyn A. Trende</w:t>
            </w:r>
          </w:p>
        </w:tc>
        <w:tc>
          <w:tcPr>
            <w:tcW w:w="2400" w:type="dxa"/>
            <w:vAlign w:val="bottom"/>
            <w:shd w:val="clear" w:color="auto" w:fill="DBDBDB"/>
          </w:tcPr>
          <w:p>
            <w:pPr>
              <w:jc w:val="right"/>
              <w:ind w:right="570"/>
              <w:spacing w:after="0"/>
              <w:rPr>
                <w:sz w:val="20"/>
                <w:szCs w:val="20"/>
                <w:color w:val="auto"/>
              </w:rPr>
            </w:pPr>
            <w:r>
              <w:rPr>
                <w:rFonts w:ascii="Arial" w:cs="Arial" w:eastAsia="Arial" w:hAnsi="Arial"/>
                <w:sz w:val="18"/>
                <w:szCs w:val="18"/>
                <w:color w:val="auto"/>
              </w:rPr>
              <w:t>16,160</w:t>
            </w:r>
          </w:p>
        </w:tc>
        <w:tc>
          <w:tcPr>
            <w:tcW w:w="100" w:type="dxa"/>
            <w:vAlign w:val="bottom"/>
            <w:shd w:val="clear" w:color="auto" w:fill="DBDBDB"/>
          </w:tcPr>
          <w:p>
            <w:pPr>
              <w:spacing w:after="0"/>
              <w:rPr>
                <w:sz w:val="21"/>
                <w:szCs w:val="21"/>
                <w:color w:val="auto"/>
              </w:rPr>
            </w:pPr>
          </w:p>
        </w:tc>
        <w:tc>
          <w:tcPr>
            <w:tcW w:w="2700" w:type="dxa"/>
            <w:vAlign w:val="bottom"/>
            <w:shd w:val="clear" w:color="auto" w:fill="DBDBDB"/>
          </w:tcPr>
          <w:p>
            <w:pPr>
              <w:jc w:val="right"/>
              <w:ind w:right="1330"/>
              <w:spacing w:after="0"/>
              <w:rPr>
                <w:sz w:val="20"/>
                <w:szCs w:val="20"/>
                <w:color w:val="auto"/>
              </w:rPr>
            </w:pPr>
            <w:r>
              <w:rPr>
                <w:rFonts w:ascii="Arial" w:cs="Arial" w:eastAsia="Arial" w:hAnsi="Arial"/>
                <w:sz w:val="18"/>
                <w:szCs w:val="18"/>
                <w:color w:val="auto"/>
              </w:rPr>
              <w:t>200</w:t>
            </w:r>
          </w:p>
        </w:tc>
      </w:tr>
      <w:tr>
        <w:trPr>
          <w:trHeight w:val="23"/>
        </w:trPr>
        <w:tc>
          <w:tcPr>
            <w:tcW w:w="41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24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700" w:type="dxa"/>
            <w:vAlign w:val="bottom"/>
            <w:shd w:val="clear" w:color="auto" w:fill="DBDBDB"/>
          </w:tcPr>
          <w:p>
            <w:pPr>
              <w:spacing w:after="0"/>
              <w:rPr>
                <w:sz w:val="2"/>
                <w:szCs w:val="2"/>
                <w:color w:val="auto"/>
              </w:rPr>
            </w:pPr>
          </w:p>
        </w:tc>
      </w:tr>
    </w:tbl>
    <w:p>
      <w:pPr>
        <w:spacing w:after="0" w:line="184"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All shares of restricted stock held pursuant to our 2019 Stock Incentive Plan are subject to future vesting conditions, and the holders of such shares have no investment power over such shares.</w:t>
      </w:r>
    </w:p>
    <w:p>
      <w:pPr>
        <w:spacing w:after="0" w:line="45"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2,358 shares that Mr. Heard has the right to acquire upon vesting of restricted stock units within 60 days of April 28, 2025.</w:t>
      </w:r>
    </w:p>
    <w:p>
      <w:pPr>
        <w:spacing w:after="0" w:line="117" w:lineRule="exact"/>
        <w:rPr>
          <w:rFonts w:ascii="Arial" w:cs="Arial" w:eastAsia="Arial" w:hAnsi="Arial"/>
          <w:sz w:val="18"/>
          <w:szCs w:val="18"/>
          <w:color w:val="auto"/>
        </w:rPr>
      </w:pPr>
    </w:p>
    <w:p>
      <w:pPr>
        <w:ind w:left="500" w:hanging="492"/>
        <w:spacing w:after="0" w:line="287" w:lineRule="auto"/>
        <w:tabs>
          <w:tab w:leader="none" w:pos="4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66 shares held in a revocable living trust for which Mr. Jewell and his spouse serve as co-trustees with shared voting and investment power.</w:t>
      </w:r>
    </w:p>
    <w:p>
      <w:pPr>
        <w:spacing w:after="0" w:line="44" w:lineRule="exact"/>
        <w:rPr>
          <w:rFonts w:ascii="Arial" w:cs="Arial" w:eastAsia="Arial" w:hAnsi="Arial"/>
          <w:sz w:val="18"/>
          <w:szCs w:val="18"/>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all directors and executive officers of the Company serving in such capacity as of April 28,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5"/>
          <w:szCs w:val="25"/>
          <w:b w:val="1"/>
          <w:bCs w:val="1"/>
          <w:color w:val="auto"/>
        </w:rPr>
        <w:t>Delinquent Section 16(a) Reports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Section 16(a) of the Securities Exchange Act of 1934 requires our directors, officers and all persons who beneficially own more than 10% of the outstanding shares of common stock to file with the SEC initial reports of ownership and reports of changes in ownership of our common stock. Section 16(a) officers, directors and greater than 10% beneficial owners are also required to furnish us with copies of all Section 16(a) forms they file. Based solely on a review of Section 16(a) reports filed electronically with the SEC and written representations from certain reporting persons, we believe that all forms required to be filed by such persons under Section 16(a) were filed on a timely basis, with the exception of one late filing by Mr. L. Johnson to report the vesting of deferred shares of common stock of the Company on January 2, 2025, that was reported on a Form 4 on February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5"/>
          <w:szCs w:val="25"/>
          <w:b w:val="1"/>
          <w:bCs w:val="1"/>
          <w:color w:val="auto"/>
        </w:rPr>
        <w:t>Proposal 1: Election of Directors</w:t>
      </w: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Articles provide that our Board of Directors will be divided into three classes of directors of as nearly equal size as possible and the term of each class of directors is three years. The term of one class expires each year in rotation. Currently, we have nine directors, with three directors serving in each class. At our Annual Meeting, the terms of our two Class III directors will expire. On April 22, 2025, Class III director, Frank G. Heard informed the Board that he would retire from the Board and would not stand for re-election at the Annual Meeting. Mr. Heard will continue to serve on the Board until the Annual Meeting. Immediately following the certification of the vote for election of directors at the Annual Meeting, the size of our Board will be reduced to eight directors, with three directors in Class I and II and two directors in Class III.</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Elizabeth M. Lilly and Mark A. Pompa have been nominated for re-election to our Board as Class III directors. Class III directors re-elected at the Annual Meeting will serve until our 2028 Annual Meeting of Shareholders and until their successors are duly elected and qualified or until their earlier resignation or removal. Each of the nominees has agreed to serve as a director, if re-elected.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any of the nominees becomes unable or unwilling to serve as a director prior to the Annual Meeting, proxies will be voted for a substitute nominee or nominees designated by the Board. Alternatively, at the Board’s discretion, the proxies may be voted for a fewer number of nominees.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Information about the background and qualifications of the Board nominees standing for re-election at the Annual Meeting and the directors continuing to serve after the Annual Meeting who are not subject to re-election at the Annual Meeting is provided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Board Recommendation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Our Board of Directors recommends that you vote FOR the two Class III director nominees. Unless a contrary instruction is indicated on the proxy, proxies will be voted FOR the election of the two Class III director nominees.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6" w:name="page17"/>
    <w:bookmarkEnd w:id="16"/>
    <w:p>
      <w:pPr>
        <w:ind w:left="60"/>
        <w:spacing w:after="0"/>
        <w:rPr>
          <w:sz w:val="20"/>
          <w:szCs w:val="20"/>
          <w:color w:val="auto"/>
        </w:rPr>
      </w:pPr>
      <w:r>
        <w:rPr>
          <w:rFonts w:ascii="Arial" w:cs="Arial" w:eastAsia="Arial" w:hAnsi="Arial"/>
          <w:sz w:val="22"/>
          <w:szCs w:val="22"/>
          <w:b w:val="1"/>
          <w:bCs w:val="1"/>
          <w:color w:val="auto"/>
        </w:rPr>
        <w:t>Class III Directors – Terms Expiring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114935</wp:posOffset>
            </wp:positionV>
            <wp:extent cx="8255" cy="1834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183451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114935</wp:posOffset>
            </wp:positionV>
            <wp:extent cx="1371600" cy="17741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0" cy="1774190"/>
                    </a:xfrm>
                    <a:prstGeom prst="rect">
                      <a:avLst/>
                    </a:prstGeom>
                    <a:noFill/>
                  </pic:spPr>
                </pic:pic>
              </a:graphicData>
            </a:graphic>
          </wp:anchor>
        </w:drawing>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472"/>
        </w:trPr>
        <w:tc>
          <w:tcPr>
            <w:tcW w:w="4620" w:type="dxa"/>
            <w:vAlign w:val="bottom"/>
            <w:shd w:val="clear" w:color="auto" w:fill="D9D9D9"/>
          </w:tcPr>
          <w:p>
            <w:pPr>
              <w:ind w:left="2240"/>
              <w:spacing w:after="0"/>
              <w:rPr>
                <w:sz w:val="20"/>
                <w:szCs w:val="20"/>
                <w:color w:val="auto"/>
              </w:rPr>
            </w:pPr>
            <w:r>
              <w:rPr>
                <w:rFonts w:ascii="Arial" w:cs="Arial" w:eastAsia="Arial" w:hAnsi="Arial"/>
                <w:sz w:val="25"/>
                <w:szCs w:val="25"/>
                <w:b w:val="1"/>
                <w:bCs w:val="1"/>
                <w:color w:val="05445E"/>
              </w:rPr>
              <w:t>Elizabeth M. Lilly</w:t>
            </w:r>
          </w:p>
        </w:tc>
        <w:tc>
          <w:tcPr>
            <w:tcW w:w="4300" w:type="dxa"/>
            <w:vAlign w:val="bottom"/>
            <w:gridSpan w:val="2"/>
            <w:shd w:val="clear" w:color="auto" w:fill="D9D9D9"/>
          </w:tcPr>
          <w:p>
            <w:pPr>
              <w:ind w:left="360"/>
              <w:spacing w:after="0"/>
              <w:rPr>
                <w:sz w:val="20"/>
                <w:szCs w:val="20"/>
                <w:color w:val="auto"/>
              </w:rPr>
            </w:pPr>
            <w:r>
              <w:rPr>
                <w:rFonts w:ascii="Arial" w:cs="Arial" w:eastAsia="Arial" w:hAnsi="Arial"/>
                <w:sz w:val="16"/>
                <w:szCs w:val="16"/>
                <w:b w:val="1"/>
                <w:bCs w:val="1"/>
                <w:color w:val="05445E"/>
              </w:rPr>
              <w:t>Apogee Committees:</w:t>
            </w:r>
          </w:p>
        </w:tc>
        <w:tc>
          <w:tcPr>
            <w:tcW w:w="0" w:type="dxa"/>
            <w:vAlign w:val="bottom"/>
          </w:tcPr>
          <w:p>
            <w:pPr>
              <w:spacing w:after="0"/>
              <w:rPr>
                <w:sz w:val="1"/>
                <w:szCs w:val="1"/>
                <w:color w:val="auto"/>
              </w:rPr>
            </w:pPr>
          </w:p>
        </w:tc>
      </w:tr>
      <w:tr>
        <w:trPr>
          <w:trHeight w:val="215"/>
        </w:trPr>
        <w:tc>
          <w:tcPr>
            <w:tcW w:w="4620" w:type="dxa"/>
            <w:vAlign w:val="bottom"/>
            <w:vMerge w:val="restart"/>
            <w:shd w:val="clear" w:color="auto" w:fill="D9D9D9"/>
          </w:tcPr>
          <w:p>
            <w:pPr>
              <w:ind w:left="22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tc>
        <w:tc>
          <w:tcPr>
            <w:tcW w:w="620" w:type="dxa"/>
            <w:vAlign w:val="bottom"/>
            <w:shd w:val="clear" w:color="auto" w:fill="D9D9D9"/>
          </w:tcPr>
          <w:p>
            <w:pPr>
              <w:ind w:left="520"/>
              <w:spacing w:after="0"/>
              <w:rPr>
                <w:sz w:val="20"/>
                <w:szCs w:val="20"/>
                <w:color w:val="auto"/>
              </w:rPr>
            </w:pPr>
            <w:r>
              <w:rPr>
                <w:rFonts w:ascii="Arial" w:cs="Arial" w:eastAsia="Arial" w:hAnsi="Arial"/>
                <w:sz w:val="16"/>
                <w:szCs w:val="16"/>
                <w:color w:val="auto"/>
              </w:rPr>
              <w:t>•</w:t>
            </w:r>
          </w:p>
        </w:tc>
        <w:tc>
          <w:tcPr>
            <w:tcW w:w="3680" w:type="dxa"/>
            <w:vAlign w:val="bottom"/>
            <w:shd w:val="clear" w:color="auto" w:fill="D9D9D9"/>
          </w:tcPr>
          <w:p>
            <w:pPr>
              <w:ind w:left="6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229"/>
        </w:trPr>
        <w:tc>
          <w:tcPr>
            <w:tcW w:w="4620" w:type="dxa"/>
            <w:vAlign w:val="bottom"/>
            <w:vMerge w:val="continue"/>
            <w:shd w:val="clear" w:color="auto" w:fill="D9D9D9"/>
          </w:tcPr>
          <w:p>
            <w:pPr>
              <w:spacing w:after="0"/>
              <w:rPr>
                <w:sz w:val="19"/>
                <w:szCs w:val="19"/>
                <w:color w:val="auto"/>
              </w:rPr>
            </w:pPr>
          </w:p>
        </w:tc>
        <w:tc>
          <w:tcPr>
            <w:tcW w:w="620" w:type="dxa"/>
            <w:vAlign w:val="bottom"/>
            <w:shd w:val="clear" w:color="auto" w:fill="D9D9D9"/>
          </w:tcPr>
          <w:p>
            <w:pPr>
              <w:ind w:left="520"/>
              <w:spacing w:after="0"/>
              <w:rPr>
                <w:sz w:val="20"/>
                <w:szCs w:val="20"/>
                <w:color w:val="auto"/>
              </w:rPr>
            </w:pPr>
            <w:r>
              <w:rPr>
                <w:rFonts w:ascii="Arial" w:cs="Arial" w:eastAsia="Arial" w:hAnsi="Arial"/>
                <w:sz w:val="16"/>
                <w:szCs w:val="16"/>
                <w:color w:val="auto"/>
              </w:rPr>
              <w:t>•</w:t>
            </w:r>
          </w:p>
        </w:tc>
        <w:tc>
          <w:tcPr>
            <w:tcW w:w="3680" w:type="dxa"/>
            <w:vAlign w:val="bottom"/>
            <w:shd w:val="clear" w:color="auto" w:fill="D9D9D9"/>
          </w:tcPr>
          <w:p>
            <w:pPr>
              <w:ind w:left="6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224"/>
        </w:trPr>
        <w:tc>
          <w:tcPr>
            <w:tcW w:w="4620" w:type="dxa"/>
            <w:vAlign w:val="bottom"/>
            <w:shd w:val="clear" w:color="auto" w:fill="D9D9D9"/>
          </w:tcPr>
          <w:p>
            <w:pPr>
              <w:ind w:left="2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tc>
        <w:tc>
          <w:tcPr>
            <w:tcW w:w="620" w:type="dxa"/>
            <w:vAlign w:val="bottom"/>
            <w:shd w:val="clear" w:color="auto" w:fill="D9D9D9"/>
          </w:tcPr>
          <w:p>
            <w:pPr>
              <w:spacing w:after="0"/>
              <w:rPr>
                <w:sz w:val="19"/>
                <w:szCs w:val="19"/>
                <w:color w:val="auto"/>
              </w:rPr>
            </w:pPr>
          </w:p>
        </w:tc>
        <w:tc>
          <w:tcPr>
            <w:tcW w:w="368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D9D9D9"/>
          </w:tcPr>
          <w:p>
            <w:pPr>
              <w:ind w:left="2240"/>
              <w:spacing w:after="0"/>
              <w:rPr>
                <w:sz w:val="20"/>
                <w:szCs w:val="20"/>
                <w:color w:val="auto"/>
              </w:rPr>
            </w:pPr>
            <w:r>
              <w:rPr>
                <w:rFonts w:ascii="Arial" w:cs="Arial" w:eastAsia="Arial" w:hAnsi="Arial"/>
                <w:sz w:val="16"/>
                <w:szCs w:val="16"/>
                <w:b w:val="1"/>
                <w:bCs w:val="1"/>
                <w:color w:val="auto"/>
              </w:rPr>
              <w:t>Independent</w:t>
            </w:r>
          </w:p>
        </w:tc>
        <w:tc>
          <w:tcPr>
            <w:tcW w:w="620" w:type="dxa"/>
            <w:vAlign w:val="bottom"/>
            <w:shd w:val="clear" w:color="auto" w:fill="D9D9D9"/>
          </w:tcPr>
          <w:p>
            <w:pPr>
              <w:spacing w:after="0"/>
              <w:rPr>
                <w:sz w:val="23"/>
                <w:szCs w:val="23"/>
                <w:color w:val="auto"/>
              </w:rPr>
            </w:pPr>
          </w:p>
        </w:tc>
        <w:tc>
          <w:tcPr>
            <w:tcW w:w="3680" w:type="dxa"/>
            <w:vAlign w:val="bottom"/>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1479"/>
        </w:trPr>
        <w:tc>
          <w:tcPr>
            <w:tcW w:w="4620" w:type="dxa"/>
            <w:vAlign w:val="bottom"/>
            <w:shd w:val="clear" w:color="auto" w:fill="D9D9D9"/>
          </w:tcPr>
          <w:p>
            <w:pPr>
              <w:spacing w:after="0"/>
              <w:rPr>
                <w:sz w:val="24"/>
                <w:szCs w:val="24"/>
                <w:color w:val="auto"/>
              </w:rPr>
            </w:pPr>
          </w:p>
        </w:tc>
        <w:tc>
          <w:tcPr>
            <w:tcW w:w="620" w:type="dxa"/>
            <w:vAlign w:val="bottom"/>
            <w:shd w:val="clear" w:color="auto" w:fill="D9D9D9"/>
          </w:tcPr>
          <w:p>
            <w:pPr>
              <w:spacing w:after="0"/>
              <w:rPr>
                <w:sz w:val="24"/>
                <w:szCs w:val="24"/>
                <w:color w:val="auto"/>
              </w:rPr>
            </w:pPr>
          </w:p>
        </w:tc>
        <w:tc>
          <w:tcPr>
            <w:tcW w:w="368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60" w:right="79"/>
        <w:spacing w:after="0" w:line="258" w:lineRule="auto"/>
        <w:rPr>
          <w:sz w:val="20"/>
          <w:szCs w:val="20"/>
          <w:color w:val="auto"/>
        </w:rPr>
      </w:pPr>
      <w:r>
        <w:rPr>
          <w:rFonts w:ascii="Arial" w:cs="Arial" w:eastAsia="Arial" w:hAnsi="Arial"/>
          <w:sz w:val="16"/>
          <w:szCs w:val="16"/>
          <w:b w:val="1"/>
          <w:bCs w:val="1"/>
          <w:color w:val="05445E"/>
        </w:rPr>
        <w:t xml:space="preserve">Ms. Lilly </w:t>
      </w:r>
      <w:r>
        <w:rPr>
          <w:rFonts w:ascii="Arial" w:cs="Arial" w:eastAsia="Arial" w:hAnsi="Arial"/>
          <w:sz w:val="16"/>
          <w:szCs w:val="16"/>
          <w:color w:val="000000"/>
        </w:rPr>
        <w:t>has served as Chief Investment Officer and Executive Vice President for The Pohlad Companies, a privately-owned business based in Minneapolis, Minnesota that holds a diverse group of businesses and business interests, since 2018. She oversees the public and private investments for the Pohlad family and provides leadership and management of the investment team of The Pohlad Companies. Ms. Lilly has over 30 years in portfolio and investment management experience. She founded Crocus Hill Partners, a small capitalization portfolio firm, in 2017 and served as its President from 2017 to 2018. She served as Senior Vice President and Portfolio Manager for Gabelli Asset Management from 2002 to 2017. She was a co-founder of Woodland Partners, LLC in 1997 and served as Managing Director from 1997 to 2002, when the firm was acquired by Gabelli Asset Management. Earlier in her career, Ms. Lilly served in various portfolio management and analyst positions for First Asset Management, Fund American Companies and Goldman, Sachs and Company.</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280" w:type="dxa"/>
            <w:vAlign w:val="bottom"/>
            <w:gridSpan w:val="2"/>
          </w:tcPr>
          <w:p>
            <w:pPr>
              <w:ind w:left="20"/>
              <w:spacing w:after="0"/>
              <w:rPr>
                <w:sz w:val="20"/>
                <w:szCs w:val="20"/>
                <w:color w:val="auto"/>
              </w:rPr>
            </w:pPr>
            <w:r>
              <w:rPr>
                <w:rFonts w:ascii="Arial" w:cs="Arial" w:eastAsia="Arial" w:hAnsi="Arial"/>
                <w:sz w:val="16"/>
                <w:szCs w:val="16"/>
                <w:b w:val="1"/>
                <w:bCs w:val="1"/>
                <w:color w:val="05445E"/>
              </w:rPr>
              <w:t>Skills &amp; Qualifications:</w:t>
            </w:r>
          </w:p>
        </w:tc>
        <w:tc>
          <w:tcPr>
            <w:tcW w:w="3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262"/>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80" w:type="dxa"/>
            <w:vAlign w:val="bottom"/>
          </w:tcPr>
          <w:p>
            <w:pPr>
              <w:ind w:left="40"/>
              <w:spacing w:after="0"/>
              <w:rPr>
                <w:sz w:val="20"/>
                <w:szCs w:val="20"/>
                <w:color w:val="auto"/>
              </w:rPr>
            </w:pPr>
            <w:r>
              <w:rPr>
                <w:rFonts w:ascii="Arial" w:cs="Arial" w:eastAsia="Arial" w:hAnsi="Arial"/>
                <w:sz w:val="16"/>
                <w:szCs w:val="16"/>
                <w:color w:val="auto"/>
              </w:rPr>
              <w:t>Executive Leadership</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2320" w:type="dxa"/>
            <w:vAlign w:val="bottom"/>
          </w:tcPr>
          <w:p>
            <w:pPr>
              <w:ind w:left="60"/>
              <w:spacing w:after="0"/>
              <w:rPr>
                <w:sz w:val="20"/>
                <w:szCs w:val="20"/>
                <w:color w:val="auto"/>
              </w:rPr>
            </w:pPr>
            <w:r>
              <w:rPr>
                <w:rFonts w:ascii="Arial" w:cs="Arial" w:eastAsia="Arial" w:hAnsi="Arial"/>
                <w:sz w:val="16"/>
                <w:szCs w:val="16"/>
                <w:color w:val="auto"/>
              </w:rPr>
              <w:t>Asset Management</w:t>
            </w:r>
          </w:p>
        </w:tc>
        <w:tc>
          <w:tcPr>
            <w:tcW w:w="580" w:type="dxa"/>
            <w:vAlign w:val="bottom"/>
          </w:tcPr>
          <w:p>
            <w:pPr>
              <w:ind w:left="480"/>
              <w:spacing w:after="0"/>
              <w:rPr>
                <w:sz w:val="20"/>
                <w:szCs w:val="20"/>
                <w:color w:val="auto"/>
              </w:rPr>
            </w:pPr>
            <w:r>
              <w:rPr>
                <w:rFonts w:ascii="Arial" w:cs="Arial" w:eastAsia="Arial" w:hAnsi="Arial"/>
                <w:sz w:val="16"/>
                <w:szCs w:val="16"/>
                <w:color w:val="auto"/>
              </w:rPr>
              <w:t>•</w:t>
            </w:r>
          </w:p>
        </w:tc>
        <w:tc>
          <w:tcPr>
            <w:tcW w:w="3360" w:type="dxa"/>
            <w:vAlign w:val="bottom"/>
          </w:tcPr>
          <w:p>
            <w:pPr>
              <w:ind w:left="40"/>
              <w:spacing w:after="0"/>
              <w:rPr>
                <w:sz w:val="20"/>
                <w:szCs w:val="20"/>
                <w:color w:val="auto"/>
              </w:rPr>
            </w:pPr>
            <w:r>
              <w:rPr>
                <w:rFonts w:ascii="Arial" w:cs="Arial" w:eastAsia="Arial" w:hAnsi="Arial"/>
                <w:sz w:val="16"/>
                <w:szCs w:val="16"/>
                <w:color w:val="auto"/>
              </w:rPr>
              <w:t>Financial Markets</w:t>
            </w:r>
          </w:p>
        </w:tc>
      </w:tr>
      <w:tr>
        <w:trPr>
          <w:trHeight w:val="230"/>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80" w:type="dxa"/>
            <w:vAlign w:val="bottom"/>
          </w:tcPr>
          <w:p>
            <w:pPr>
              <w:ind w:left="40"/>
              <w:spacing w:after="0"/>
              <w:rPr>
                <w:sz w:val="20"/>
                <w:szCs w:val="20"/>
                <w:color w:val="auto"/>
              </w:rPr>
            </w:pPr>
            <w:r>
              <w:rPr>
                <w:rFonts w:ascii="Arial" w:cs="Arial" w:eastAsia="Arial" w:hAnsi="Arial"/>
                <w:sz w:val="16"/>
                <w:szCs w:val="16"/>
                <w:color w:val="auto"/>
              </w:rPr>
              <w:t>Financial Management</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2320" w:type="dxa"/>
            <w:vAlign w:val="bottom"/>
          </w:tcPr>
          <w:p>
            <w:pPr>
              <w:ind w:left="60"/>
              <w:spacing w:after="0"/>
              <w:rPr>
                <w:sz w:val="20"/>
                <w:szCs w:val="20"/>
                <w:color w:val="auto"/>
              </w:rPr>
            </w:pPr>
            <w:r>
              <w:rPr>
                <w:rFonts w:ascii="Arial" w:cs="Arial" w:eastAsia="Arial" w:hAnsi="Arial"/>
                <w:sz w:val="16"/>
                <w:szCs w:val="16"/>
                <w:color w:val="auto"/>
              </w:rPr>
              <w:t>Leadership Development</w:t>
            </w:r>
          </w:p>
        </w:tc>
        <w:tc>
          <w:tcPr>
            <w:tcW w:w="580" w:type="dxa"/>
            <w:vAlign w:val="bottom"/>
          </w:tcPr>
          <w:p>
            <w:pPr>
              <w:ind w:left="480"/>
              <w:spacing w:after="0"/>
              <w:rPr>
                <w:sz w:val="20"/>
                <w:szCs w:val="20"/>
                <w:color w:val="auto"/>
              </w:rPr>
            </w:pPr>
            <w:r>
              <w:rPr>
                <w:rFonts w:ascii="Arial" w:cs="Arial" w:eastAsia="Arial" w:hAnsi="Arial"/>
                <w:sz w:val="16"/>
                <w:szCs w:val="16"/>
                <w:color w:val="auto"/>
              </w:rPr>
              <w:t>•</w:t>
            </w:r>
          </w:p>
        </w:tc>
        <w:tc>
          <w:tcPr>
            <w:tcW w:w="3360" w:type="dxa"/>
            <w:vAlign w:val="bottom"/>
          </w:tcPr>
          <w:p>
            <w:pPr>
              <w:ind w:left="40"/>
              <w:spacing w:after="0"/>
              <w:rPr>
                <w:sz w:val="20"/>
                <w:szCs w:val="20"/>
                <w:color w:val="auto"/>
              </w:rPr>
            </w:pPr>
            <w:r>
              <w:rPr>
                <w:rFonts w:ascii="Arial" w:cs="Arial" w:eastAsia="Arial" w:hAnsi="Arial"/>
                <w:sz w:val="16"/>
                <w:szCs w:val="16"/>
                <w:color w:val="auto"/>
              </w:rPr>
              <w:t>Capital Allocations</w:t>
            </w:r>
          </w:p>
        </w:tc>
      </w:tr>
      <w:tr>
        <w:trPr>
          <w:trHeight w:val="313"/>
        </w:trPr>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pacing w:after="0" w:line="33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Class III Directors – Terms Expiring in 2028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29210</wp:posOffset>
            </wp:positionV>
            <wp:extent cx="5657850" cy="1834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834515"/>
                    </a:xfrm>
                    <a:prstGeom prst="rect">
                      <a:avLst/>
                    </a:prstGeom>
                    <a:noFill/>
                  </pic:spPr>
                </pic:pic>
              </a:graphicData>
            </a:graphic>
          </wp:anchor>
        </w:drawing>
      </w:r>
    </w:p>
    <w:p>
      <w:pPr>
        <w:spacing w:after="0" w:line="163" w:lineRule="exact"/>
        <w:rPr>
          <w:sz w:val="20"/>
          <w:szCs w:val="20"/>
          <w:color w:val="auto"/>
        </w:rPr>
      </w:pPr>
    </w:p>
    <w:tbl>
      <w:tblPr>
        <w:tblLayout w:type="fixed"/>
        <w:tblInd w:w="2280" w:type="dxa"/>
        <w:tblCellMar>
          <w:top w:w="0" w:type="dxa"/>
          <w:left w:w="0" w:type="dxa"/>
          <w:bottom w:w="0" w:type="dxa"/>
          <w:right w:w="0" w:type="dxa"/>
        </w:tblCellMar>
      </w:tblPr>
      <w:tr>
        <w:trPr>
          <w:trHeight w:val="348"/>
        </w:trPr>
        <w:tc>
          <w:tcPr>
            <w:tcW w:w="2280" w:type="dxa"/>
            <w:vAlign w:val="bottom"/>
          </w:tcPr>
          <w:p>
            <w:pPr>
              <w:spacing w:after="0"/>
              <w:rPr>
                <w:sz w:val="20"/>
                <w:szCs w:val="20"/>
                <w:color w:val="auto"/>
              </w:rPr>
            </w:pPr>
            <w:r>
              <w:rPr>
                <w:rFonts w:ascii="Arial" w:cs="Arial" w:eastAsia="Arial" w:hAnsi="Arial"/>
                <w:sz w:val="25"/>
                <w:szCs w:val="25"/>
                <w:b w:val="1"/>
                <w:bCs w:val="1"/>
                <w:color w:val="05445E"/>
              </w:rPr>
              <w:t>Mark A. Pompa</w:t>
            </w:r>
          </w:p>
        </w:tc>
        <w:tc>
          <w:tcPr>
            <w:tcW w:w="2080" w:type="dxa"/>
            <w:vAlign w:val="bottom"/>
          </w:tcPr>
          <w:p>
            <w:pPr>
              <w:ind w:left="460"/>
              <w:spacing w:after="0"/>
              <w:rPr>
                <w:sz w:val="20"/>
                <w:szCs w:val="20"/>
                <w:color w:val="auto"/>
              </w:rPr>
            </w:pPr>
            <w:r>
              <w:rPr>
                <w:rFonts w:ascii="Arial" w:cs="Arial" w:eastAsia="Arial" w:hAnsi="Arial"/>
                <w:sz w:val="16"/>
                <w:szCs w:val="16"/>
                <w:b w:val="1"/>
                <w:bCs w:val="1"/>
                <w:color w:val="05445E"/>
                <w:w w:val="99"/>
              </w:rPr>
              <w:t>Apogee Committees:</w:t>
            </w:r>
          </w:p>
        </w:tc>
        <w:tc>
          <w:tcPr>
            <w:tcW w:w="0" w:type="dxa"/>
            <w:vAlign w:val="bottom"/>
          </w:tcPr>
          <w:p>
            <w:pPr>
              <w:spacing w:after="0"/>
              <w:rPr>
                <w:sz w:val="1"/>
                <w:szCs w:val="1"/>
                <w:color w:val="auto"/>
              </w:rPr>
            </w:pPr>
          </w:p>
        </w:tc>
      </w:tr>
      <w:tr>
        <w:trPr>
          <w:trHeight w:val="215"/>
        </w:trPr>
        <w:tc>
          <w:tcPr>
            <w:tcW w:w="228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tc>
        <w:tc>
          <w:tcPr>
            <w:tcW w:w="2080" w:type="dxa"/>
            <w:vAlign w:val="bottom"/>
          </w:tcPr>
          <w:p>
            <w:pPr>
              <w:ind w:left="620"/>
              <w:spacing w:after="0"/>
              <w:rPr>
                <w:sz w:val="20"/>
                <w:szCs w:val="20"/>
                <w:color w:val="auto"/>
              </w:rPr>
            </w:pPr>
            <w:r>
              <w:rPr>
                <w:rFonts w:ascii="Arial" w:cs="Arial" w:eastAsia="Arial" w:hAnsi="Arial"/>
                <w:sz w:val="16"/>
                <w:szCs w:val="16"/>
                <w:color w:val="auto"/>
              </w:rPr>
              <w:t>• Audit, Chair</w:t>
            </w:r>
          </w:p>
        </w:tc>
        <w:tc>
          <w:tcPr>
            <w:tcW w:w="0" w:type="dxa"/>
            <w:vAlign w:val="bottom"/>
          </w:tcPr>
          <w:p>
            <w:pPr>
              <w:spacing w:after="0"/>
              <w:rPr>
                <w:sz w:val="1"/>
                <w:szCs w:val="1"/>
                <w:color w:val="auto"/>
              </w:rPr>
            </w:pPr>
          </w:p>
        </w:tc>
      </w:tr>
      <w:tr>
        <w:trPr>
          <w:trHeight w:val="229"/>
        </w:trPr>
        <w:tc>
          <w:tcPr>
            <w:tcW w:w="2280" w:type="dxa"/>
            <w:vAlign w:val="bottom"/>
            <w:vMerge w:val="continue"/>
          </w:tcPr>
          <w:p>
            <w:pPr>
              <w:spacing w:after="0"/>
              <w:rPr>
                <w:sz w:val="19"/>
                <w:szCs w:val="19"/>
                <w:color w:val="auto"/>
              </w:rPr>
            </w:pPr>
          </w:p>
        </w:tc>
        <w:tc>
          <w:tcPr>
            <w:tcW w:w="2080" w:type="dxa"/>
            <w:vAlign w:val="bottom"/>
          </w:tcPr>
          <w:p>
            <w:pPr>
              <w:ind w:left="620"/>
              <w:spacing w:after="0"/>
              <w:rPr>
                <w:sz w:val="20"/>
                <w:szCs w:val="20"/>
                <w:color w:val="auto"/>
              </w:rPr>
            </w:pPr>
            <w:r>
              <w:rPr>
                <w:rFonts w:ascii="Arial" w:cs="Arial" w:eastAsia="Arial" w:hAnsi="Arial"/>
                <w:sz w:val="16"/>
                <w:szCs w:val="16"/>
                <w:color w:val="auto"/>
              </w:rPr>
              <w:t>• Compensation</w:t>
            </w: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280" w:type="dxa"/>
            <w:vAlign w:val="bottom"/>
          </w:tcPr>
          <w:p>
            <w:pPr>
              <w:spacing w:after="0"/>
              <w:rPr>
                <w:sz w:val="20"/>
                <w:szCs w:val="20"/>
                <w:color w:val="auto"/>
              </w:rPr>
            </w:pPr>
            <w:r>
              <w:rPr>
                <w:rFonts w:ascii="Arial" w:cs="Arial" w:eastAsia="Arial" w:hAnsi="Arial"/>
                <w:sz w:val="16"/>
                <w:szCs w:val="16"/>
                <w:b w:val="1"/>
                <w:bCs w:val="1"/>
                <w:color w:val="auto"/>
              </w:rPr>
              <w:t>Independent</w:t>
            </w: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auto"/>
        </w:rPr>
        <w:t>Audit Committee Financial Expert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0" w:right="79"/>
        <w:spacing w:after="0" w:line="265" w:lineRule="auto"/>
        <w:rPr>
          <w:sz w:val="20"/>
          <w:szCs w:val="20"/>
          <w:color w:val="auto"/>
        </w:rPr>
      </w:pPr>
      <w:r>
        <w:rPr>
          <w:rFonts w:ascii="Arial" w:cs="Arial" w:eastAsia="Arial" w:hAnsi="Arial"/>
          <w:sz w:val="16"/>
          <w:szCs w:val="16"/>
          <w:b w:val="1"/>
          <w:bCs w:val="1"/>
          <w:color w:val="05445E"/>
        </w:rPr>
        <w:t xml:space="preserve">Mr. Pompa </w:t>
      </w:r>
      <w:r>
        <w:rPr>
          <w:rFonts w:ascii="Arial" w:cs="Arial" w:eastAsia="Arial" w:hAnsi="Arial"/>
          <w:sz w:val="16"/>
          <w:szCs w:val="16"/>
          <w:color w:val="000000"/>
        </w:rPr>
        <w:t>served as the Executive Vice President and Chief Financial Officer of EMCOR Group, Inc., a Fortune 500</w:t>
      </w:r>
      <w:r>
        <w:rPr>
          <w:rFonts w:ascii="Arial" w:cs="Arial" w:eastAsia="Arial" w:hAnsi="Arial"/>
          <w:sz w:val="16"/>
          <w:szCs w:val="16"/>
          <w:b w:val="1"/>
          <w:bCs w:val="1"/>
          <w:color w:val="05445E"/>
        </w:rPr>
        <w:t xml:space="preserve"> </w:t>
      </w:r>
      <w:r>
        <w:rPr>
          <w:rFonts w:ascii="Arial" w:cs="Arial" w:eastAsia="Arial" w:hAnsi="Arial"/>
          <w:sz w:val="16"/>
          <w:szCs w:val="16"/>
          <w:color w:val="000000"/>
        </w:rPr>
        <w:t>leader in electrical and mechanical construction services, industrial and energy infrastructure and building services before retiring in 2024. Previously, he was Senior Vice President and Chief Accounting Officer of EMCOR from 2003 to 2006 and Treasurer from 2003 to 2007. He joined EMCOR in 1994, serving as Vice President and Controller until 2003. Prior to joining EMCOR, Mr. Pompa was an Audit and Business Advisory Manager at Arthur Andersen LLP.</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5445E"/>
        </w:rPr>
        <w:t>Skills &amp; Qualifications: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0" w:type="dxa"/>
            <w:vAlign w:val="bottom"/>
          </w:tcPr>
          <w:p>
            <w:pPr>
              <w:ind w:left="180"/>
              <w:spacing w:after="0"/>
              <w:rPr>
                <w:sz w:val="20"/>
                <w:szCs w:val="20"/>
                <w:color w:val="auto"/>
              </w:rPr>
            </w:pPr>
            <w:r>
              <w:rPr>
                <w:rFonts w:ascii="Arial" w:cs="Arial" w:eastAsia="Arial" w:hAnsi="Arial"/>
                <w:sz w:val="16"/>
                <w:szCs w:val="16"/>
                <w:color w:val="05445E"/>
              </w:rPr>
              <w:t>•</w:t>
            </w:r>
          </w:p>
        </w:tc>
        <w:tc>
          <w:tcPr>
            <w:tcW w:w="1980" w:type="dxa"/>
            <w:vAlign w:val="bottom"/>
          </w:tcPr>
          <w:p>
            <w:pPr>
              <w:ind w:left="40"/>
              <w:spacing w:after="0"/>
              <w:rPr>
                <w:sz w:val="20"/>
                <w:szCs w:val="20"/>
                <w:color w:val="auto"/>
              </w:rPr>
            </w:pPr>
            <w:r>
              <w:rPr>
                <w:rFonts w:ascii="Arial" w:cs="Arial" w:eastAsia="Arial" w:hAnsi="Arial"/>
                <w:sz w:val="16"/>
                <w:szCs w:val="16"/>
                <w:color w:val="auto"/>
              </w:rPr>
              <w:t>Executive Leadership</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2380" w:type="dxa"/>
            <w:vAlign w:val="bottom"/>
          </w:tcPr>
          <w:p>
            <w:pPr>
              <w:ind w:left="60"/>
              <w:spacing w:after="0"/>
              <w:rPr>
                <w:sz w:val="20"/>
                <w:szCs w:val="20"/>
                <w:color w:val="auto"/>
              </w:rPr>
            </w:pPr>
            <w:r>
              <w:rPr>
                <w:rFonts w:ascii="Arial" w:cs="Arial" w:eastAsia="Arial" w:hAnsi="Arial"/>
                <w:sz w:val="16"/>
                <w:szCs w:val="16"/>
                <w:color w:val="auto"/>
              </w:rPr>
              <w:t>Business Operations</w:t>
            </w:r>
          </w:p>
        </w:tc>
        <w:tc>
          <w:tcPr>
            <w:tcW w:w="520" w:type="dxa"/>
            <w:vAlign w:val="bottom"/>
          </w:tcPr>
          <w:p>
            <w:pPr>
              <w:ind w:left="420"/>
              <w:spacing w:after="0"/>
              <w:rPr>
                <w:sz w:val="20"/>
                <w:szCs w:val="20"/>
                <w:color w:val="auto"/>
              </w:rPr>
            </w:pPr>
            <w:r>
              <w:rPr>
                <w:rFonts w:ascii="Arial" w:cs="Arial" w:eastAsia="Arial" w:hAnsi="Arial"/>
                <w:sz w:val="16"/>
                <w:szCs w:val="16"/>
                <w:color w:val="auto"/>
              </w:rPr>
              <w:t>•</w:t>
            </w:r>
          </w:p>
        </w:tc>
        <w:tc>
          <w:tcPr>
            <w:tcW w:w="3360" w:type="dxa"/>
            <w:vAlign w:val="bottom"/>
          </w:tcPr>
          <w:p>
            <w:pPr>
              <w:ind w:left="40"/>
              <w:spacing w:after="0"/>
              <w:rPr>
                <w:sz w:val="20"/>
                <w:szCs w:val="20"/>
                <w:color w:val="auto"/>
              </w:rPr>
            </w:pPr>
            <w:r>
              <w:rPr>
                <w:rFonts w:ascii="Arial" w:cs="Arial" w:eastAsia="Arial" w:hAnsi="Arial"/>
                <w:sz w:val="16"/>
                <w:szCs w:val="16"/>
                <w:color w:val="auto"/>
              </w:rPr>
              <w:t>Enterprise Risk Management</w:t>
            </w:r>
          </w:p>
        </w:tc>
      </w:tr>
      <w:tr>
        <w:trPr>
          <w:trHeight w:val="230"/>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80" w:type="dxa"/>
            <w:vAlign w:val="bottom"/>
          </w:tcPr>
          <w:p>
            <w:pPr>
              <w:ind w:left="40"/>
              <w:spacing w:after="0"/>
              <w:rPr>
                <w:sz w:val="20"/>
                <w:szCs w:val="20"/>
                <w:color w:val="auto"/>
              </w:rPr>
            </w:pPr>
            <w:r>
              <w:rPr>
                <w:rFonts w:ascii="Arial" w:cs="Arial" w:eastAsia="Arial" w:hAnsi="Arial"/>
                <w:sz w:val="16"/>
                <w:szCs w:val="16"/>
                <w:color w:val="auto"/>
              </w:rPr>
              <w:t>Financial Management</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2380" w:type="dxa"/>
            <w:vAlign w:val="bottom"/>
          </w:tcPr>
          <w:p>
            <w:pPr>
              <w:ind w:left="60"/>
              <w:spacing w:after="0"/>
              <w:rPr>
                <w:sz w:val="20"/>
                <w:szCs w:val="20"/>
                <w:color w:val="auto"/>
              </w:rPr>
            </w:pPr>
            <w:r>
              <w:rPr>
                <w:rFonts w:ascii="Arial" w:cs="Arial" w:eastAsia="Arial" w:hAnsi="Arial"/>
                <w:sz w:val="16"/>
                <w:szCs w:val="16"/>
                <w:color w:val="auto"/>
              </w:rPr>
              <w:t>Mergers and Acquisitions</w:t>
            </w:r>
          </w:p>
        </w:tc>
        <w:tc>
          <w:tcPr>
            <w:tcW w:w="520" w:type="dxa"/>
            <w:vAlign w:val="bottom"/>
          </w:tcPr>
          <w:p>
            <w:pPr>
              <w:ind w:left="420"/>
              <w:spacing w:after="0"/>
              <w:rPr>
                <w:sz w:val="20"/>
                <w:szCs w:val="20"/>
                <w:color w:val="auto"/>
              </w:rPr>
            </w:pPr>
            <w:r>
              <w:rPr>
                <w:rFonts w:ascii="Arial" w:cs="Arial" w:eastAsia="Arial" w:hAnsi="Arial"/>
                <w:sz w:val="16"/>
                <w:szCs w:val="16"/>
                <w:color w:val="auto"/>
              </w:rPr>
              <w:t>•</w:t>
            </w:r>
          </w:p>
        </w:tc>
        <w:tc>
          <w:tcPr>
            <w:tcW w:w="3360" w:type="dxa"/>
            <w:vAlign w:val="bottom"/>
          </w:tcPr>
          <w:p>
            <w:pPr>
              <w:ind w:left="40"/>
              <w:spacing w:after="0"/>
              <w:rPr>
                <w:sz w:val="20"/>
                <w:szCs w:val="20"/>
                <w:color w:val="auto"/>
              </w:rPr>
            </w:pPr>
            <w:r>
              <w:rPr>
                <w:rFonts w:ascii="Arial" w:cs="Arial" w:eastAsia="Arial" w:hAnsi="Arial"/>
                <w:sz w:val="16"/>
                <w:szCs w:val="16"/>
                <w:color w:val="auto"/>
              </w:rPr>
              <w:t>Leadership Development</w:t>
            </w:r>
          </w:p>
        </w:tc>
      </w:tr>
      <w:tr>
        <w:trPr>
          <w:trHeight w:val="229"/>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80" w:type="dxa"/>
            <w:vAlign w:val="bottom"/>
          </w:tcPr>
          <w:p>
            <w:pPr>
              <w:ind w:left="40"/>
              <w:spacing w:after="0"/>
              <w:rPr>
                <w:sz w:val="20"/>
                <w:szCs w:val="20"/>
                <w:color w:val="auto"/>
              </w:rPr>
            </w:pPr>
            <w:r>
              <w:rPr>
                <w:rFonts w:ascii="Arial" w:cs="Arial" w:eastAsia="Arial" w:hAnsi="Arial"/>
                <w:sz w:val="16"/>
                <w:szCs w:val="16"/>
                <w:color w:val="auto"/>
              </w:rPr>
              <w:t>Accounting and Audit</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2380" w:type="dxa"/>
            <w:vAlign w:val="bottom"/>
          </w:tcPr>
          <w:p>
            <w:pPr>
              <w:ind w:left="60"/>
              <w:spacing w:after="0"/>
              <w:rPr>
                <w:sz w:val="20"/>
                <w:szCs w:val="20"/>
                <w:color w:val="auto"/>
              </w:rPr>
            </w:pPr>
            <w:r>
              <w:rPr>
                <w:rFonts w:ascii="Arial" w:cs="Arial" w:eastAsia="Arial" w:hAnsi="Arial"/>
                <w:sz w:val="16"/>
                <w:szCs w:val="16"/>
                <w:color w:val="auto"/>
              </w:rPr>
              <w:t>Investor Relations</w:t>
            </w:r>
          </w:p>
        </w:tc>
        <w:tc>
          <w:tcPr>
            <w:tcW w:w="520" w:type="dxa"/>
            <w:vAlign w:val="bottom"/>
          </w:tcPr>
          <w:p>
            <w:pPr>
              <w:ind w:left="420"/>
              <w:spacing w:after="0"/>
              <w:rPr>
                <w:sz w:val="20"/>
                <w:szCs w:val="20"/>
                <w:color w:val="auto"/>
              </w:rPr>
            </w:pPr>
            <w:r>
              <w:rPr>
                <w:rFonts w:ascii="Arial" w:cs="Arial" w:eastAsia="Arial" w:hAnsi="Arial"/>
                <w:sz w:val="16"/>
                <w:szCs w:val="16"/>
                <w:color w:val="auto"/>
              </w:rPr>
              <w:t>•</w:t>
            </w:r>
          </w:p>
        </w:tc>
        <w:tc>
          <w:tcPr>
            <w:tcW w:w="3360" w:type="dxa"/>
            <w:vAlign w:val="bottom"/>
          </w:tcPr>
          <w:p>
            <w:pPr>
              <w:ind w:left="40"/>
              <w:spacing w:after="0"/>
              <w:rPr>
                <w:sz w:val="20"/>
                <w:szCs w:val="20"/>
                <w:color w:val="auto"/>
              </w:rPr>
            </w:pPr>
            <w:r>
              <w:rPr>
                <w:rFonts w:ascii="Arial" w:cs="Arial" w:eastAsia="Arial" w:hAnsi="Arial"/>
                <w:sz w:val="16"/>
                <w:szCs w:val="16"/>
                <w:color w:val="auto"/>
              </w:rPr>
              <w:t>Executive Compensation</w:t>
            </w:r>
          </w:p>
        </w:tc>
      </w:tr>
      <w:tr>
        <w:trPr>
          <w:trHeight w:val="217"/>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80" w:type="dxa"/>
            <w:vAlign w:val="bottom"/>
          </w:tcPr>
          <w:p>
            <w:pPr>
              <w:ind w:left="40"/>
              <w:spacing w:after="0"/>
              <w:rPr>
                <w:sz w:val="20"/>
                <w:szCs w:val="20"/>
                <w:color w:val="auto"/>
              </w:rPr>
            </w:pPr>
            <w:r>
              <w:rPr>
                <w:rFonts w:ascii="Arial" w:cs="Arial" w:eastAsia="Arial" w:hAnsi="Arial"/>
                <w:sz w:val="16"/>
                <w:szCs w:val="16"/>
                <w:color w:val="auto"/>
              </w:rPr>
              <w:t>Non-residential</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2380" w:type="dxa"/>
            <w:vAlign w:val="bottom"/>
          </w:tcPr>
          <w:p>
            <w:pPr>
              <w:ind w:left="60"/>
              <w:spacing w:after="0"/>
              <w:rPr>
                <w:sz w:val="20"/>
                <w:szCs w:val="20"/>
                <w:color w:val="auto"/>
              </w:rPr>
            </w:pPr>
            <w:r>
              <w:rPr>
                <w:rFonts w:ascii="Arial" w:cs="Arial" w:eastAsia="Arial" w:hAnsi="Arial"/>
                <w:sz w:val="16"/>
                <w:szCs w:val="16"/>
                <w:color w:val="auto"/>
              </w:rPr>
              <w:t>Strategy Development and</w:t>
            </w:r>
          </w:p>
        </w:tc>
        <w:tc>
          <w:tcPr>
            <w:tcW w:w="5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24"/>
        </w:trPr>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Construction Industry</w:t>
            </w:r>
          </w:p>
        </w:tc>
        <w:tc>
          <w:tcPr>
            <w:tcW w:w="3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Execution</w:t>
            </w:r>
          </w:p>
        </w:tc>
        <w:tc>
          <w:tcPr>
            <w:tcW w:w="5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1205"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5"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22"/>
          <w:szCs w:val="22"/>
          <w:b w:val="1"/>
          <w:bCs w:val="1"/>
          <w:color w:val="auto"/>
        </w:rPr>
        <w:t>Class I Director Nominee – Term Expiring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37465</wp:posOffset>
            </wp:positionV>
            <wp:extent cx="8255" cy="18256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182562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37465</wp:posOffset>
            </wp:positionV>
            <wp:extent cx="1371600" cy="17659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0" cy="1765935"/>
                    </a:xfrm>
                    <a:prstGeom prst="rect">
                      <a:avLst/>
                    </a:prstGeom>
                    <a:noFill/>
                  </pic:spPr>
                </pic:pic>
              </a:graphicData>
            </a:graphic>
          </wp:anchor>
        </w:drawing>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588"/>
        </w:trPr>
        <w:tc>
          <w:tcPr>
            <w:tcW w:w="2220" w:type="dxa"/>
            <w:vAlign w:val="bottom"/>
            <w:shd w:val="clear" w:color="auto" w:fill="D9D9D9"/>
          </w:tcPr>
          <w:p>
            <w:pPr>
              <w:spacing w:after="0"/>
              <w:rPr>
                <w:sz w:val="24"/>
                <w:szCs w:val="24"/>
                <w:color w:val="auto"/>
              </w:rPr>
            </w:pPr>
          </w:p>
        </w:tc>
        <w:tc>
          <w:tcPr>
            <w:tcW w:w="2660" w:type="dxa"/>
            <w:vAlign w:val="bottom"/>
            <w:shd w:val="clear" w:color="auto" w:fill="DBDBDB"/>
          </w:tcPr>
          <w:p>
            <w:pPr>
              <w:ind w:left="20"/>
              <w:spacing w:after="0"/>
              <w:rPr>
                <w:sz w:val="20"/>
                <w:szCs w:val="20"/>
                <w:color w:val="auto"/>
              </w:rPr>
            </w:pPr>
            <w:r>
              <w:rPr>
                <w:rFonts w:ascii="Arial" w:cs="Arial" w:eastAsia="Arial" w:hAnsi="Arial"/>
                <w:sz w:val="25"/>
                <w:szCs w:val="25"/>
                <w:b w:val="1"/>
                <w:bCs w:val="1"/>
                <w:color w:val="05445E"/>
              </w:rPr>
              <w:t>Lloyd E. Johnson</w:t>
            </w:r>
          </w:p>
        </w:tc>
        <w:tc>
          <w:tcPr>
            <w:tcW w:w="1880" w:type="dxa"/>
            <w:vAlign w:val="bottom"/>
            <w:gridSpan w:val="2"/>
            <w:shd w:val="clear" w:color="auto" w:fill="DBDBDB"/>
          </w:tcPr>
          <w:p>
            <w:pPr>
              <w:ind w:left="60"/>
              <w:spacing w:after="0"/>
              <w:rPr>
                <w:sz w:val="20"/>
                <w:szCs w:val="20"/>
                <w:color w:val="auto"/>
              </w:rPr>
            </w:pPr>
            <w:r>
              <w:rPr>
                <w:rFonts w:ascii="Arial" w:cs="Arial" w:eastAsia="Arial" w:hAnsi="Arial"/>
                <w:sz w:val="16"/>
                <w:szCs w:val="16"/>
                <w:b w:val="1"/>
                <w:bCs w:val="1"/>
                <w:color w:val="05445E"/>
              </w:rPr>
              <w:t>Apogee Committees:</w:t>
            </w:r>
          </w:p>
        </w:tc>
        <w:tc>
          <w:tcPr>
            <w:tcW w:w="2160" w:type="dxa"/>
            <w:vAlign w:val="bottom"/>
            <w:gridSpan w:val="2"/>
            <w:shd w:val="clear" w:color="auto" w:fill="DBDBDB"/>
          </w:tcPr>
          <w:p>
            <w:pPr>
              <w:ind w:left="180"/>
              <w:spacing w:after="0"/>
              <w:rPr>
                <w:sz w:val="20"/>
                <w:szCs w:val="20"/>
                <w:color w:val="auto"/>
              </w:rPr>
            </w:pPr>
            <w:r>
              <w:rPr>
                <w:rFonts w:ascii="Arial" w:cs="Arial" w:eastAsia="Arial" w:hAnsi="Arial"/>
                <w:sz w:val="16"/>
                <w:szCs w:val="16"/>
                <w:b w:val="1"/>
                <w:bCs w:val="1"/>
                <w:color w:val="05445E"/>
              </w:rPr>
              <w:t>Public Directorships:</w:t>
            </w:r>
          </w:p>
        </w:tc>
        <w:tc>
          <w:tcPr>
            <w:tcW w:w="0" w:type="dxa"/>
            <w:vAlign w:val="bottom"/>
          </w:tcPr>
          <w:p>
            <w:pPr>
              <w:spacing w:after="0"/>
              <w:rPr>
                <w:sz w:val="1"/>
                <w:szCs w:val="1"/>
                <w:color w:val="auto"/>
              </w:rPr>
            </w:pPr>
          </w:p>
        </w:tc>
      </w:tr>
      <w:tr>
        <w:trPr>
          <w:trHeight w:val="215"/>
        </w:trPr>
        <w:tc>
          <w:tcPr>
            <w:tcW w:w="2220" w:type="dxa"/>
            <w:vAlign w:val="bottom"/>
            <w:shd w:val="clear" w:color="auto" w:fill="D9D9D9"/>
          </w:tcPr>
          <w:p>
            <w:pPr>
              <w:spacing w:after="0"/>
              <w:rPr>
                <w:sz w:val="18"/>
                <w:szCs w:val="18"/>
                <w:color w:val="auto"/>
              </w:rPr>
            </w:pPr>
          </w:p>
        </w:tc>
        <w:tc>
          <w:tcPr>
            <w:tcW w:w="2660" w:type="dxa"/>
            <w:vAlign w:val="bottom"/>
            <w:vMerge w:val="restart"/>
            <w:shd w:val="clear" w:color="auto" w:fill="DBDBDB"/>
          </w:tcPr>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71</w:t>
            </w:r>
          </w:p>
        </w:tc>
        <w:tc>
          <w:tcPr>
            <w:tcW w:w="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DBDBDB"/>
          </w:tcPr>
          <w:p>
            <w:pPr>
              <w:ind w:left="60"/>
              <w:spacing w:after="0"/>
              <w:rPr>
                <w:sz w:val="20"/>
                <w:szCs w:val="20"/>
                <w:color w:val="auto"/>
              </w:rPr>
            </w:pPr>
            <w:r>
              <w:rPr>
                <w:rFonts w:ascii="Arial" w:cs="Arial" w:eastAsia="Arial" w:hAnsi="Arial"/>
                <w:sz w:val="16"/>
                <w:szCs w:val="16"/>
                <w:color w:val="auto"/>
              </w:rPr>
              <w:t>Audit</w:t>
            </w:r>
          </w:p>
        </w:tc>
        <w:tc>
          <w:tcPr>
            <w:tcW w:w="520" w:type="dxa"/>
            <w:vAlign w:val="bottom"/>
            <w:shd w:val="clear" w:color="auto" w:fill="DBDBDB"/>
          </w:tcPr>
          <w:p>
            <w:pPr>
              <w:ind w:left="4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DBDBDB"/>
          </w:tcPr>
          <w:p>
            <w:pPr>
              <w:ind w:left="60"/>
              <w:spacing w:after="0"/>
              <w:rPr>
                <w:sz w:val="20"/>
                <w:szCs w:val="20"/>
                <w:color w:val="auto"/>
              </w:rPr>
            </w:pPr>
            <w:r>
              <w:rPr>
                <w:rFonts w:ascii="Arial" w:cs="Arial" w:eastAsia="Arial" w:hAnsi="Arial"/>
                <w:sz w:val="16"/>
                <w:szCs w:val="16"/>
                <w:color w:val="auto"/>
              </w:rPr>
              <w:t>Haemonetics</w:t>
            </w:r>
          </w:p>
        </w:tc>
        <w:tc>
          <w:tcPr>
            <w:tcW w:w="0" w:type="dxa"/>
            <w:vAlign w:val="bottom"/>
          </w:tcPr>
          <w:p>
            <w:pPr>
              <w:spacing w:after="0"/>
              <w:rPr>
                <w:sz w:val="1"/>
                <w:szCs w:val="1"/>
                <w:color w:val="auto"/>
              </w:rPr>
            </w:pPr>
          </w:p>
        </w:tc>
      </w:tr>
      <w:tr>
        <w:trPr>
          <w:trHeight w:val="229"/>
        </w:trPr>
        <w:tc>
          <w:tcPr>
            <w:tcW w:w="2220" w:type="dxa"/>
            <w:vAlign w:val="bottom"/>
            <w:shd w:val="clear" w:color="auto" w:fill="D9D9D9"/>
          </w:tcPr>
          <w:p>
            <w:pPr>
              <w:spacing w:after="0"/>
              <w:rPr>
                <w:sz w:val="19"/>
                <w:szCs w:val="19"/>
                <w:color w:val="auto"/>
              </w:rPr>
            </w:pPr>
          </w:p>
        </w:tc>
        <w:tc>
          <w:tcPr>
            <w:tcW w:w="2660" w:type="dxa"/>
            <w:vAlign w:val="bottom"/>
            <w:vMerge w:val="continue"/>
            <w:shd w:val="clear" w:color="auto" w:fill="DBDBDB"/>
          </w:tcPr>
          <w:p>
            <w:pPr>
              <w:spacing w:after="0"/>
              <w:rPr>
                <w:sz w:val="19"/>
                <w:szCs w:val="19"/>
                <w:color w:val="auto"/>
              </w:rPr>
            </w:pPr>
          </w:p>
        </w:tc>
        <w:tc>
          <w:tcPr>
            <w:tcW w:w="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DBDBDB"/>
          </w:tcPr>
          <w:p>
            <w:pPr>
              <w:ind w:left="60"/>
              <w:spacing w:after="0"/>
              <w:rPr>
                <w:sz w:val="20"/>
                <w:szCs w:val="20"/>
                <w:color w:val="auto"/>
              </w:rPr>
            </w:pPr>
            <w:r>
              <w:rPr>
                <w:rFonts w:ascii="Arial" w:cs="Arial" w:eastAsia="Arial" w:hAnsi="Arial"/>
                <w:sz w:val="16"/>
                <w:szCs w:val="16"/>
                <w:color w:val="auto"/>
              </w:rPr>
              <w:t>Compensation</w:t>
            </w:r>
          </w:p>
        </w:tc>
        <w:tc>
          <w:tcPr>
            <w:tcW w:w="520" w:type="dxa"/>
            <w:vAlign w:val="bottom"/>
            <w:shd w:val="clear" w:color="auto" w:fill="DBDBDB"/>
          </w:tcPr>
          <w:p>
            <w:pPr>
              <w:spacing w:after="0"/>
              <w:rPr>
                <w:sz w:val="19"/>
                <w:szCs w:val="19"/>
                <w:color w:val="auto"/>
              </w:rPr>
            </w:pPr>
          </w:p>
        </w:tc>
        <w:tc>
          <w:tcPr>
            <w:tcW w:w="1640" w:type="dxa"/>
            <w:vAlign w:val="bottom"/>
            <w:shd w:val="clear" w:color="auto" w:fill="DBDBDB"/>
          </w:tcPr>
          <w:p>
            <w:pPr>
              <w:ind w:left="60"/>
              <w:spacing w:after="0"/>
              <w:rPr>
                <w:sz w:val="20"/>
                <w:szCs w:val="20"/>
                <w:color w:val="auto"/>
              </w:rPr>
            </w:pPr>
            <w:r>
              <w:rPr>
                <w:rFonts w:ascii="Arial" w:cs="Arial" w:eastAsia="Arial" w:hAnsi="Arial"/>
                <w:sz w:val="16"/>
                <w:szCs w:val="16"/>
                <w:color w:val="auto"/>
              </w:rPr>
              <w:t>(2021 – Present)</w:t>
            </w:r>
          </w:p>
        </w:tc>
        <w:tc>
          <w:tcPr>
            <w:tcW w:w="0" w:type="dxa"/>
            <w:vAlign w:val="bottom"/>
          </w:tcPr>
          <w:p>
            <w:pPr>
              <w:spacing w:after="0"/>
              <w:rPr>
                <w:sz w:val="1"/>
                <w:szCs w:val="1"/>
                <w:color w:val="auto"/>
              </w:rPr>
            </w:pPr>
          </w:p>
        </w:tc>
      </w:tr>
      <w:tr>
        <w:trPr>
          <w:trHeight w:val="230"/>
        </w:trPr>
        <w:tc>
          <w:tcPr>
            <w:tcW w:w="2220" w:type="dxa"/>
            <w:vAlign w:val="bottom"/>
            <w:shd w:val="clear" w:color="auto" w:fill="D9D9D9"/>
          </w:tcPr>
          <w:p>
            <w:pPr>
              <w:spacing w:after="0"/>
              <w:rPr>
                <w:sz w:val="19"/>
                <w:szCs w:val="19"/>
                <w:color w:val="auto"/>
              </w:rPr>
            </w:pPr>
          </w:p>
        </w:tc>
        <w:tc>
          <w:tcPr>
            <w:tcW w:w="26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2017</w:t>
            </w:r>
          </w:p>
        </w:tc>
        <w:tc>
          <w:tcPr>
            <w:tcW w:w="32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2160" w:type="dxa"/>
            <w:vAlign w:val="bottom"/>
            <w:gridSpan w:val="2"/>
            <w:shd w:val="clear" w:color="auto" w:fill="DBDBDB"/>
          </w:tcPr>
          <w:p>
            <w:pPr>
              <w:ind w:left="420"/>
              <w:spacing w:after="0"/>
              <w:rPr>
                <w:sz w:val="20"/>
                <w:szCs w:val="20"/>
                <w:color w:val="auto"/>
              </w:rPr>
            </w:pPr>
            <w:r>
              <w:rPr>
                <w:rFonts w:ascii="Arial" w:cs="Arial" w:eastAsia="Arial" w:hAnsi="Arial"/>
                <w:sz w:val="16"/>
                <w:szCs w:val="16"/>
                <w:color w:val="auto"/>
              </w:rPr>
              <w:t>• Beazer Homes</w:t>
            </w:r>
          </w:p>
        </w:tc>
        <w:tc>
          <w:tcPr>
            <w:tcW w:w="0" w:type="dxa"/>
            <w:vAlign w:val="bottom"/>
          </w:tcPr>
          <w:p>
            <w:pPr>
              <w:spacing w:after="0"/>
              <w:rPr>
                <w:sz w:val="1"/>
                <w:szCs w:val="1"/>
                <w:color w:val="auto"/>
              </w:rPr>
            </w:pPr>
          </w:p>
        </w:tc>
      </w:tr>
      <w:tr>
        <w:trPr>
          <w:trHeight w:val="244"/>
        </w:trPr>
        <w:tc>
          <w:tcPr>
            <w:tcW w:w="2220" w:type="dxa"/>
            <w:vAlign w:val="bottom"/>
            <w:shd w:val="clear" w:color="auto" w:fill="D9D9D9"/>
          </w:tcPr>
          <w:p>
            <w:pPr>
              <w:spacing w:after="0"/>
              <w:rPr>
                <w:sz w:val="21"/>
                <w:szCs w:val="21"/>
                <w:color w:val="auto"/>
              </w:rPr>
            </w:pPr>
          </w:p>
        </w:tc>
        <w:tc>
          <w:tcPr>
            <w:tcW w:w="26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Independent</w:t>
            </w:r>
          </w:p>
        </w:tc>
        <w:tc>
          <w:tcPr>
            <w:tcW w:w="320" w:type="dxa"/>
            <w:vAlign w:val="bottom"/>
            <w:shd w:val="clear" w:color="auto" w:fill="DBDBDB"/>
          </w:tcPr>
          <w:p>
            <w:pPr>
              <w:spacing w:after="0"/>
              <w:rPr>
                <w:sz w:val="21"/>
                <w:szCs w:val="21"/>
                <w:color w:val="auto"/>
              </w:rPr>
            </w:pPr>
          </w:p>
        </w:tc>
        <w:tc>
          <w:tcPr>
            <w:tcW w:w="156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640" w:type="dxa"/>
            <w:vAlign w:val="bottom"/>
            <w:shd w:val="clear" w:color="auto" w:fill="DBDBDB"/>
          </w:tcPr>
          <w:p>
            <w:pPr>
              <w:ind w:left="60"/>
              <w:spacing w:after="0"/>
              <w:rPr>
                <w:sz w:val="20"/>
                <w:szCs w:val="20"/>
                <w:color w:val="auto"/>
              </w:rPr>
            </w:pPr>
            <w:r>
              <w:rPr>
                <w:rFonts w:ascii="Arial" w:cs="Arial" w:eastAsia="Arial" w:hAnsi="Arial"/>
                <w:sz w:val="16"/>
                <w:szCs w:val="16"/>
                <w:color w:val="auto"/>
              </w:rPr>
              <w:t>(2021 – Present)</w:t>
            </w:r>
          </w:p>
        </w:tc>
        <w:tc>
          <w:tcPr>
            <w:tcW w:w="0" w:type="dxa"/>
            <w:vAlign w:val="bottom"/>
          </w:tcPr>
          <w:p>
            <w:pPr>
              <w:spacing w:after="0"/>
              <w:rPr>
                <w:sz w:val="1"/>
                <w:szCs w:val="1"/>
                <w:color w:val="auto"/>
              </w:rPr>
            </w:pPr>
          </w:p>
        </w:tc>
      </w:tr>
      <w:tr>
        <w:trPr>
          <w:trHeight w:val="215"/>
        </w:trPr>
        <w:tc>
          <w:tcPr>
            <w:tcW w:w="2220" w:type="dxa"/>
            <w:vAlign w:val="bottom"/>
            <w:shd w:val="clear" w:color="auto" w:fill="D9D9D9"/>
          </w:tcPr>
          <w:p>
            <w:pPr>
              <w:spacing w:after="0"/>
              <w:rPr>
                <w:sz w:val="18"/>
                <w:szCs w:val="18"/>
                <w:color w:val="auto"/>
              </w:rPr>
            </w:pPr>
          </w:p>
        </w:tc>
        <w:tc>
          <w:tcPr>
            <w:tcW w:w="26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560" w:type="dxa"/>
            <w:vAlign w:val="bottom"/>
            <w:shd w:val="clear" w:color="auto" w:fill="DBDBDB"/>
          </w:tcPr>
          <w:p>
            <w:pPr>
              <w:spacing w:after="0"/>
              <w:rPr>
                <w:sz w:val="18"/>
                <w:szCs w:val="18"/>
                <w:color w:val="auto"/>
              </w:rPr>
            </w:pPr>
          </w:p>
        </w:tc>
        <w:tc>
          <w:tcPr>
            <w:tcW w:w="520" w:type="dxa"/>
            <w:vAlign w:val="bottom"/>
            <w:shd w:val="clear" w:color="auto" w:fill="DBDBDB"/>
          </w:tcPr>
          <w:p>
            <w:pPr>
              <w:ind w:left="4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DBDBDB"/>
          </w:tcPr>
          <w:p>
            <w:pPr>
              <w:ind w:left="60"/>
              <w:spacing w:after="0"/>
              <w:rPr>
                <w:sz w:val="20"/>
                <w:szCs w:val="20"/>
                <w:color w:val="auto"/>
              </w:rPr>
            </w:pPr>
            <w:r>
              <w:rPr>
                <w:rFonts w:ascii="Arial" w:cs="Arial" w:eastAsia="Arial" w:hAnsi="Arial"/>
                <w:sz w:val="16"/>
                <w:szCs w:val="16"/>
                <w:color w:val="auto"/>
              </w:rPr>
              <w:t>VSE Corporation</w:t>
            </w:r>
          </w:p>
        </w:tc>
        <w:tc>
          <w:tcPr>
            <w:tcW w:w="0" w:type="dxa"/>
            <w:vAlign w:val="bottom"/>
          </w:tcPr>
          <w:p>
            <w:pPr>
              <w:spacing w:after="0"/>
              <w:rPr>
                <w:sz w:val="1"/>
                <w:szCs w:val="1"/>
                <w:color w:val="auto"/>
              </w:rPr>
            </w:pPr>
          </w:p>
        </w:tc>
      </w:tr>
      <w:tr>
        <w:trPr>
          <w:trHeight w:val="229"/>
        </w:trPr>
        <w:tc>
          <w:tcPr>
            <w:tcW w:w="2220" w:type="dxa"/>
            <w:vAlign w:val="bottom"/>
            <w:shd w:val="clear" w:color="auto" w:fill="D9D9D9"/>
          </w:tcPr>
          <w:p>
            <w:pPr>
              <w:spacing w:after="0"/>
              <w:rPr>
                <w:sz w:val="19"/>
                <w:szCs w:val="19"/>
                <w:color w:val="auto"/>
              </w:rPr>
            </w:pPr>
          </w:p>
        </w:tc>
        <w:tc>
          <w:tcPr>
            <w:tcW w:w="266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1640" w:type="dxa"/>
            <w:vAlign w:val="bottom"/>
            <w:shd w:val="clear" w:color="auto" w:fill="DBDBDB"/>
          </w:tcPr>
          <w:p>
            <w:pPr>
              <w:ind w:left="40"/>
              <w:spacing w:after="0"/>
              <w:rPr>
                <w:sz w:val="20"/>
                <w:szCs w:val="20"/>
                <w:color w:val="auto"/>
              </w:rPr>
            </w:pPr>
            <w:r>
              <w:rPr>
                <w:rFonts w:ascii="Arial" w:cs="Arial" w:eastAsia="Arial" w:hAnsi="Arial"/>
                <w:sz w:val="16"/>
                <w:szCs w:val="16"/>
                <w:color w:val="auto"/>
              </w:rPr>
              <w:t>(2022 – Present)</w:t>
            </w:r>
          </w:p>
        </w:tc>
        <w:tc>
          <w:tcPr>
            <w:tcW w:w="0" w:type="dxa"/>
            <w:vAlign w:val="bottom"/>
          </w:tcPr>
          <w:p>
            <w:pPr>
              <w:spacing w:after="0"/>
              <w:rPr>
                <w:sz w:val="1"/>
                <w:szCs w:val="1"/>
                <w:color w:val="auto"/>
              </w:rPr>
            </w:pPr>
          </w:p>
        </w:tc>
      </w:tr>
      <w:tr>
        <w:trPr>
          <w:trHeight w:val="400"/>
        </w:trPr>
        <w:tc>
          <w:tcPr>
            <w:tcW w:w="2220" w:type="dxa"/>
            <w:vAlign w:val="bottom"/>
            <w:shd w:val="clear" w:color="auto" w:fill="D9D9D9"/>
          </w:tcPr>
          <w:p>
            <w:pPr>
              <w:spacing w:after="0"/>
              <w:rPr>
                <w:sz w:val="24"/>
                <w:szCs w:val="24"/>
                <w:color w:val="auto"/>
              </w:rPr>
            </w:pPr>
          </w:p>
        </w:tc>
        <w:tc>
          <w:tcPr>
            <w:tcW w:w="26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Audit Committee Financial Expert</w:t>
            </w:r>
          </w:p>
        </w:tc>
        <w:tc>
          <w:tcPr>
            <w:tcW w:w="320" w:type="dxa"/>
            <w:vAlign w:val="bottom"/>
            <w:shd w:val="clear" w:color="auto" w:fill="DBDBDB"/>
          </w:tcPr>
          <w:p>
            <w:pPr>
              <w:spacing w:after="0"/>
              <w:rPr>
                <w:sz w:val="24"/>
                <w:szCs w:val="24"/>
                <w:color w:val="auto"/>
              </w:rPr>
            </w:pPr>
          </w:p>
        </w:tc>
        <w:tc>
          <w:tcPr>
            <w:tcW w:w="1560" w:type="dxa"/>
            <w:vAlign w:val="bottom"/>
            <w:shd w:val="clear" w:color="auto" w:fill="DBDBDB"/>
          </w:tcPr>
          <w:p>
            <w:pPr>
              <w:spacing w:after="0"/>
              <w:rPr>
                <w:sz w:val="24"/>
                <w:szCs w:val="24"/>
                <w:color w:val="auto"/>
              </w:rPr>
            </w:pPr>
          </w:p>
        </w:tc>
        <w:tc>
          <w:tcPr>
            <w:tcW w:w="520" w:type="dxa"/>
            <w:vAlign w:val="bottom"/>
            <w:shd w:val="clear" w:color="auto" w:fill="DBDBDB"/>
          </w:tcPr>
          <w:p>
            <w:pPr>
              <w:spacing w:after="0"/>
              <w:rPr>
                <w:sz w:val="24"/>
                <w:szCs w:val="24"/>
                <w:color w:val="auto"/>
              </w:rPr>
            </w:pPr>
          </w:p>
        </w:tc>
        <w:tc>
          <w:tcPr>
            <w:tcW w:w="164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220" w:type="dxa"/>
            <w:vAlign w:val="bottom"/>
            <w:shd w:val="clear" w:color="auto" w:fill="D9D9D9"/>
          </w:tcPr>
          <w:p>
            <w:pPr>
              <w:spacing w:after="0"/>
              <w:rPr>
                <w:sz w:val="24"/>
                <w:szCs w:val="24"/>
                <w:color w:val="auto"/>
              </w:rPr>
            </w:pPr>
          </w:p>
        </w:tc>
        <w:tc>
          <w:tcPr>
            <w:tcW w:w="266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1560" w:type="dxa"/>
            <w:vAlign w:val="bottom"/>
            <w:shd w:val="clear" w:color="auto" w:fill="DBDBDB"/>
          </w:tcPr>
          <w:p>
            <w:pPr>
              <w:spacing w:after="0"/>
              <w:rPr>
                <w:sz w:val="24"/>
                <w:szCs w:val="24"/>
                <w:color w:val="auto"/>
              </w:rPr>
            </w:pPr>
          </w:p>
        </w:tc>
        <w:tc>
          <w:tcPr>
            <w:tcW w:w="520" w:type="dxa"/>
            <w:vAlign w:val="bottom"/>
            <w:shd w:val="clear" w:color="auto" w:fill="DBDBDB"/>
          </w:tcPr>
          <w:p>
            <w:pPr>
              <w:spacing w:after="0"/>
              <w:rPr>
                <w:sz w:val="24"/>
                <w:szCs w:val="24"/>
                <w:color w:val="auto"/>
              </w:rPr>
            </w:pPr>
          </w:p>
        </w:tc>
        <w:tc>
          <w:tcPr>
            <w:tcW w:w="164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60" w:right="79"/>
        <w:spacing w:after="0" w:line="258" w:lineRule="auto"/>
        <w:rPr>
          <w:sz w:val="20"/>
          <w:szCs w:val="20"/>
          <w:color w:val="auto"/>
        </w:rPr>
      </w:pPr>
      <w:r>
        <w:rPr>
          <w:rFonts w:ascii="Arial" w:cs="Arial" w:eastAsia="Arial" w:hAnsi="Arial"/>
          <w:sz w:val="16"/>
          <w:szCs w:val="16"/>
          <w:b w:val="1"/>
          <w:bCs w:val="1"/>
          <w:color w:val="05445E"/>
        </w:rPr>
        <w:t xml:space="preserve">Mr. L. Johnson </w:t>
      </w:r>
      <w:r>
        <w:rPr>
          <w:rFonts w:ascii="Arial" w:cs="Arial" w:eastAsia="Arial" w:hAnsi="Arial"/>
          <w:sz w:val="16"/>
          <w:szCs w:val="16"/>
          <w:color w:val="000000"/>
        </w:rPr>
        <w:t>was the Global Managing Director, Finance and Internal Audit of Accenture Corporation, a global</w:t>
      </w:r>
      <w:r>
        <w:rPr>
          <w:rFonts w:ascii="Arial" w:cs="Arial" w:eastAsia="Arial" w:hAnsi="Arial"/>
          <w:sz w:val="16"/>
          <w:szCs w:val="16"/>
          <w:b w:val="1"/>
          <w:bCs w:val="1"/>
          <w:color w:val="05445E"/>
        </w:rPr>
        <w:t xml:space="preserve"> </w:t>
      </w:r>
      <w:r>
        <w:rPr>
          <w:rFonts w:ascii="Arial" w:cs="Arial" w:eastAsia="Arial" w:hAnsi="Arial"/>
          <w:sz w:val="16"/>
          <w:szCs w:val="16"/>
          <w:color w:val="000000"/>
        </w:rPr>
        <w:t>management consulting and professional services firm providing strategy, consulting, digital technology and operations services, from 2004 to 2015. Prior to joining Accenture Corporation, he served as Executive Director, M&amp;A and General Auditor for Delphi Automotive PLC, a vehicle components manufacturer, from 1999 to 2004. From 1997 to 1999, he served as Corporate Vice President, Finance and Chief Audit Executive for Emerson Electric Corporation, a diversified global manufacturing company serving industrial, commercial and consumer markets. Earlier in his career, he held senior finance leadership roles at Sara Lee Knit Products, a division of Sara Lee Corporation; Shaw Food Industries, a privately-held food service supply company; and Harper, Wiggins &amp; Johnson, CPA, a regional accounting firm. Mr. L. Johnson began his career with Coopers &amp; Lybrand, a global accounting firm that became part of PricewaterhouseCoopers, a global accounting firm.</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2260" w:type="dxa"/>
            <w:vAlign w:val="bottom"/>
            <w:gridSpan w:val="2"/>
          </w:tcPr>
          <w:p>
            <w:pPr>
              <w:spacing w:after="0"/>
              <w:rPr>
                <w:sz w:val="20"/>
                <w:szCs w:val="20"/>
                <w:color w:val="auto"/>
              </w:rPr>
            </w:pPr>
            <w:r>
              <w:rPr>
                <w:rFonts w:ascii="Arial" w:cs="Arial" w:eastAsia="Arial" w:hAnsi="Arial"/>
                <w:sz w:val="16"/>
                <w:szCs w:val="16"/>
                <w:b w:val="1"/>
                <w:bCs w:val="1"/>
                <w:color w:val="05445E"/>
              </w:rPr>
              <w:t>Skills &amp; Qualifications:</w:t>
            </w:r>
          </w:p>
        </w:tc>
        <w:tc>
          <w:tcPr>
            <w:tcW w:w="3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276"/>
        </w:trPr>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1980" w:type="dxa"/>
            <w:vAlign w:val="bottom"/>
          </w:tcPr>
          <w:p>
            <w:pPr>
              <w:ind w:left="40"/>
              <w:spacing w:after="0"/>
              <w:rPr>
                <w:sz w:val="20"/>
                <w:szCs w:val="20"/>
                <w:color w:val="auto"/>
              </w:rPr>
            </w:pPr>
            <w:r>
              <w:rPr>
                <w:rFonts w:ascii="Arial" w:cs="Arial" w:eastAsia="Arial" w:hAnsi="Arial"/>
                <w:sz w:val="16"/>
                <w:szCs w:val="16"/>
                <w:color w:val="auto"/>
              </w:rPr>
              <w:t>Executive Leadership</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2320" w:type="dxa"/>
            <w:vAlign w:val="bottom"/>
          </w:tcPr>
          <w:p>
            <w:pPr>
              <w:ind w:left="60"/>
              <w:spacing w:after="0"/>
              <w:rPr>
                <w:sz w:val="20"/>
                <w:szCs w:val="20"/>
                <w:color w:val="auto"/>
              </w:rPr>
            </w:pPr>
            <w:r>
              <w:rPr>
                <w:rFonts w:ascii="Arial" w:cs="Arial" w:eastAsia="Arial" w:hAnsi="Arial"/>
                <w:sz w:val="16"/>
                <w:szCs w:val="16"/>
                <w:color w:val="auto"/>
              </w:rPr>
              <w:t>Mergers and Acquisitions</w:t>
            </w:r>
          </w:p>
        </w:tc>
        <w:tc>
          <w:tcPr>
            <w:tcW w:w="540" w:type="dxa"/>
            <w:vAlign w:val="bottom"/>
          </w:tcPr>
          <w:p>
            <w:pPr>
              <w:ind w:left="440"/>
              <w:spacing w:after="0"/>
              <w:rPr>
                <w:sz w:val="20"/>
                <w:szCs w:val="20"/>
                <w:color w:val="auto"/>
              </w:rPr>
            </w:pPr>
            <w:r>
              <w:rPr>
                <w:rFonts w:ascii="Arial" w:cs="Arial" w:eastAsia="Arial" w:hAnsi="Arial"/>
                <w:sz w:val="16"/>
                <w:szCs w:val="16"/>
                <w:color w:val="auto"/>
              </w:rPr>
              <w:t>•</w:t>
            </w:r>
          </w:p>
        </w:tc>
        <w:tc>
          <w:tcPr>
            <w:tcW w:w="3340" w:type="dxa"/>
            <w:vAlign w:val="bottom"/>
          </w:tcPr>
          <w:p>
            <w:pPr>
              <w:ind w:left="40"/>
              <w:spacing w:after="0"/>
              <w:rPr>
                <w:sz w:val="20"/>
                <w:szCs w:val="20"/>
                <w:color w:val="auto"/>
              </w:rPr>
            </w:pPr>
            <w:r>
              <w:rPr>
                <w:rFonts w:ascii="Arial" w:cs="Arial" w:eastAsia="Arial" w:hAnsi="Arial"/>
                <w:sz w:val="16"/>
                <w:szCs w:val="16"/>
                <w:color w:val="auto"/>
              </w:rPr>
              <w:t>Executive Compensation</w:t>
            </w:r>
          </w:p>
        </w:tc>
      </w:tr>
      <w:tr>
        <w:trPr>
          <w:trHeight w:val="204"/>
        </w:trPr>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1980" w:type="dxa"/>
            <w:vAlign w:val="bottom"/>
          </w:tcPr>
          <w:p>
            <w:pPr>
              <w:ind w:left="40"/>
              <w:spacing w:after="0"/>
              <w:rPr>
                <w:sz w:val="20"/>
                <w:szCs w:val="20"/>
                <w:color w:val="auto"/>
              </w:rPr>
            </w:pPr>
            <w:r>
              <w:rPr>
                <w:rFonts w:ascii="Arial" w:cs="Arial" w:eastAsia="Arial" w:hAnsi="Arial"/>
                <w:sz w:val="16"/>
                <w:szCs w:val="16"/>
                <w:color w:val="auto"/>
              </w:rPr>
              <w:t>Public Accounting and</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2320" w:type="dxa"/>
            <w:vAlign w:val="bottom"/>
          </w:tcPr>
          <w:p>
            <w:pPr>
              <w:ind w:left="60"/>
              <w:spacing w:after="0"/>
              <w:rPr>
                <w:sz w:val="20"/>
                <w:szCs w:val="20"/>
                <w:color w:val="auto"/>
              </w:rPr>
            </w:pPr>
            <w:r>
              <w:rPr>
                <w:rFonts w:ascii="Arial" w:cs="Arial" w:eastAsia="Arial" w:hAnsi="Arial"/>
                <w:sz w:val="16"/>
                <w:szCs w:val="16"/>
                <w:color w:val="auto"/>
              </w:rPr>
              <w:t>International Business</w:t>
            </w:r>
          </w:p>
        </w:tc>
        <w:tc>
          <w:tcPr>
            <w:tcW w:w="540" w:type="dxa"/>
            <w:vAlign w:val="bottom"/>
          </w:tcPr>
          <w:p>
            <w:pPr>
              <w:ind w:left="440"/>
              <w:spacing w:after="0"/>
              <w:rPr>
                <w:sz w:val="20"/>
                <w:szCs w:val="20"/>
                <w:color w:val="auto"/>
              </w:rPr>
            </w:pPr>
            <w:r>
              <w:rPr>
                <w:rFonts w:ascii="Arial" w:cs="Arial" w:eastAsia="Arial" w:hAnsi="Arial"/>
                <w:sz w:val="16"/>
                <w:szCs w:val="16"/>
                <w:color w:val="auto"/>
              </w:rPr>
              <w:t>•</w:t>
            </w:r>
          </w:p>
        </w:tc>
        <w:tc>
          <w:tcPr>
            <w:tcW w:w="3340" w:type="dxa"/>
            <w:vAlign w:val="bottom"/>
          </w:tcPr>
          <w:p>
            <w:pPr>
              <w:ind w:left="40"/>
              <w:spacing w:after="0"/>
              <w:rPr>
                <w:sz w:val="20"/>
                <w:szCs w:val="20"/>
                <w:color w:val="auto"/>
              </w:rPr>
            </w:pPr>
            <w:r>
              <w:rPr>
                <w:rFonts w:ascii="Arial" w:cs="Arial" w:eastAsia="Arial" w:hAnsi="Arial"/>
                <w:sz w:val="16"/>
                <w:szCs w:val="16"/>
                <w:color w:val="auto"/>
              </w:rPr>
              <w:t>Corporate Governance</w:t>
            </w:r>
          </w:p>
        </w:tc>
      </w:tr>
      <w:tr>
        <w:trPr>
          <w:trHeight w:val="230"/>
        </w:trPr>
        <w:tc>
          <w:tcPr>
            <w:tcW w:w="280" w:type="dxa"/>
            <w:vAlign w:val="bottom"/>
          </w:tcPr>
          <w:p>
            <w:pPr>
              <w:spacing w:after="0"/>
              <w:rPr>
                <w:sz w:val="19"/>
                <w:szCs w:val="19"/>
                <w:color w:val="auto"/>
              </w:rPr>
            </w:pPr>
          </w:p>
        </w:tc>
        <w:tc>
          <w:tcPr>
            <w:tcW w:w="1980" w:type="dxa"/>
            <w:vAlign w:val="bottom"/>
          </w:tcPr>
          <w:p>
            <w:pPr>
              <w:ind w:left="60"/>
              <w:spacing w:after="0"/>
              <w:rPr>
                <w:sz w:val="20"/>
                <w:szCs w:val="20"/>
                <w:color w:val="auto"/>
              </w:rPr>
            </w:pPr>
            <w:r>
              <w:rPr>
                <w:rFonts w:ascii="Arial" w:cs="Arial" w:eastAsia="Arial" w:hAnsi="Arial"/>
                <w:sz w:val="16"/>
                <w:szCs w:val="16"/>
                <w:color w:val="auto"/>
              </w:rPr>
              <w:t>Audit, Retired CPA</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2320" w:type="dxa"/>
            <w:vAlign w:val="bottom"/>
          </w:tcPr>
          <w:p>
            <w:pPr>
              <w:ind w:left="60"/>
              <w:spacing w:after="0"/>
              <w:rPr>
                <w:sz w:val="20"/>
                <w:szCs w:val="20"/>
                <w:color w:val="auto"/>
              </w:rPr>
            </w:pPr>
            <w:r>
              <w:rPr>
                <w:rFonts w:ascii="Arial" w:cs="Arial" w:eastAsia="Arial" w:hAnsi="Arial"/>
                <w:sz w:val="16"/>
                <w:szCs w:val="16"/>
                <w:color w:val="auto"/>
              </w:rPr>
              <w:t>Information Technology,</w:t>
            </w:r>
          </w:p>
        </w:tc>
        <w:tc>
          <w:tcPr>
            <w:tcW w:w="540" w:type="dxa"/>
            <w:vAlign w:val="bottom"/>
          </w:tcPr>
          <w:p>
            <w:pPr>
              <w:ind w:left="440"/>
              <w:spacing w:after="0"/>
              <w:rPr>
                <w:sz w:val="20"/>
                <w:szCs w:val="20"/>
                <w:color w:val="auto"/>
              </w:rPr>
            </w:pPr>
            <w:r>
              <w:rPr>
                <w:rFonts w:ascii="Arial" w:cs="Arial" w:eastAsia="Arial" w:hAnsi="Arial"/>
                <w:sz w:val="16"/>
                <w:szCs w:val="16"/>
                <w:color w:val="auto"/>
              </w:rPr>
              <w:t>•</w:t>
            </w:r>
          </w:p>
        </w:tc>
        <w:tc>
          <w:tcPr>
            <w:tcW w:w="3340" w:type="dxa"/>
            <w:vAlign w:val="bottom"/>
          </w:tcPr>
          <w:p>
            <w:pPr>
              <w:ind w:left="40"/>
              <w:spacing w:after="0"/>
              <w:rPr>
                <w:sz w:val="20"/>
                <w:szCs w:val="20"/>
                <w:color w:val="auto"/>
              </w:rPr>
            </w:pPr>
            <w:r>
              <w:rPr>
                <w:rFonts w:ascii="Arial" w:cs="Arial" w:eastAsia="Arial" w:hAnsi="Arial"/>
                <w:sz w:val="16"/>
                <w:szCs w:val="16"/>
                <w:color w:val="auto"/>
              </w:rPr>
              <w:t>Industrial Commercial and Consumer Markets</w:t>
            </w:r>
          </w:p>
        </w:tc>
      </w:tr>
      <w:tr>
        <w:trPr>
          <w:trHeight w:val="230"/>
        </w:trPr>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1980" w:type="dxa"/>
            <w:vAlign w:val="bottom"/>
          </w:tcPr>
          <w:p>
            <w:pPr>
              <w:ind w:left="40"/>
              <w:spacing w:after="0"/>
              <w:rPr>
                <w:sz w:val="20"/>
                <w:szCs w:val="20"/>
                <w:color w:val="auto"/>
              </w:rPr>
            </w:pPr>
            <w:r>
              <w:rPr>
                <w:rFonts w:ascii="Arial" w:cs="Arial" w:eastAsia="Arial" w:hAnsi="Arial"/>
                <w:sz w:val="16"/>
                <w:szCs w:val="16"/>
                <w:color w:val="auto"/>
              </w:rPr>
              <w:t>Financial Management</w:t>
            </w:r>
          </w:p>
        </w:tc>
        <w:tc>
          <w:tcPr>
            <w:tcW w:w="380" w:type="dxa"/>
            <w:vAlign w:val="bottom"/>
          </w:tcPr>
          <w:p>
            <w:pPr>
              <w:spacing w:after="0"/>
              <w:rPr>
                <w:sz w:val="19"/>
                <w:szCs w:val="19"/>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including Cybersecurity</w:t>
            </w:r>
          </w:p>
        </w:tc>
        <w:tc>
          <w:tcPr>
            <w:tcW w:w="540" w:type="dxa"/>
            <w:vAlign w:val="bottom"/>
          </w:tcPr>
          <w:p>
            <w:pPr>
              <w:ind w:left="440"/>
              <w:spacing w:after="0"/>
              <w:rPr>
                <w:sz w:val="20"/>
                <w:szCs w:val="20"/>
                <w:color w:val="auto"/>
              </w:rPr>
            </w:pPr>
            <w:r>
              <w:rPr>
                <w:rFonts w:ascii="Arial" w:cs="Arial" w:eastAsia="Arial" w:hAnsi="Arial"/>
                <w:sz w:val="16"/>
                <w:szCs w:val="16"/>
                <w:color w:val="auto"/>
              </w:rPr>
              <w:t>•</w:t>
            </w:r>
          </w:p>
        </w:tc>
        <w:tc>
          <w:tcPr>
            <w:tcW w:w="3340" w:type="dxa"/>
            <w:vAlign w:val="bottom"/>
          </w:tcPr>
          <w:p>
            <w:pPr>
              <w:ind w:left="40"/>
              <w:spacing w:after="0"/>
              <w:rPr>
                <w:sz w:val="20"/>
                <w:szCs w:val="20"/>
                <w:color w:val="auto"/>
              </w:rPr>
            </w:pPr>
            <w:r>
              <w:rPr>
                <w:rFonts w:ascii="Arial" w:cs="Arial" w:eastAsia="Arial" w:hAnsi="Arial"/>
                <w:sz w:val="16"/>
                <w:szCs w:val="16"/>
                <w:color w:val="auto"/>
              </w:rPr>
              <w:t>Public Company Board Experience</w:t>
            </w:r>
          </w:p>
        </w:tc>
      </w:tr>
      <w:tr>
        <w:trPr>
          <w:trHeight w:val="215"/>
        </w:trPr>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1980" w:type="dxa"/>
            <w:vAlign w:val="bottom"/>
          </w:tcPr>
          <w:p>
            <w:pPr>
              <w:ind w:left="40"/>
              <w:spacing w:after="0"/>
              <w:rPr>
                <w:sz w:val="20"/>
                <w:szCs w:val="20"/>
                <w:color w:val="auto"/>
              </w:rPr>
            </w:pPr>
            <w:r>
              <w:rPr>
                <w:rFonts w:ascii="Arial" w:cs="Arial" w:eastAsia="Arial" w:hAnsi="Arial"/>
                <w:sz w:val="16"/>
                <w:szCs w:val="16"/>
                <w:color w:val="auto"/>
              </w:rPr>
              <w:t>Business Operations</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2320" w:type="dxa"/>
            <w:vAlign w:val="bottom"/>
          </w:tcPr>
          <w:p>
            <w:pPr>
              <w:ind w:left="60"/>
              <w:spacing w:after="0"/>
              <w:rPr>
                <w:sz w:val="20"/>
                <w:szCs w:val="20"/>
                <w:color w:val="auto"/>
              </w:rPr>
            </w:pPr>
            <w:r>
              <w:rPr>
                <w:rFonts w:ascii="Arial" w:cs="Arial" w:eastAsia="Arial" w:hAnsi="Arial"/>
                <w:sz w:val="16"/>
                <w:szCs w:val="16"/>
                <w:color w:val="auto"/>
              </w:rPr>
              <w:t>Leadership Development</w:t>
            </w:r>
          </w:p>
        </w:tc>
        <w:tc>
          <w:tcPr>
            <w:tcW w:w="540" w:type="dxa"/>
            <w:vAlign w:val="bottom"/>
          </w:tcPr>
          <w:p>
            <w:pPr>
              <w:spacing w:after="0"/>
              <w:rPr>
                <w:sz w:val="18"/>
                <w:szCs w:val="18"/>
                <w:color w:val="auto"/>
              </w:rPr>
            </w:pPr>
          </w:p>
        </w:tc>
        <w:tc>
          <w:tcPr>
            <w:tcW w:w="3340" w:type="dxa"/>
            <w:vAlign w:val="bottom"/>
          </w:tcPr>
          <w:p>
            <w:pPr>
              <w:spacing w:after="0"/>
              <w:rPr>
                <w:sz w:val="18"/>
                <w:szCs w:val="18"/>
                <w:color w:val="auto"/>
              </w:rPr>
            </w:pPr>
          </w:p>
        </w:tc>
      </w:tr>
    </w:tbl>
    <w:p>
      <w:pPr>
        <w:spacing w:after="0" w:line="15" w:lineRule="exact"/>
        <w:rPr>
          <w:sz w:val="20"/>
          <w:szCs w:val="20"/>
          <w:color w:val="auto"/>
        </w:rPr>
      </w:pPr>
    </w:p>
    <w:p>
      <w:pPr>
        <w:ind w:left="400" w:right="7539" w:hanging="171"/>
        <w:spacing w:after="0" w:line="304" w:lineRule="auto"/>
        <w:tabs>
          <w:tab w:leader="none" w:pos="3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5"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22"/>
          <w:szCs w:val="22"/>
          <w:b w:val="1"/>
          <w:bCs w:val="1"/>
          <w:color w:val="auto"/>
        </w:rPr>
        <w:t>Class I Director Nominee – Term Expiring in 2026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29210</wp:posOffset>
            </wp:positionV>
            <wp:extent cx="8255" cy="1825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182562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29210</wp:posOffset>
            </wp:positionV>
            <wp:extent cx="1371600" cy="17659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0" cy="1765935"/>
                    </a:xfrm>
                    <a:prstGeom prst="rect">
                      <a:avLst/>
                    </a:prstGeom>
                    <a:noFill/>
                  </pic:spPr>
                </pic:pic>
              </a:graphicData>
            </a:graphic>
          </wp:anchor>
        </w:drawing>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574"/>
        </w:trPr>
        <w:tc>
          <w:tcPr>
            <w:tcW w:w="4580" w:type="dxa"/>
            <w:vAlign w:val="bottom"/>
            <w:shd w:val="clear" w:color="auto" w:fill="D9D9D9"/>
          </w:tcPr>
          <w:p>
            <w:pPr>
              <w:ind w:left="2240"/>
              <w:spacing w:after="0"/>
              <w:rPr>
                <w:sz w:val="20"/>
                <w:szCs w:val="20"/>
                <w:color w:val="auto"/>
              </w:rPr>
            </w:pPr>
            <w:r>
              <w:rPr>
                <w:rFonts w:ascii="Arial" w:cs="Arial" w:eastAsia="Arial" w:hAnsi="Arial"/>
                <w:sz w:val="25"/>
                <w:szCs w:val="25"/>
                <w:b w:val="1"/>
                <w:bCs w:val="1"/>
                <w:color w:val="05445E"/>
              </w:rPr>
              <w:t>Donald A. Nolan</w:t>
            </w:r>
          </w:p>
        </w:tc>
        <w:tc>
          <w:tcPr>
            <w:tcW w:w="4340" w:type="dxa"/>
            <w:vAlign w:val="bottom"/>
            <w:shd w:val="clear" w:color="auto" w:fill="D9D9D9"/>
          </w:tcPr>
          <w:p>
            <w:pPr>
              <w:ind w:left="400"/>
              <w:spacing w:after="0"/>
              <w:rPr>
                <w:sz w:val="20"/>
                <w:szCs w:val="20"/>
                <w:color w:val="auto"/>
              </w:rPr>
            </w:pPr>
            <w:r>
              <w:rPr>
                <w:rFonts w:ascii="Arial" w:cs="Arial" w:eastAsia="Arial" w:hAnsi="Arial"/>
                <w:sz w:val="16"/>
                <w:szCs w:val="16"/>
                <w:b w:val="1"/>
                <w:bCs w:val="1"/>
                <w:color w:val="05445E"/>
              </w:rPr>
              <w:t>Apogee Committees:</w:t>
            </w:r>
          </w:p>
        </w:tc>
        <w:tc>
          <w:tcPr>
            <w:tcW w:w="0" w:type="dxa"/>
            <w:vAlign w:val="bottom"/>
          </w:tcPr>
          <w:p>
            <w:pPr>
              <w:spacing w:after="0"/>
              <w:rPr>
                <w:sz w:val="1"/>
                <w:szCs w:val="1"/>
                <w:color w:val="auto"/>
              </w:rPr>
            </w:pPr>
          </w:p>
        </w:tc>
      </w:tr>
      <w:tr>
        <w:trPr>
          <w:trHeight w:val="189"/>
        </w:trPr>
        <w:tc>
          <w:tcPr>
            <w:tcW w:w="4580" w:type="dxa"/>
            <w:vAlign w:val="bottom"/>
            <w:vMerge w:val="restart"/>
            <w:shd w:val="clear" w:color="auto" w:fill="D9D9D9"/>
          </w:tcPr>
          <w:p>
            <w:pPr>
              <w:ind w:left="22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tc>
        <w:tc>
          <w:tcPr>
            <w:tcW w:w="4340" w:type="dxa"/>
            <w:vAlign w:val="bottom"/>
            <w:shd w:val="clear" w:color="auto" w:fill="D9D9D9"/>
          </w:tcPr>
          <w:p>
            <w:pPr>
              <w:jc w:val="center"/>
              <w:ind w:right="1499"/>
              <w:spacing w:after="0"/>
              <w:rPr>
                <w:sz w:val="20"/>
                <w:szCs w:val="20"/>
                <w:color w:val="auto"/>
              </w:rPr>
            </w:pPr>
            <w:r>
              <w:rPr>
                <w:rFonts w:ascii="Arial" w:cs="Arial" w:eastAsia="Arial" w:hAnsi="Arial"/>
                <w:sz w:val="16"/>
                <w:szCs w:val="16"/>
                <w:color w:val="auto"/>
              </w:rPr>
              <w:t>• Ad hoc Member – all</w:t>
            </w:r>
          </w:p>
        </w:tc>
        <w:tc>
          <w:tcPr>
            <w:tcW w:w="0" w:type="dxa"/>
            <w:vAlign w:val="bottom"/>
          </w:tcPr>
          <w:p>
            <w:pPr>
              <w:spacing w:after="0"/>
              <w:rPr>
                <w:sz w:val="1"/>
                <w:szCs w:val="1"/>
                <w:color w:val="auto"/>
              </w:rPr>
            </w:pPr>
          </w:p>
        </w:tc>
      </w:tr>
      <w:tr>
        <w:trPr>
          <w:trHeight w:val="215"/>
        </w:trPr>
        <w:tc>
          <w:tcPr>
            <w:tcW w:w="4580" w:type="dxa"/>
            <w:vAlign w:val="bottom"/>
            <w:vMerge w:val="continue"/>
            <w:shd w:val="clear" w:color="auto" w:fill="D9D9D9"/>
          </w:tcPr>
          <w:p>
            <w:pPr>
              <w:spacing w:after="0"/>
              <w:rPr>
                <w:sz w:val="18"/>
                <w:szCs w:val="18"/>
                <w:color w:val="auto"/>
              </w:rPr>
            </w:pPr>
          </w:p>
        </w:tc>
        <w:tc>
          <w:tcPr>
            <w:tcW w:w="4340" w:type="dxa"/>
            <w:vAlign w:val="bottom"/>
            <w:shd w:val="clear" w:color="auto" w:fill="D9D9D9"/>
          </w:tcPr>
          <w:p>
            <w:pPr>
              <w:jc w:val="center"/>
              <w:ind w:right="1479"/>
              <w:spacing w:after="0"/>
              <w:rPr>
                <w:sz w:val="20"/>
                <w:szCs w:val="20"/>
                <w:color w:val="auto"/>
              </w:rPr>
            </w:pPr>
            <w:r>
              <w:rPr>
                <w:rFonts w:ascii="Arial" w:cs="Arial" w:eastAsia="Arial" w:hAnsi="Arial"/>
                <w:sz w:val="16"/>
                <w:szCs w:val="16"/>
                <w:color w:val="auto"/>
              </w:rPr>
              <w:t>Board Committees</w:t>
            </w:r>
          </w:p>
        </w:tc>
        <w:tc>
          <w:tcPr>
            <w:tcW w:w="0" w:type="dxa"/>
            <w:vAlign w:val="bottom"/>
          </w:tcPr>
          <w:p>
            <w:pPr>
              <w:spacing w:after="0"/>
              <w:rPr>
                <w:sz w:val="1"/>
                <w:szCs w:val="1"/>
                <w:color w:val="auto"/>
              </w:rPr>
            </w:pPr>
          </w:p>
        </w:tc>
      </w:tr>
      <w:tr>
        <w:trPr>
          <w:trHeight w:val="264"/>
        </w:trPr>
        <w:tc>
          <w:tcPr>
            <w:tcW w:w="4580" w:type="dxa"/>
            <w:vAlign w:val="bottom"/>
            <w:shd w:val="clear" w:color="auto" w:fill="D9D9D9"/>
          </w:tcPr>
          <w:p>
            <w:pPr>
              <w:ind w:left="2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tc>
        <w:tc>
          <w:tcPr>
            <w:tcW w:w="4340" w:type="dxa"/>
            <w:vAlign w:val="bottom"/>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shd w:val="clear" w:color="auto" w:fill="D9D9D9"/>
          </w:tcPr>
          <w:p>
            <w:pPr>
              <w:ind w:left="2240"/>
              <w:spacing w:after="0"/>
              <w:rPr>
                <w:sz w:val="20"/>
                <w:szCs w:val="20"/>
                <w:color w:val="auto"/>
              </w:rPr>
            </w:pPr>
            <w:r>
              <w:rPr>
                <w:rFonts w:ascii="Arial" w:cs="Arial" w:eastAsia="Arial" w:hAnsi="Arial"/>
                <w:sz w:val="16"/>
                <w:szCs w:val="16"/>
                <w:b w:val="1"/>
                <w:bCs w:val="1"/>
                <w:color w:val="auto"/>
              </w:rPr>
              <w:t>Independent</w:t>
            </w:r>
          </w:p>
        </w:tc>
        <w:tc>
          <w:tcPr>
            <w:tcW w:w="4340" w:type="dxa"/>
            <w:vAlign w:val="bottom"/>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736"/>
        </w:trPr>
        <w:tc>
          <w:tcPr>
            <w:tcW w:w="4580" w:type="dxa"/>
            <w:vAlign w:val="bottom"/>
            <w:shd w:val="clear" w:color="auto" w:fill="D9D9D9"/>
          </w:tcPr>
          <w:p>
            <w:pPr>
              <w:ind w:left="2240"/>
              <w:spacing w:after="0"/>
              <w:rPr>
                <w:sz w:val="20"/>
                <w:szCs w:val="20"/>
                <w:color w:val="auto"/>
              </w:rPr>
            </w:pPr>
            <w:r>
              <w:rPr>
                <w:rFonts w:ascii="Arial" w:cs="Arial" w:eastAsia="Arial" w:hAnsi="Arial"/>
                <w:sz w:val="16"/>
                <w:szCs w:val="16"/>
                <w:b w:val="1"/>
                <w:bCs w:val="1"/>
                <w:color w:val="auto"/>
              </w:rPr>
              <w:t>Independent Chair</w:t>
            </w:r>
          </w:p>
        </w:tc>
        <w:tc>
          <w:tcPr>
            <w:tcW w:w="434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D9D9D9"/>
          </w:tcPr>
          <w:p>
            <w:pPr>
              <w:ind w:left="2400"/>
              <w:spacing w:after="0"/>
              <w:rPr>
                <w:sz w:val="20"/>
                <w:szCs w:val="20"/>
                <w:color w:val="auto"/>
              </w:rPr>
            </w:pPr>
            <w:r>
              <w:rPr>
                <w:rFonts w:ascii="Arial" w:cs="Arial" w:eastAsia="Arial" w:hAnsi="Arial"/>
                <w:sz w:val="16"/>
                <w:szCs w:val="16"/>
                <w:b w:val="1"/>
                <w:bCs w:val="1"/>
                <w:color w:val="auto"/>
              </w:rPr>
              <w:t>since January 2020</w:t>
            </w:r>
          </w:p>
        </w:tc>
        <w:tc>
          <w:tcPr>
            <w:tcW w:w="434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4580" w:type="dxa"/>
            <w:vAlign w:val="bottom"/>
            <w:shd w:val="clear" w:color="auto" w:fill="D9D9D9"/>
          </w:tcPr>
          <w:p>
            <w:pPr>
              <w:spacing w:after="0"/>
              <w:rPr>
                <w:sz w:val="24"/>
                <w:szCs w:val="24"/>
                <w:color w:val="auto"/>
              </w:rPr>
            </w:pPr>
          </w:p>
        </w:tc>
        <w:tc>
          <w:tcPr>
            <w:tcW w:w="434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6"/>
          <w:szCs w:val="16"/>
          <w:b w:val="1"/>
          <w:bCs w:val="1"/>
          <w:color w:val="05445E"/>
        </w:rPr>
        <w:t xml:space="preserve">Mr. Nolan </w:t>
      </w:r>
      <w:r>
        <w:rPr>
          <w:rFonts w:ascii="Arial" w:cs="Arial" w:eastAsia="Arial" w:hAnsi="Arial"/>
          <w:sz w:val="16"/>
          <w:szCs w:val="16"/>
          <w:color w:val="000000"/>
        </w:rPr>
        <w:t>served as President and Chief Executive Officer of Kennametal Inc., a global industrial technology leader,</w:t>
      </w:r>
      <w:r>
        <w:rPr>
          <w:rFonts w:ascii="Arial" w:cs="Arial" w:eastAsia="Arial" w:hAnsi="Arial"/>
          <w:sz w:val="16"/>
          <w:szCs w:val="16"/>
          <w:b w:val="1"/>
          <w:bCs w:val="1"/>
          <w:color w:val="05445E"/>
        </w:rPr>
        <w:t xml:space="preserve"> </w:t>
      </w:r>
      <w:r>
        <w:rPr>
          <w:rFonts w:ascii="Arial" w:cs="Arial" w:eastAsia="Arial" w:hAnsi="Arial"/>
          <w:sz w:val="16"/>
          <w:szCs w:val="16"/>
          <w:color w:val="000000"/>
        </w:rPr>
        <w:t>present in over 60 countries, manufacturing tooling and wear-resistant solutions for customers in the aerospace, energy, and transportation industries from 2014 to 2016. Previously, Mr. Nolan was President of the Materials Group for Avery Dennison Corporation from 2008 to 2014, a global leader in packaging solutions. Prior to joining Avery Dennison Corporation, he served on the executive team at Valspar, a global leader in paint and coatings, as Senior Vice President, leading the Global Packaging and Refinish Coatings businesses. Before joining Valspar, he held leadership positions of increasing responsibility with Loctite, General Electric and Ashland Chemical. Mr. Nolan is also active in private equity, serving on several private company boards.</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5445E"/>
        </w:rPr>
        <w:t>Skills &amp; Qualifications: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60" w:type="dxa"/>
            <w:vAlign w:val="bottom"/>
          </w:tcPr>
          <w:p>
            <w:pPr>
              <w:ind w:left="40"/>
              <w:spacing w:after="0"/>
              <w:rPr>
                <w:sz w:val="20"/>
                <w:szCs w:val="20"/>
                <w:color w:val="auto"/>
              </w:rPr>
            </w:pPr>
            <w:r>
              <w:rPr>
                <w:rFonts w:ascii="Arial" w:cs="Arial" w:eastAsia="Arial" w:hAnsi="Arial"/>
                <w:sz w:val="16"/>
                <w:szCs w:val="16"/>
                <w:color w:val="auto"/>
              </w:rPr>
              <w:t>Executive Leadership</w:t>
            </w:r>
          </w:p>
        </w:tc>
        <w:tc>
          <w:tcPr>
            <w:tcW w:w="400" w:type="dxa"/>
            <w:vAlign w:val="bottom"/>
          </w:tcPr>
          <w:p>
            <w:pPr>
              <w:ind w:left="300"/>
              <w:spacing w:after="0"/>
              <w:rPr>
                <w:sz w:val="20"/>
                <w:szCs w:val="20"/>
                <w:color w:val="auto"/>
              </w:rPr>
            </w:pPr>
            <w:r>
              <w:rPr>
                <w:rFonts w:ascii="Arial" w:cs="Arial" w:eastAsia="Arial" w:hAnsi="Arial"/>
                <w:sz w:val="16"/>
                <w:szCs w:val="16"/>
                <w:color w:val="auto"/>
              </w:rPr>
              <w:t>•</w:t>
            </w:r>
          </w:p>
        </w:tc>
        <w:tc>
          <w:tcPr>
            <w:tcW w:w="2460" w:type="dxa"/>
            <w:vAlign w:val="bottom"/>
          </w:tcPr>
          <w:p>
            <w:pPr>
              <w:ind w:left="60"/>
              <w:spacing w:after="0"/>
              <w:rPr>
                <w:sz w:val="20"/>
                <w:szCs w:val="20"/>
                <w:color w:val="auto"/>
              </w:rPr>
            </w:pPr>
            <w:r>
              <w:rPr>
                <w:rFonts w:ascii="Arial" w:cs="Arial" w:eastAsia="Arial" w:hAnsi="Arial"/>
                <w:sz w:val="16"/>
                <w:szCs w:val="16"/>
                <w:color w:val="auto"/>
              </w:rPr>
              <w:t>Financial Management</w:t>
            </w:r>
          </w:p>
        </w:tc>
        <w:tc>
          <w:tcPr>
            <w:tcW w:w="440" w:type="dxa"/>
            <w:vAlign w:val="bottom"/>
          </w:tcPr>
          <w:p>
            <w:pPr>
              <w:ind w:left="340"/>
              <w:spacing w:after="0"/>
              <w:rPr>
                <w:sz w:val="20"/>
                <w:szCs w:val="20"/>
                <w:color w:val="auto"/>
              </w:rPr>
            </w:pPr>
            <w:r>
              <w:rPr>
                <w:rFonts w:ascii="Arial" w:cs="Arial" w:eastAsia="Arial" w:hAnsi="Arial"/>
                <w:sz w:val="16"/>
                <w:szCs w:val="16"/>
                <w:color w:val="auto"/>
              </w:rPr>
              <w:t>•</w:t>
            </w:r>
          </w:p>
        </w:tc>
        <w:tc>
          <w:tcPr>
            <w:tcW w:w="3360" w:type="dxa"/>
            <w:vAlign w:val="bottom"/>
          </w:tcPr>
          <w:p>
            <w:pPr>
              <w:ind w:left="40"/>
              <w:spacing w:after="0"/>
              <w:rPr>
                <w:sz w:val="20"/>
                <w:szCs w:val="20"/>
                <w:color w:val="auto"/>
              </w:rPr>
            </w:pPr>
            <w:r>
              <w:rPr>
                <w:rFonts w:ascii="Arial" w:cs="Arial" w:eastAsia="Arial" w:hAnsi="Arial"/>
                <w:sz w:val="16"/>
                <w:szCs w:val="16"/>
                <w:color w:val="auto"/>
              </w:rPr>
              <w:t>Corporate Governance</w:t>
            </w:r>
          </w:p>
        </w:tc>
      </w:tr>
      <w:tr>
        <w:trPr>
          <w:trHeight w:val="230"/>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60" w:type="dxa"/>
            <w:vAlign w:val="bottom"/>
          </w:tcPr>
          <w:p>
            <w:pPr>
              <w:ind w:left="40"/>
              <w:spacing w:after="0"/>
              <w:rPr>
                <w:sz w:val="20"/>
                <w:szCs w:val="20"/>
                <w:color w:val="auto"/>
              </w:rPr>
            </w:pPr>
            <w:r>
              <w:rPr>
                <w:rFonts w:ascii="Arial" w:cs="Arial" w:eastAsia="Arial" w:hAnsi="Arial"/>
                <w:sz w:val="16"/>
                <w:szCs w:val="16"/>
                <w:color w:val="auto"/>
              </w:rPr>
              <w:t>Business Operations</w:t>
            </w:r>
          </w:p>
        </w:tc>
        <w:tc>
          <w:tcPr>
            <w:tcW w:w="400" w:type="dxa"/>
            <w:vAlign w:val="bottom"/>
          </w:tcPr>
          <w:p>
            <w:pPr>
              <w:ind w:left="300"/>
              <w:spacing w:after="0"/>
              <w:rPr>
                <w:sz w:val="20"/>
                <w:szCs w:val="20"/>
                <w:color w:val="auto"/>
              </w:rPr>
            </w:pPr>
            <w:r>
              <w:rPr>
                <w:rFonts w:ascii="Arial" w:cs="Arial" w:eastAsia="Arial" w:hAnsi="Arial"/>
                <w:sz w:val="16"/>
                <w:szCs w:val="16"/>
                <w:color w:val="auto"/>
              </w:rPr>
              <w:t>•</w:t>
            </w:r>
          </w:p>
        </w:tc>
        <w:tc>
          <w:tcPr>
            <w:tcW w:w="2460" w:type="dxa"/>
            <w:vAlign w:val="bottom"/>
          </w:tcPr>
          <w:p>
            <w:pPr>
              <w:ind w:left="60"/>
              <w:spacing w:after="0"/>
              <w:rPr>
                <w:sz w:val="20"/>
                <w:szCs w:val="20"/>
                <w:color w:val="auto"/>
              </w:rPr>
            </w:pPr>
            <w:r>
              <w:rPr>
                <w:rFonts w:ascii="Arial" w:cs="Arial" w:eastAsia="Arial" w:hAnsi="Arial"/>
                <w:sz w:val="16"/>
                <w:szCs w:val="16"/>
                <w:color w:val="auto"/>
              </w:rPr>
              <w:t>International Business</w:t>
            </w:r>
          </w:p>
        </w:tc>
        <w:tc>
          <w:tcPr>
            <w:tcW w:w="440" w:type="dxa"/>
            <w:vAlign w:val="bottom"/>
          </w:tcPr>
          <w:p>
            <w:pPr>
              <w:ind w:left="340"/>
              <w:spacing w:after="0"/>
              <w:rPr>
                <w:sz w:val="20"/>
                <w:szCs w:val="20"/>
                <w:color w:val="auto"/>
              </w:rPr>
            </w:pPr>
            <w:r>
              <w:rPr>
                <w:rFonts w:ascii="Arial" w:cs="Arial" w:eastAsia="Arial" w:hAnsi="Arial"/>
                <w:sz w:val="16"/>
                <w:szCs w:val="16"/>
                <w:color w:val="auto"/>
              </w:rPr>
              <w:t>•</w:t>
            </w:r>
          </w:p>
        </w:tc>
        <w:tc>
          <w:tcPr>
            <w:tcW w:w="3360" w:type="dxa"/>
            <w:vAlign w:val="bottom"/>
          </w:tcPr>
          <w:p>
            <w:pPr>
              <w:ind w:left="40"/>
              <w:spacing w:after="0"/>
              <w:rPr>
                <w:sz w:val="20"/>
                <w:szCs w:val="20"/>
                <w:color w:val="auto"/>
              </w:rPr>
            </w:pPr>
            <w:r>
              <w:rPr>
                <w:rFonts w:ascii="Arial" w:cs="Arial" w:eastAsia="Arial" w:hAnsi="Arial"/>
                <w:sz w:val="16"/>
                <w:szCs w:val="16"/>
                <w:color w:val="auto"/>
              </w:rPr>
              <w:t>Executive Compensation</w:t>
            </w:r>
          </w:p>
        </w:tc>
      </w:tr>
      <w:tr>
        <w:trPr>
          <w:trHeight w:val="204"/>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60" w:type="dxa"/>
            <w:vAlign w:val="bottom"/>
          </w:tcPr>
          <w:p>
            <w:pPr>
              <w:ind w:left="40"/>
              <w:spacing w:after="0"/>
              <w:rPr>
                <w:sz w:val="20"/>
                <w:szCs w:val="20"/>
                <w:color w:val="auto"/>
              </w:rPr>
            </w:pPr>
            <w:r>
              <w:rPr>
                <w:rFonts w:ascii="Arial" w:cs="Arial" w:eastAsia="Arial" w:hAnsi="Arial"/>
                <w:sz w:val="16"/>
                <w:szCs w:val="16"/>
                <w:color w:val="auto"/>
              </w:rPr>
              <w:t>Strategy Development</w:t>
            </w:r>
          </w:p>
        </w:tc>
        <w:tc>
          <w:tcPr>
            <w:tcW w:w="400" w:type="dxa"/>
            <w:vAlign w:val="bottom"/>
          </w:tcPr>
          <w:p>
            <w:pPr>
              <w:ind w:left="300"/>
              <w:spacing w:after="0"/>
              <w:rPr>
                <w:sz w:val="20"/>
                <w:szCs w:val="20"/>
                <w:color w:val="auto"/>
              </w:rPr>
            </w:pPr>
            <w:r>
              <w:rPr>
                <w:rFonts w:ascii="Arial" w:cs="Arial" w:eastAsia="Arial" w:hAnsi="Arial"/>
                <w:sz w:val="16"/>
                <w:szCs w:val="16"/>
                <w:color w:val="auto"/>
              </w:rPr>
              <w:t>•</w:t>
            </w:r>
          </w:p>
        </w:tc>
        <w:tc>
          <w:tcPr>
            <w:tcW w:w="2460" w:type="dxa"/>
            <w:vAlign w:val="bottom"/>
          </w:tcPr>
          <w:p>
            <w:pPr>
              <w:ind w:left="60"/>
              <w:spacing w:after="0"/>
              <w:rPr>
                <w:sz w:val="20"/>
                <w:szCs w:val="20"/>
                <w:color w:val="auto"/>
              </w:rPr>
            </w:pPr>
            <w:r>
              <w:rPr>
                <w:rFonts w:ascii="Arial" w:cs="Arial" w:eastAsia="Arial" w:hAnsi="Arial"/>
                <w:sz w:val="16"/>
                <w:szCs w:val="16"/>
                <w:color w:val="auto"/>
              </w:rPr>
              <w:t>Mergers and Acquisitions</w:t>
            </w:r>
          </w:p>
        </w:tc>
        <w:tc>
          <w:tcPr>
            <w:tcW w:w="440" w:type="dxa"/>
            <w:vAlign w:val="bottom"/>
          </w:tcPr>
          <w:p>
            <w:pPr>
              <w:ind w:left="340"/>
              <w:spacing w:after="0"/>
              <w:rPr>
                <w:sz w:val="20"/>
                <w:szCs w:val="20"/>
                <w:color w:val="auto"/>
              </w:rPr>
            </w:pPr>
            <w:r>
              <w:rPr>
                <w:rFonts w:ascii="Arial" w:cs="Arial" w:eastAsia="Arial" w:hAnsi="Arial"/>
                <w:sz w:val="16"/>
                <w:szCs w:val="16"/>
                <w:color w:val="auto"/>
              </w:rPr>
              <w:t>•</w:t>
            </w:r>
          </w:p>
        </w:tc>
        <w:tc>
          <w:tcPr>
            <w:tcW w:w="3360" w:type="dxa"/>
            <w:vAlign w:val="bottom"/>
          </w:tcPr>
          <w:p>
            <w:pPr>
              <w:ind w:left="40"/>
              <w:spacing w:after="0"/>
              <w:rPr>
                <w:sz w:val="20"/>
                <w:szCs w:val="20"/>
                <w:color w:val="auto"/>
              </w:rPr>
            </w:pPr>
            <w:r>
              <w:rPr>
                <w:rFonts w:ascii="Arial" w:cs="Arial" w:eastAsia="Arial" w:hAnsi="Arial"/>
                <w:sz w:val="16"/>
                <w:szCs w:val="16"/>
                <w:color w:val="auto"/>
              </w:rPr>
              <w:t>Public and Private Company Board</w:t>
            </w:r>
          </w:p>
        </w:tc>
      </w:tr>
      <w:tr>
        <w:trPr>
          <w:trHeight w:val="230"/>
        </w:trPr>
        <w:tc>
          <w:tcPr>
            <w:tcW w:w="300" w:type="dxa"/>
            <w:vAlign w:val="bottom"/>
          </w:tcPr>
          <w:p>
            <w:pPr>
              <w:spacing w:after="0"/>
              <w:rPr>
                <w:sz w:val="19"/>
                <w:szCs w:val="19"/>
                <w:color w:val="auto"/>
              </w:rPr>
            </w:pPr>
          </w:p>
        </w:tc>
        <w:tc>
          <w:tcPr>
            <w:tcW w:w="1960" w:type="dxa"/>
            <w:vAlign w:val="bottom"/>
          </w:tcPr>
          <w:p>
            <w:pPr>
              <w:ind w:left="60"/>
              <w:spacing w:after="0"/>
              <w:rPr>
                <w:sz w:val="20"/>
                <w:szCs w:val="20"/>
                <w:color w:val="auto"/>
              </w:rPr>
            </w:pPr>
            <w:r>
              <w:rPr>
                <w:rFonts w:ascii="Arial" w:cs="Arial" w:eastAsia="Arial" w:hAnsi="Arial"/>
                <w:sz w:val="16"/>
                <w:szCs w:val="16"/>
                <w:color w:val="auto"/>
              </w:rPr>
              <w:t>and Execution</w:t>
            </w:r>
          </w:p>
        </w:tc>
        <w:tc>
          <w:tcPr>
            <w:tcW w:w="400" w:type="dxa"/>
            <w:vAlign w:val="bottom"/>
          </w:tcPr>
          <w:p>
            <w:pPr>
              <w:ind w:left="300"/>
              <w:spacing w:after="0"/>
              <w:rPr>
                <w:sz w:val="20"/>
                <w:szCs w:val="20"/>
                <w:color w:val="auto"/>
              </w:rPr>
            </w:pPr>
            <w:r>
              <w:rPr>
                <w:rFonts w:ascii="Arial" w:cs="Arial" w:eastAsia="Arial" w:hAnsi="Arial"/>
                <w:sz w:val="16"/>
                <w:szCs w:val="16"/>
                <w:color w:val="auto"/>
              </w:rPr>
              <w:t>•</w:t>
            </w:r>
          </w:p>
        </w:tc>
        <w:tc>
          <w:tcPr>
            <w:tcW w:w="2460" w:type="dxa"/>
            <w:vAlign w:val="bottom"/>
          </w:tcPr>
          <w:p>
            <w:pPr>
              <w:ind w:left="60"/>
              <w:spacing w:after="0"/>
              <w:rPr>
                <w:sz w:val="20"/>
                <w:szCs w:val="20"/>
                <w:color w:val="auto"/>
              </w:rPr>
            </w:pPr>
            <w:r>
              <w:rPr>
                <w:rFonts w:ascii="Arial" w:cs="Arial" w:eastAsia="Arial" w:hAnsi="Arial"/>
                <w:sz w:val="16"/>
                <w:szCs w:val="16"/>
                <w:color w:val="auto"/>
              </w:rPr>
              <w:t>Enterprise Risk Management</w:t>
            </w:r>
          </w:p>
        </w:tc>
        <w:tc>
          <w:tcPr>
            <w:tcW w:w="440" w:type="dxa"/>
            <w:vAlign w:val="bottom"/>
          </w:tcPr>
          <w:p>
            <w:pPr>
              <w:spacing w:after="0"/>
              <w:rPr>
                <w:sz w:val="19"/>
                <w:szCs w:val="19"/>
                <w:color w:val="auto"/>
              </w:rPr>
            </w:pPr>
          </w:p>
        </w:tc>
        <w:tc>
          <w:tcPr>
            <w:tcW w:w="3360" w:type="dxa"/>
            <w:vAlign w:val="bottom"/>
          </w:tcPr>
          <w:p>
            <w:pPr>
              <w:ind w:left="60"/>
              <w:spacing w:after="0"/>
              <w:rPr>
                <w:sz w:val="20"/>
                <w:szCs w:val="20"/>
                <w:color w:val="auto"/>
              </w:rPr>
            </w:pPr>
            <w:r>
              <w:rPr>
                <w:rFonts w:ascii="Arial" w:cs="Arial" w:eastAsia="Arial" w:hAnsi="Arial"/>
                <w:sz w:val="16"/>
                <w:szCs w:val="16"/>
                <w:color w:val="auto"/>
              </w:rPr>
              <w:t>Experience</w:t>
            </w:r>
          </w:p>
        </w:tc>
      </w:tr>
      <w:tr>
        <w:trPr>
          <w:trHeight w:val="255"/>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6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400" w:type="dxa"/>
            <w:vAlign w:val="bottom"/>
          </w:tcPr>
          <w:p>
            <w:pPr>
              <w:ind w:left="300"/>
              <w:spacing w:after="0"/>
              <w:rPr>
                <w:sz w:val="20"/>
                <w:szCs w:val="20"/>
                <w:color w:val="auto"/>
              </w:rPr>
            </w:pPr>
            <w:r>
              <w:rPr>
                <w:rFonts w:ascii="Arial" w:cs="Arial" w:eastAsia="Arial" w:hAnsi="Arial"/>
                <w:sz w:val="16"/>
                <w:szCs w:val="16"/>
                <w:color w:val="auto"/>
              </w:rPr>
              <w:t>•</w:t>
            </w:r>
          </w:p>
        </w:tc>
        <w:tc>
          <w:tcPr>
            <w:tcW w:w="2460" w:type="dxa"/>
            <w:vAlign w:val="bottom"/>
          </w:tcPr>
          <w:p>
            <w:pPr>
              <w:ind w:left="60"/>
              <w:spacing w:after="0"/>
              <w:rPr>
                <w:sz w:val="20"/>
                <w:szCs w:val="20"/>
                <w:color w:val="auto"/>
              </w:rPr>
            </w:pPr>
            <w:r>
              <w:rPr>
                <w:rFonts w:ascii="Arial" w:cs="Arial" w:eastAsia="Arial" w:hAnsi="Arial"/>
                <w:sz w:val="16"/>
                <w:szCs w:val="16"/>
                <w:color w:val="auto"/>
              </w:rPr>
              <w:t>Leadership Development</w:t>
            </w:r>
          </w:p>
        </w:tc>
        <w:tc>
          <w:tcPr>
            <w:tcW w:w="440" w:type="dxa"/>
            <w:vAlign w:val="bottom"/>
          </w:tcPr>
          <w:p>
            <w:pPr>
              <w:spacing w:after="0"/>
              <w:rPr>
                <w:sz w:val="22"/>
                <w:szCs w:val="22"/>
                <w:color w:val="auto"/>
              </w:rPr>
            </w:pPr>
          </w:p>
        </w:tc>
        <w:tc>
          <w:tcPr>
            <w:tcW w:w="3360" w:type="dxa"/>
            <w:vAlign w:val="bottom"/>
          </w:tcPr>
          <w:p>
            <w:pPr>
              <w:spacing w:after="0"/>
              <w:rPr>
                <w:sz w:val="22"/>
                <w:szCs w:val="22"/>
                <w:color w:val="auto"/>
              </w:rPr>
            </w:pPr>
          </w:p>
        </w:tc>
      </w:tr>
      <w:tr>
        <w:trPr>
          <w:trHeight w:val="29"/>
        </w:trPr>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5"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22"/>
          <w:szCs w:val="22"/>
          <w:b w:val="1"/>
          <w:bCs w:val="1"/>
          <w:color w:val="auto"/>
        </w:rPr>
        <w:t>Class I Director Nominee – Term Expiring in 2026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37465</wp:posOffset>
            </wp:positionV>
            <wp:extent cx="8255" cy="1834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183451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37465</wp:posOffset>
            </wp:positionV>
            <wp:extent cx="1371600" cy="17741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0" cy="1774190"/>
                    </a:xfrm>
                    <a:prstGeom prst="rect">
                      <a:avLst/>
                    </a:prstGeom>
                    <a:noFill/>
                  </pic:spPr>
                </pic:pic>
              </a:graphicData>
            </a:graphic>
          </wp:anchor>
        </w:drawing>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480"/>
        </w:trPr>
        <w:tc>
          <w:tcPr>
            <w:tcW w:w="4700" w:type="dxa"/>
            <w:vAlign w:val="bottom"/>
            <w:shd w:val="clear" w:color="auto" w:fill="D9D9D9"/>
          </w:tcPr>
          <w:p>
            <w:pPr>
              <w:ind w:left="2240"/>
              <w:spacing w:after="0"/>
              <w:rPr>
                <w:sz w:val="20"/>
                <w:szCs w:val="20"/>
                <w:color w:val="auto"/>
              </w:rPr>
            </w:pPr>
            <w:r>
              <w:rPr>
                <w:rFonts w:ascii="Arial" w:cs="Arial" w:eastAsia="Arial" w:hAnsi="Arial"/>
                <w:sz w:val="25"/>
                <w:szCs w:val="25"/>
                <w:b w:val="1"/>
                <w:bCs w:val="1"/>
                <w:color w:val="05445E"/>
              </w:rPr>
              <w:t>Patricia K. Wagner</w:t>
            </w:r>
          </w:p>
        </w:tc>
        <w:tc>
          <w:tcPr>
            <w:tcW w:w="2160" w:type="dxa"/>
            <w:vAlign w:val="bottom"/>
            <w:gridSpan w:val="2"/>
            <w:shd w:val="clear" w:color="auto" w:fill="D9D9D9"/>
          </w:tcPr>
          <w:p>
            <w:pPr>
              <w:ind w:left="240"/>
              <w:spacing w:after="0"/>
              <w:rPr>
                <w:sz w:val="20"/>
                <w:szCs w:val="20"/>
                <w:color w:val="auto"/>
              </w:rPr>
            </w:pPr>
            <w:r>
              <w:rPr>
                <w:rFonts w:ascii="Arial" w:cs="Arial" w:eastAsia="Arial" w:hAnsi="Arial"/>
                <w:sz w:val="16"/>
                <w:szCs w:val="16"/>
                <w:b w:val="1"/>
                <w:bCs w:val="1"/>
                <w:color w:val="05445E"/>
              </w:rPr>
              <w:t>Apogee Committees:</w:t>
            </w:r>
          </w:p>
        </w:tc>
        <w:tc>
          <w:tcPr>
            <w:tcW w:w="2060" w:type="dxa"/>
            <w:vAlign w:val="bottom"/>
            <w:gridSpan w:val="2"/>
            <w:shd w:val="clear" w:color="auto" w:fill="D9D9D9"/>
          </w:tcPr>
          <w:p>
            <w:pPr>
              <w:ind w:left="80"/>
              <w:spacing w:after="0"/>
              <w:rPr>
                <w:sz w:val="20"/>
                <w:szCs w:val="20"/>
                <w:color w:val="auto"/>
              </w:rPr>
            </w:pPr>
            <w:r>
              <w:rPr>
                <w:rFonts w:ascii="Arial" w:cs="Arial" w:eastAsia="Arial" w:hAnsi="Arial"/>
                <w:sz w:val="16"/>
                <w:szCs w:val="16"/>
                <w:b w:val="1"/>
                <w:bCs w:val="1"/>
                <w:color w:val="05445E"/>
              </w:rPr>
              <w:t>Public Directorships:</w:t>
            </w:r>
          </w:p>
        </w:tc>
        <w:tc>
          <w:tcPr>
            <w:tcW w:w="0" w:type="dxa"/>
            <w:vAlign w:val="bottom"/>
          </w:tcPr>
          <w:p>
            <w:pPr>
              <w:spacing w:after="0"/>
              <w:rPr>
                <w:sz w:val="1"/>
                <w:szCs w:val="1"/>
                <w:color w:val="auto"/>
              </w:rPr>
            </w:pPr>
          </w:p>
        </w:tc>
      </w:tr>
      <w:tr>
        <w:trPr>
          <w:trHeight w:val="189"/>
        </w:trPr>
        <w:tc>
          <w:tcPr>
            <w:tcW w:w="4700" w:type="dxa"/>
            <w:vAlign w:val="bottom"/>
            <w:vMerge w:val="restart"/>
            <w:shd w:val="clear" w:color="auto" w:fill="D9D9D9"/>
          </w:tcPr>
          <w:p>
            <w:pPr>
              <w:ind w:left="22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tc>
        <w:tc>
          <w:tcPr>
            <w:tcW w:w="500" w:type="dxa"/>
            <w:vAlign w:val="bottom"/>
            <w:shd w:val="clear" w:color="auto" w:fill="D9D9D9"/>
          </w:tcPr>
          <w:p>
            <w:pPr>
              <w:ind w:left="400"/>
              <w:spacing w:after="0"/>
              <w:rPr>
                <w:sz w:val="20"/>
                <w:szCs w:val="20"/>
                <w:color w:val="auto"/>
              </w:rPr>
            </w:pPr>
            <w:r>
              <w:rPr>
                <w:rFonts w:ascii="Arial" w:cs="Arial" w:eastAsia="Arial" w:hAnsi="Arial"/>
                <w:sz w:val="16"/>
                <w:szCs w:val="16"/>
                <w:color w:val="auto"/>
              </w:rPr>
              <w:t>•</w:t>
            </w:r>
          </w:p>
        </w:tc>
        <w:tc>
          <w:tcPr>
            <w:tcW w:w="1660" w:type="dxa"/>
            <w:vAlign w:val="bottom"/>
            <w:shd w:val="clear" w:color="auto" w:fill="D9D9D9"/>
          </w:tcPr>
          <w:p>
            <w:pPr>
              <w:ind w:left="60"/>
              <w:spacing w:after="0"/>
              <w:rPr>
                <w:sz w:val="20"/>
                <w:szCs w:val="20"/>
                <w:color w:val="auto"/>
              </w:rPr>
            </w:pPr>
            <w:r>
              <w:rPr>
                <w:rFonts w:ascii="Arial" w:cs="Arial" w:eastAsia="Arial" w:hAnsi="Arial"/>
                <w:sz w:val="16"/>
                <w:szCs w:val="16"/>
                <w:color w:val="auto"/>
              </w:rPr>
              <w:t>Compensation, Chair</w:t>
            </w:r>
          </w:p>
        </w:tc>
        <w:tc>
          <w:tcPr>
            <w:tcW w:w="3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w:t>
            </w:r>
          </w:p>
        </w:tc>
        <w:tc>
          <w:tcPr>
            <w:tcW w:w="1720" w:type="dxa"/>
            <w:vAlign w:val="bottom"/>
            <w:shd w:val="clear" w:color="auto" w:fill="D9D9D9"/>
          </w:tcPr>
          <w:p>
            <w:pPr>
              <w:ind w:left="60"/>
              <w:spacing w:after="0"/>
              <w:rPr>
                <w:sz w:val="20"/>
                <w:szCs w:val="20"/>
                <w:color w:val="auto"/>
              </w:rPr>
            </w:pPr>
            <w:r>
              <w:rPr>
                <w:rFonts w:ascii="Arial" w:cs="Arial" w:eastAsia="Arial" w:hAnsi="Arial"/>
                <w:sz w:val="16"/>
                <w:szCs w:val="16"/>
                <w:color w:val="auto"/>
              </w:rPr>
              <w:t>California Water</w:t>
            </w:r>
          </w:p>
        </w:tc>
        <w:tc>
          <w:tcPr>
            <w:tcW w:w="0" w:type="dxa"/>
            <w:vAlign w:val="bottom"/>
          </w:tcPr>
          <w:p>
            <w:pPr>
              <w:spacing w:after="0"/>
              <w:rPr>
                <w:sz w:val="1"/>
                <w:szCs w:val="1"/>
                <w:color w:val="auto"/>
              </w:rPr>
            </w:pPr>
          </w:p>
        </w:tc>
      </w:tr>
      <w:tr>
        <w:trPr>
          <w:trHeight w:val="203"/>
        </w:trPr>
        <w:tc>
          <w:tcPr>
            <w:tcW w:w="4700" w:type="dxa"/>
            <w:vAlign w:val="bottom"/>
            <w:vMerge w:val="continue"/>
            <w:shd w:val="clear" w:color="auto" w:fill="D9D9D9"/>
          </w:tcPr>
          <w:p>
            <w:pPr>
              <w:spacing w:after="0"/>
              <w:rPr>
                <w:sz w:val="17"/>
                <w:szCs w:val="17"/>
                <w:color w:val="auto"/>
              </w:rPr>
            </w:pPr>
          </w:p>
        </w:tc>
        <w:tc>
          <w:tcPr>
            <w:tcW w:w="500" w:type="dxa"/>
            <w:vAlign w:val="bottom"/>
            <w:shd w:val="clear" w:color="auto" w:fill="D9D9D9"/>
          </w:tcPr>
          <w:p>
            <w:pPr>
              <w:ind w:left="400"/>
              <w:spacing w:after="0"/>
              <w:rPr>
                <w:sz w:val="20"/>
                <w:szCs w:val="20"/>
                <w:color w:val="auto"/>
              </w:rPr>
            </w:pPr>
            <w:r>
              <w:rPr>
                <w:rFonts w:ascii="Arial" w:cs="Arial" w:eastAsia="Arial" w:hAnsi="Arial"/>
                <w:sz w:val="16"/>
                <w:szCs w:val="16"/>
                <w:color w:val="auto"/>
              </w:rPr>
              <w:t>•</w:t>
            </w:r>
          </w:p>
        </w:tc>
        <w:tc>
          <w:tcPr>
            <w:tcW w:w="1660" w:type="dxa"/>
            <w:vAlign w:val="bottom"/>
            <w:shd w:val="clear" w:color="auto" w:fill="D9D9D9"/>
          </w:tcPr>
          <w:p>
            <w:pPr>
              <w:ind w:left="60"/>
              <w:spacing w:after="0"/>
              <w:rPr>
                <w:sz w:val="20"/>
                <w:szCs w:val="20"/>
                <w:color w:val="auto"/>
              </w:rPr>
            </w:pPr>
            <w:r>
              <w:rPr>
                <w:rFonts w:ascii="Arial" w:cs="Arial" w:eastAsia="Arial" w:hAnsi="Arial"/>
                <w:sz w:val="16"/>
                <w:szCs w:val="16"/>
                <w:color w:val="auto"/>
              </w:rPr>
              <w:t>Nominating and</w:t>
            </w:r>
          </w:p>
        </w:tc>
        <w:tc>
          <w:tcPr>
            <w:tcW w:w="340" w:type="dxa"/>
            <w:vAlign w:val="bottom"/>
            <w:shd w:val="clear" w:color="auto" w:fill="D9D9D9"/>
          </w:tcPr>
          <w:p>
            <w:pPr>
              <w:spacing w:after="0"/>
              <w:rPr>
                <w:sz w:val="17"/>
                <w:szCs w:val="17"/>
                <w:color w:val="auto"/>
              </w:rPr>
            </w:pPr>
          </w:p>
        </w:tc>
        <w:tc>
          <w:tcPr>
            <w:tcW w:w="1720" w:type="dxa"/>
            <w:vAlign w:val="bottom"/>
            <w:shd w:val="clear" w:color="auto" w:fill="D9D9D9"/>
          </w:tcPr>
          <w:p>
            <w:pPr>
              <w:ind w:left="60"/>
              <w:spacing w:after="0"/>
              <w:rPr>
                <w:sz w:val="20"/>
                <w:szCs w:val="20"/>
                <w:color w:val="auto"/>
              </w:rPr>
            </w:pPr>
            <w:r>
              <w:rPr>
                <w:rFonts w:ascii="Arial" w:cs="Arial" w:eastAsia="Arial" w:hAnsi="Arial"/>
                <w:sz w:val="16"/>
                <w:szCs w:val="16"/>
                <w:color w:val="auto"/>
              </w:rPr>
              <w:t>Services Group</w:t>
            </w:r>
          </w:p>
        </w:tc>
        <w:tc>
          <w:tcPr>
            <w:tcW w:w="0" w:type="dxa"/>
            <w:vAlign w:val="bottom"/>
          </w:tcPr>
          <w:p>
            <w:pPr>
              <w:spacing w:after="0"/>
              <w:rPr>
                <w:sz w:val="1"/>
                <w:szCs w:val="1"/>
                <w:color w:val="auto"/>
              </w:rPr>
            </w:pPr>
          </w:p>
        </w:tc>
      </w:tr>
      <w:tr>
        <w:trPr>
          <w:trHeight w:val="216"/>
        </w:trPr>
        <w:tc>
          <w:tcPr>
            <w:tcW w:w="4700" w:type="dxa"/>
            <w:vAlign w:val="bottom"/>
            <w:shd w:val="clear" w:color="auto" w:fill="D9D9D9"/>
          </w:tcPr>
          <w:p>
            <w:pPr>
              <w:ind w:left="2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tc>
        <w:tc>
          <w:tcPr>
            <w:tcW w:w="500" w:type="dxa"/>
            <w:vAlign w:val="bottom"/>
            <w:shd w:val="clear" w:color="auto" w:fill="D9D9D9"/>
          </w:tcPr>
          <w:p>
            <w:pPr>
              <w:spacing w:after="0"/>
              <w:rPr>
                <w:sz w:val="18"/>
                <w:szCs w:val="18"/>
                <w:color w:val="auto"/>
              </w:rPr>
            </w:pPr>
          </w:p>
        </w:tc>
        <w:tc>
          <w:tcPr>
            <w:tcW w:w="1660" w:type="dxa"/>
            <w:vAlign w:val="bottom"/>
            <w:shd w:val="clear" w:color="auto" w:fill="D9D9D9"/>
          </w:tcPr>
          <w:p>
            <w:pPr>
              <w:ind w:left="60"/>
              <w:spacing w:after="0"/>
              <w:rPr>
                <w:sz w:val="20"/>
                <w:szCs w:val="20"/>
                <w:color w:val="auto"/>
              </w:rPr>
            </w:pPr>
            <w:r>
              <w:rPr>
                <w:rFonts w:ascii="Arial" w:cs="Arial" w:eastAsia="Arial" w:hAnsi="Arial"/>
                <w:sz w:val="16"/>
                <w:szCs w:val="16"/>
                <w:color w:val="auto"/>
              </w:rPr>
              <w:t>Corporate</w:t>
            </w:r>
          </w:p>
        </w:tc>
        <w:tc>
          <w:tcPr>
            <w:tcW w:w="340" w:type="dxa"/>
            <w:vAlign w:val="bottom"/>
            <w:vMerge w:val="restart"/>
            <w:shd w:val="clear" w:color="auto" w:fill="D9D9D9"/>
          </w:tcPr>
          <w:p>
            <w:pPr>
              <w:ind w:left="240"/>
              <w:spacing w:after="0"/>
              <w:rPr>
                <w:sz w:val="20"/>
                <w:szCs w:val="20"/>
                <w:color w:val="auto"/>
              </w:rPr>
            </w:pPr>
            <w:r>
              <w:rPr>
                <w:rFonts w:ascii="Arial" w:cs="Arial" w:eastAsia="Arial" w:hAnsi="Arial"/>
                <w:sz w:val="16"/>
                <w:szCs w:val="16"/>
                <w:color w:val="auto"/>
              </w:rPr>
              <w:t>•</w:t>
            </w:r>
          </w:p>
        </w:tc>
        <w:tc>
          <w:tcPr>
            <w:tcW w:w="1720" w:type="dxa"/>
            <w:vAlign w:val="bottom"/>
            <w:shd w:val="clear" w:color="auto" w:fill="D9D9D9"/>
          </w:tcPr>
          <w:p>
            <w:pPr>
              <w:ind w:left="60"/>
              <w:spacing w:after="0"/>
              <w:rPr>
                <w:sz w:val="20"/>
                <w:szCs w:val="20"/>
                <w:color w:val="auto"/>
              </w:rPr>
            </w:pPr>
            <w:r>
              <w:rPr>
                <w:rFonts w:ascii="Arial" w:cs="Arial" w:eastAsia="Arial" w:hAnsi="Arial"/>
                <w:sz w:val="16"/>
                <w:szCs w:val="16"/>
                <w:color w:val="auto"/>
              </w:rPr>
              <w:t>(2019 – Present)</w:t>
            </w:r>
          </w:p>
        </w:tc>
        <w:tc>
          <w:tcPr>
            <w:tcW w:w="0" w:type="dxa"/>
            <w:vAlign w:val="bottom"/>
          </w:tcPr>
          <w:p>
            <w:pPr>
              <w:spacing w:after="0"/>
              <w:rPr>
                <w:sz w:val="1"/>
                <w:szCs w:val="1"/>
                <w:color w:val="auto"/>
              </w:rPr>
            </w:pPr>
          </w:p>
        </w:tc>
      </w:tr>
      <w:tr>
        <w:trPr>
          <w:trHeight w:val="202"/>
        </w:trPr>
        <w:tc>
          <w:tcPr>
            <w:tcW w:w="4700" w:type="dxa"/>
            <w:vAlign w:val="bottom"/>
            <w:vMerge w:val="restart"/>
            <w:shd w:val="clear" w:color="auto" w:fill="D9D9D9"/>
          </w:tcPr>
          <w:p>
            <w:pPr>
              <w:ind w:left="2240"/>
              <w:spacing w:after="0"/>
              <w:rPr>
                <w:sz w:val="20"/>
                <w:szCs w:val="20"/>
                <w:color w:val="auto"/>
              </w:rPr>
            </w:pPr>
            <w:r>
              <w:rPr>
                <w:rFonts w:ascii="Arial" w:cs="Arial" w:eastAsia="Arial" w:hAnsi="Arial"/>
                <w:sz w:val="16"/>
                <w:szCs w:val="16"/>
                <w:b w:val="1"/>
                <w:bCs w:val="1"/>
                <w:color w:val="auto"/>
              </w:rPr>
              <w:t>Independent</w:t>
            </w:r>
          </w:p>
        </w:tc>
        <w:tc>
          <w:tcPr>
            <w:tcW w:w="500" w:type="dxa"/>
            <w:vAlign w:val="bottom"/>
            <w:shd w:val="clear" w:color="auto" w:fill="D9D9D9"/>
          </w:tcPr>
          <w:p>
            <w:pPr>
              <w:spacing w:after="0"/>
              <w:rPr>
                <w:sz w:val="17"/>
                <w:szCs w:val="17"/>
                <w:color w:val="auto"/>
              </w:rPr>
            </w:pPr>
          </w:p>
        </w:tc>
        <w:tc>
          <w:tcPr>
            <w:tcW w:w="1660" w:type="dxa"/>
            <w:vAlign w:val="bottom"/>
            <w:shd w:val="clear" w:color="auto" w:fill="D9D9D9"/>
          </w:tcPr>
          <w:p>
            <w:pPr>
              <w:ind w:left="60"/>
              <w:spacing w:after="0"/>
              <w:rPr>
                <w:sz w:val="20"/>
                <w:szCs w:val="20"/>
                <w:color w:val="auto"/>
              </w:rPr>
            </w:pPr>
            <w:r>
              <w:rPr>
                <w:rFonts w:ascii="Arial" w:cs="Arial" w:eastAsia="Arial" w:hAnsi="Arial"/>
                <w:sz w:val="16"/>
                <w:szCs w:val="16"/>
                <w:color w:val="auto"/>
              </w:rPr>
              <w:t>Governance</w:t>
            </w:r>
          </w:p>
        </w:tc>
        <w:tc>
          <w:tcPr>
            <w:tcW w:w="340" w:type="dxa"/>
            <w:vAlign w:val="bottom"/>
            <w:vMerge w:val="continue"/>
            <w:shd w:val="clear" w:color="auto" w:fill="D9D9D9"/>
          </w:tcPr>
          <w:p>
            <w:pPr>
              <w:spacing w:after="0"/>
              <w:rPr>
                <w:sz w:val="17"/>
                <w:szCs w:val="17"/>
                <w:color w:val="auto"/>
              </w:rPr>
            </w:pPr>
          </w:p>
        </w:tc>
        <w:tc>
          <w:tcPr>
            <w:tcW w:w="1720" w:type="dxa"/>
            <w:vAlign w:val="bottom"/>
            <w:shd w:val="clear" w:color="auto" w:fill="D9D9D9"/>
          </w:tcPr>
          <w:p>
            <w:pPr>
              <w:ind w:left="60"/>
              <w:spacing w:after="0"/>
              <w:rPr>
                <w:sz w:val="20"/>
                <w:szCs w:val="20"/>
                <w:color w:val="auto"/>
              </w:rPr>
            </w:pPr>
            <w:r>
              <w:rPr>
                <w:rFonts w:ascii="Arial" w:cs="Arial" w:eastAsia="Arial" w:hAnsi="Arial"/>
                <w:sz w:val="16"/>
                <w:szCs w:val="16"/>
                <w:color w:val="auto"/>
              </w:rPr>
              <w:t>Primoris Services</w:t>
            </w:r>
          </w:p>
        </w:tc>
        <w:tc>
          <w:tcPr>
            <w:tcW w:w="0" w:type="dxa"/>
            <w:vAlign w:val="bottom"/>
          </w:tcPr>
          <w:p>
            <w:pPr>
              <w:spacing w:after="0"/>
              <w:rPr>
                <w:sz w:val="1"/>
                <w:szCs w:val="1"/>
                <w:color w:val="auto"/>
              </w:rPr>
            </w:pPr>
          </w:p>
        </w:tc>
      </w:tr>
      <w:tr>
        <w:trPr>
          <w:trHeight w:val="115"/>
        </w:trPr>
        <w:tc>
          <w:tcPr>
            <w:tcW w:w="4700" w:type="dxa"/>
            <w:vAlign w:val="bottom"/>
            <w:vMerge w:val="continue"/>
            <w:shd w:val="clear" w:color="auto" w:fill="D9D9D9"/>
          </w:tcPr>
          <w:p>
            <w:pPr>
              <w:spacing w:after="0"/>
              <w:rPr>
                <w:sz w:val="9"/>
                <w:szCs w:val="9"/>
                <w:color w:val="auto"/>
              </w:rPr>
            </w:pPr>
          </w:p>
        </w:tc>
        <w:tc>
          <w:tcPr>
            <w:tcW w:w="500" w:type="dxa"/>
            <w:vAlign w:val="bottom"/>
            <w:shd w:val="clear" w:color="auto" w:fill="D9D9D9"/>
          </w:tcPr>
          <w:p>
            <w:pPr>
              <w:spacing w:after="0"/>
              <w:rPr>
                <w:sz w:val="9"/>
                <w:szCs w:val="9"/>
                <w:color w:val="auto"/>
              </w:rPr>
            </w:pPr>
          </w:p>
        </w:tc>
        <w:tc>
          <w:tcPr>
            <w:tcW w:w="1660" w:type="dxa"/>
            <w:vAlign w:val="bottom"/>
            <w:shd w:val="clear" w:color="auto" w:fill="D9D9D9"/>
          </w:tcPr>
          <w:p>
            <w:pPr>
              <w:spacing w:after="0"/>
              <w:rPr>
                <w:sz w:val="9"/>
                <w:szCs w:val="9"/>
                <w:color w:val="auto"/>
              </w:rPr>
            </w:pPr>
          </w:p>
        </w:tc>
        <w:tc>
          <w:tcPr>
            <w:tcW w:w="340" w:type="dxa"/>
            <w:vAlign w:val="bottom"/>
            <w:shd w:val="clear" w:color="auto" w:fill="D9D9D9"/>
          </w:tcPr>
          <w:p>
            <w:pPr>
              <w:spacing w:after="0"/>
              <w:rPr>
                <w:sz w:val="9"/>
                <w:szCs w:val="9"/>
                <w:color w:val="auto"/>
              </w:rPr>
            </w:pPr>
          </w:p>
        </w:tc>
        <w:tc>
          <w:tcPr>
            <w:tcW w:w="1720" w:type="dxa"/>
            <w:vAlign w:val="bottom"/>
            <w:vMerge w:val="restart"/>
            <w:shd w:val="clear" w:color="auto" w:fill="D9D9D9"/>
          </w:tcPr>
          <w:p>
            <w:pPr>
              <w:ind w:left="60"/>
              <w:spacing w:after="0"/>
              <w:rPr>
                <w:sz w:val="20"/>
                <w:szCs w:val="20"/>
                <w:color w:val="auto"/>
              </w:rPr>
            </w:pPr>
            <w:r>
              <w:rPr>
                <w:rFonts w:ascii="Arial" w:cs="Arial" w:eastAsia="Arial" w:hAnsi="Arial"/>
                <w:sz w:val="16"/>
                <w:szCs w:val="16"/>
                <w:color w:val="auto"/>
              </w:rPr>
              <w:t>Corporation</w:t>
            </w:r>
          </w:p>
        </w:tc>
        <w:tc>
          <w:tcPr>
            <w:tcW w:w="0" w:type="dxa"/>
            <w:vAlign w:val="bottom"/>
          </w:tcPr>
          <w:p>
            <w:pPr>
              <w:spacing w:after="0"/>
              <w:rPr>
                <w:sz w:val="1"/>
                <w:szCs w:val="1"/>
                <w:color w:val="auto"/>
              </w:rPr>
            </w:pPr>
          </w:p>
        </w:tc>
      </w:tr>
      <w:tr>
        <w:trPr>
          <w:trHeight w:val="74"/>
        </w:trPr>
        <w:tc>
          <w:tcPr>
            <w:tcW w:w="4700" w:type="dxa"/>
            <w:vAlign w:val="bottom"/>
            <w:shd w:val="clear" w:color="auto" w:fill="D9D9D9"/>
          </w:tcPr>
          <w:p>
            <w:pPr>
              <w:spacing w:after="0"/>
              <w:rPr>
                <w:sz w:val="6"/>
                <w:szCs w:val="6"/>
                <w:color w:val="auto"/>
              </w:rPr>
            </w:pPr>
          </w:p>
        </w:tc>
        <w:tc>
          <w:tcPr>
            <w:tcW w:w="500" w:type="dxa"/>
            <w:vAlign w:val="bottom"/>
            <w:shd w:val="clear" w:color="auto" w:fill="D9D9D9"/>
          </w:tcPr>
          <w:p>
            <w:pPr>
              <w:spacing w:after="0"/>
              <w:rPr>
                <w:sz w:val="6"/>
                <w:szCs w:val="6"/>
                <w:color w:val="auto"/>
              </w:rPr>
            </w:pPr>
          </w:p>
        </w:tc>
        <w:tc>
          <w:tcPr>
            <w:tcW w:w="1660" w:type="dxa"/>
            <w:vAlign w:val="bottom"/>
            <w:shd w:val="clear" w:color="auto" w:fill="D9D9D9"/>
          </w:tcPr>
          <w:p>
            <w:pPr>
              <w:spacing w:after="0"/>
              <w:rPr>
                <w:sz w:val="6"/>
                <w:szCs w:val="6"/>
                <w:color w:val="auto"/>
              </w:rPr>
            </w:pPr>
          </w:p>
        </w:tc>
        <w:tc>
          <w:tcPr>
            <w:tcW w:w="340" w:type="dxa"/>
            <w:vAlign w:val="bottom"/>
            <w:shd w:val="clear" w:color="auto" w:fill="D9D9D9"/>
          </w:tcPr>
          <w:p>
            <w:pPr>
              <w:spacing w:after="0"/>
              <w:rPr>
                <w:sz w:val="6"/>
                <w:szCs w:val="6"/>
                <w:color w:val="auto"/>
              </w:rPr>
            </w:pPr>
          </w:p>
        </w:tc>
        <w:tc>
          <w:tcPr>
            <w:tcW w:w="1720" w:type="dxa"/>
            <w:vAlign w:val="bottom"/>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700" w:type="dxa"/>
            <w:vAlign w:val="bottom"/>
            <w:shd w:val="clear" w:color="auto" w:fill="D9D9D9"/>
          </w:tcPr>
          <w:p>
            <w:pPr>
              <w:spacing w:after="0"/>
              <w:rPr>
                <w:sz w:val="18"/>
                <w:szCs w:val="18"/>
                <w:color w:val="auto"/>
              </w:rPr>
            </w:pPr>
          </w:p>
        </w:tc>
        <w:tc>
          <w:tcPr>
            <w:tcW w:w="500" w:type="dxa"/>
            <w:vAlign w:val="bottom"/>
            <w:shd w:val="clear" w:color="auto" w:fill="D9D9D9"/>
          </w:tcPr>
          <w:p>
            <w:pPr>
              <w:spacing w:after="0"/>
              <w:rPr>
                <w:sz w:val="18"/>
                <w:szCs w:val="18"/>
                <w:color w:val="auto"/>
              </w:rPr>
            </w:pPr>
          </w:p>
        </w:tc>
        <w:tc>
          <w:tcPr>
            <w:tcW w:w="166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720" w:type="dxa"/>
            <w:vAlign w:val="bottom"/>
            <w:shd w:val="clear" w:color="auto" w:fill="D9D9D9"/>
          </w:tcPr>
          <w:p>
            <w:pPr>
              <w:ind w:left="60"/>
              <w:spacing w:after="0"/>
              <w:rPr>
                <w:sz w:val="20"/>
                <w:szCs w:val="20"/>
                <w:color w:val="auto"/>
              </w:rPr>
            </w:pPr>
            <w:r>
              <w:rPr>
                <w:rFonts w:ascii="Arial" w:cs="Arial" w:eastAsia="Arial" w:hAnsi="Arial"/>
                <w:sz w:val="16"/>
                <w:szCs w:val="16"/>
                <w:color w:val="auto"/>
              </w:rPr>
              <w:t>(2020 – Present)</w:t>
            </w:r>
          </w:p>
        </w:tc>
        <w:tc>
          <w:tcPr>
            <w:tcW w:w="0" w:type="dxa"/>
            <w:vAlign w:val="bottom"/>
          </w:tcPr>
          <w:p>
            <w:pPr>
              <w:spacing w:after="0"/>
              <w:rPr>
                <w:sz w:val="1"/>
                <w:szCs w:val="1"/>
                <w:color w:val="auto"/>
              </w:rPr>
            </w:pPr>
          </w:p>
        </w:tc>
      </w:tr>
      <w:tr>
        <w:trPr>
          <w:trHeight w:val="217"/>
        </w:trPr>
        <w:tc>
          <w:tcPr>
            <w:tcW w:w="4700" w:type="dxa"/>
            <w:vAlign w:val="bottom"/>
            <w:shd w:val="clear" w:color="auto" w:fill="D9D9D9"/>
          </w:tcPr>
          <w:p>
            <w:pPr>
              <w:spacing w:after="0"/>
              <w:rPr>
                <w:sz w:val="18"/>
                <w:szCs w:val="18"/>
                <w:color w:val="auto"/>
              </w:rPr>
            </w:pPr>
          </w:p>
        </w:tc>
        <w:tc>
          <w:tcPr>
            <w:tcW w:w="500" w:type="dxa"/>
            <w:vAlign w:val="bottom"/>
            <w:shd w:val="clear" w:color="auto" w:fill="D9D9D9"/>
          </w:tcPr>
          <w:p>
            <w:pPr>
              <w:spacing w:after="0"/>
              <w:rPr>
                <w:sz w:val="18"/>
                <w:szCs w:val="18"/>
                <w:color w:val="auto"/>
              </w:rPr>
            </w:pPr>
          </w:p>
        </w:tc>
        <w:tc>
          <w:tcPr>
            <w:tcW w:w="1660" w:type="dxa"/>
            <w:vAlign w:val="bottom"/>
            <w:shd w:val="clear" w:color="auto" w:fill="D9D9D9"/>
          </w:tcPr>
          <w:p>
            <w:pPr>
              <w:spacing w:after="0"/>
              <w:rPr>
                <w:sz w:val="18"/>
                <w:szCs w:val="18"/>
                <w:color w:val="auto"/>
              </w:rPr>
            </w:pPr>
          </w:p>
        </w:tc>
        <w:tc>
          <w:tcPr>
            <w:tcW w:w="3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w:t>
            </w:r>
          </w:p>
        </w:tc>
        <w:tc>
          <w:tcPr>
            <w:tcW w:w="1720" w:type="dxa"/>
            <w:vAlign w:val="bottom"/>
            <w:shd w:val="clear" w:color="auto" w:fill="D9D9D9"/>
          </w:tcPr>
          <w:p>
            <w:pPr>
              <w:ind w:left="60"/>
              <w:spacing w:after="0"/>
              <w:rPr>
                <w:sz w:val="20"/>
                <w:szCs w:val="20"/>
                <w:color w:val="auto"/>
              </w:rPr>
            </w:pPr>
            <w:r>
              <w:rPr>
                <w:rFonts w:ascii="Arial" w:cs="Arial" w:eastAsia="Arial" w:hAnsi="Arial"/>
                <w:sz w:val="16"/>
                <w:szCs w:val="16"/>
                <w:color w:val="auto"/>
              </w:rPr>
              <w:t>Southern California</w:t>
            </w:r>
          </w:p>
        </w:tc>
        <w:tc>
          <w:tcPr>
            <w:tcW w:w="0" w:type="dxa"/>
            <w:vAlign w:val="bottom"/>
          </w:tcPr>
          <w:p>
            <w:pPr>
              <w:spacing w:after="0"/>
              <w:rPr>
                <w:sz w:val="1"/>
                <w:szCs w:val="1"/>
                <w:color w:val="auto"/>
              </w:rPr>
            </w:pPr>
          </w:p>
        </w:tc>
      </w:tr>
      <w:tr>
        <w:trPr>
          <w:trHeight w:val="189"/>
        </w:trPr>
        <w:tc>
          <w:tcPr>
            <w:tcW w:w="4700" w:type="dxa"/>
            <w:vAlign w:val="bottom"/>
            <w:shd w:val="clear" w:color="auto" w:fill="D9D9D9"/>
          </w:tcPr>
          <w:p>
            <w:pPr>
              <w:spacing w:after="0"/>
              <w:rPr>
                <w:sz w:val="16"/>
                <w:szCs w:val="16"/>
                <w:color w:val="auto"/>
              </w:rPr>
            </w:pPr>
          </w:p>
        </w:tc>
        <w:tc>
          <w:tcPr>
            <w:tcW w:w="500" w:type="dxa"/>
            <w:vAlign w:val="bottom"/>
            <w:shd w:val="clear" w:color="auto" w:fill="D9D9D9"/>
          </w:tcPr>
          <w:p>
            <w:pPr>
              <w:spacing w:after="0"/>
              <w:rPr>
                <w:sz w:val="16"/>
                <w:szCs w:val="16"/>
                <w:color w:val="auto"/>
              </w:rPr>
            </w:pPr>
          </w:p>
        </w:tc>
        <w:tc>
          <w:tcPr>
            <w:tcW w:w="1660" w:type="dxa"/>
            <w:vAlign w:val="bottom"/>
            <w:shd w:val="clear" w:color="auto" w:fill="D9D9D9"/>
          </w:tcPr>
          <w:p>
            <w:pPr>
              <w:spacing w:after="0"/>
              <w:rPr>
                <w:sz w:val="16"/>
                <w:szCs w:val="16"/>
                <w:color w:val="auto"/>
              </w:rPr>
            </w:pPr>
          </w:p>
        </w:tc>
        <w:tc>
          <w:tcPr>
            <w:tcW w:w="340" w:type="dxa"/>
            <w:vAlign w:val="bottom"/>
            <w:shd w:val="clear" w:color="auto" w:fill="D9D9D9"/>
          </w:tcPr>
          <w:p>
            <w:pPr>
              <w:spacing w:after="0"/>
              <w:rPr>
                <w:sz w:val="16"/>
                <w:szCs w:val="16"/>
                <w:color w:val="auto"/>
              </w:rPr>
            </w:pPr>
          </w:p>
        </w:tc>
        <w:tc>
          <w:tcPr>
            <w:tcW w:w="1720" w:type="dxa"/>
            <w:vAlign w:val="bottom"/>
            <w:shd w:val="clear" w:color="auto" w:fill="D9D9D9"/>
          </w:tcPr>
          <w:p>
            <w:pPr>
              <w:ind w:left="60"/>
              <w:spacing w:after="0"/>
              <w:rPr>
                <w:sz w:val="20"/>
                <w:szCs w:val="20"/>
                <w:color w:val="auto"/>
              </w:rPr>
            </w:pPr>
            <w:r>
              <w:rPr>
                <w:rFonts w:ascii="Arial" w:cs="Arial" w:eastAsia="Arial" w:hAnsi="Arial"/>
                <w:sz w:val="16"/>
                <w:szCs w:val="16"/>
                <w:color w:val="auto"/>
              </w:rPr>
              <w:t>Gas Company</w:t>
            </w:r>
          </w:p>
        </w:tc>
        <w:tc>
          <w:tcPr>
            <w:tcW w:w="0" w:type="dxa"/>
            <w:vAlign w:val="bottom"/>
          </w:tcPr>
          <w:p>
            <w:pPr>
              <w:spacing w:after="0"/>
              <w:rPr>
                <w:sz w:val="1"/>
                <w:szCs w:val="1"/>
                <w:color w:val="auto"/>
              </w:rPr>
            </w:pPr>
          </w:p>
        </w:tc>
      </w:tr>
      <w:tr>
        <w:trPr>
          <w:trHeight w:val="215"/>
        </w:trPr>
        <w:tc>
          <w:tcPr>
            <w:tcW w:w="4700" w:type="dxa"/>
            <w:vAlign w:val="bottom"/>
            <w:shd w:val="clear" w:color="auto" w:fill="D9D9D9"/>
          </w:tcPr>
          <w:p>
            <w:pPr>
              <w:spacing w:after="0"/>
              <w:rPr>
                <w:sz w:val="18"/>
                <w:szCs w:val="18"/>
                <w:color w:val="auto"/>
              </w:rPr>
            </w:pPr>
          </w:p>
        </w:tc>
        <w:tc>
          <w:tcPr>
            <w:tcW w:w="500" w:type="dxa"/>
            <w:vAlign w:val="bottom"/>
            <w:shd w:val="clear" w:color="auto" w:fill="D9D9D9"/>
          </w:tcPr>
          <w:p>
            <w:pPr>
              <w:spacing w:after="0"/>
              <w:rPr>
                <w:sz w:val="18"/>
                <w:szCs w:val="18"/>
                <w:color w:val="auto"/>
              </w:rPr>
            </w:pPr>
          </w:p>
        </w:tc>
        <w:tc>
          <w:tcPr>
            <w:tcW w:w="166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720" w:type="dxa"/>
            <w:vAlign w:val="bottom"/>
            <w:shd w:val="clear" w:color="auto" w:fill="D9D9D9"/>
          </w:tcPr>
          <w:p>
            <w:pPr>
              <w:ind w:left="60"/>
              <w:spacing w:after="0"/>
              <w:rPr>
                <w:sz w:val="20"/>
                <w:szCs w:val="20"/>
                <w:color w:val="auto"/>
              </w:rPr>
            </w:pPr>
            <w:r>
              <w:rPr>
                <w:rFonts w:ascii="Arial" w:cs="Arial" w:eastAsia="Arial" w:hAnsi="Arial"/>
                <w:sz w:val="16"/>
                <w:szCs w:val="16"/>
                <w:color w:val="auto"/>
              </w:rPr>
              <w:t>(2017 - 2019)</w:t>
            </w:r>
          </w:p>
        </w:tc>
        <w:tc>
          <w:tcPr>
            <w:tcW w:w="0" w:type="dxa"/>
            <w:vAlign w:val="bottom"/>
          </w:tcPr>
          <w:p>
            <w:pPr>
              <w:spacing w:after="0"/>
              <w:rPr>
                <w:sz w:val="1"/>
                <w:szCs w:val="1"/>
                <w:color w:val="auto"/>
              </w:rPr>
            </w:pPr>
          </w:p>
        </w:tc>
      </w:tr>
      <w:tr>
        <w:trPr>
          <w:trHeight w:val="569"/>
        </w:trPr>
        <w:tc>
          <w:tcPr>
            <w:tcW w:w="4700" w:type="dxa"/>
            <w:vAlign w:val="bottom"/>
            <w:shd w:val="clear" w:color="auto" w:fill="D9D9D9"/>
          </w:tcPr>
          <w:p>
            <w:pPr>
              <w:spacing w:after="0"/>
              <w:rPr>
                <w:sz w:val="24"/>
                <w:szCs w:val="24"/>
                <w:color w:val="auto"/>
              </w:rPr>
            </w:pPr>
          </w:p>
        </w:tc>
        <w:tc>
          <w:tcPr>
            <w:tcW w:w="500" w:type="dxa"/>
            <w:vAlign w:val="bottom"/>
            <w:shd w:val="clear" w:color="auto" w:fill="D9D9D9"/>
          </w:tcPr>
          <w:p>
            <w:pPr>
              <w:spacing w:after="0"/>
              <w:rPr>
                <w:sz w:val="24"/>
                <w:szCs w:val="24"/>
                <w:color w:val="auto"/>
              </w:rPr>
            </w:pPr>
          </w:p>
        </w:tc>
        <w:tc>
          <w:tcPr>
            <w:tcW w:w="1660" w:type="dxa"/>
            <w:vAlign w:val="bottom"/>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17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60" w:right="79"/>
        <w:spacing w:after="0" w:line="258" w:lineRule="auto"/>
        <w:rPr>
          <w:sz w:val="20"/>
          <w:szCs w:val="20"/>
          <w:color w:val="auto"/>
        </w:rPr>
      </w:pPr>
      <w:r>
        <w:rPr>
          <w:rFonts w:ascii="Arial" w:cs="Arial" w:eastAsia="Arial" w:hAnsi="Arial"/>
          <w:sz w:val="16"/>
          <w:szCs w:val="16"/>
          <w:b w:val="1"/>
          <w:bCs w:val="1"/>
          <w:color w:val="05445E"/>
        </w:rPr>
        <w:t xml:space="preserve">Ms. Wagner </w:t>
      </w:r>
      <w:r>
        <w:rPr>
          <w:rFonts w:ascii="Arial" w:cs="Arial" w:eastAsia="Arial" w:hAnsi="Arial"/>
          <w:sz w:val="16"/>
          <w:szCs w:val="16"/>
          <w:color w:val="000000"/>
        </w:rPr>
        <w:t>retired from Sempra Energy, a Fortune 500 energy services holding company, in 2019, after 24 years of</w:t>
      </w:r>
      <w:r>
        <w:rPr>
          <w:rFonts w:ascii="Arial" w:cs="Arial" w:eastAsia="Arial" w:hAnsi="Arial"/>
          <w:sz w:val="16"/>
          <w:szCs w:val="16"/>
          <w:b w:val="1"/>
          <w:bCs w:val="1"/>
          <w:color w:val="05445E"/>
        </w:rPr>
        <w:t xml:space="preserve"> </w:t>
      </w:r>
      <w:r>
        <w:rPr>
          <w:rFonts w:ascii="Arial" w:cs="Arial" w:eastAsia="Arial" w:hAnsi="Arial"/>
          <w:sz w:val="16"/>
          <w:szCs w:val="16"/>
          <w:color w:val="000000"/>
        </w:rPr>
        <w:t>service with Sempra Energy Companies. She served as Group President of U.S. Utilities, overseeing San Diego Gas &amp; Electric, Southern California Gas Company (“SoCalGas”) and Sempra Energy’s investment in Oncor Electric Delivery Company LLC, from 2018 to 2019. She has served in several leadership positions for the Sempra Energy family of companies, including Chief Executive Officer of SoCalGas from 2017 to 2018; Executive Vice President of Sempra Energy in 2016; President and Chief Executive Officer of Sempra U.S. Gas &amp; Power from 2014 to 2016; and other leadership positions for the Sempra Energy family of companies from 1995 to 2014. Prior to joining Sempra Energy, Ms. Wagner held management positions at Fluor Daniel, an engineering, procurement, construction and maintenance services company. Earlier in her career, Ms. Wagner held positions at McGaw Laboratories and Allergan Pharmaceuticals.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280" w:type="dxa"/>
            <w:vAlign w:val="bottom"/>
            <w:gridSpan w:val="2"/>
          </w:tcPr>
          <w:p>
            <w:pPr>
              <w:ind w:left="20"/>
              <w:spacing w:after="0"/>
              <w:rPr>
                <w:sz w:val="20"/>
                <w:szCs w:val="20"/>
                <w:color w:val="auto"/>
              </w:rPr>
            </w:pPr>
            <w:r>
              <w:rPr>
                <w:rFonts w:ascii="Arial" w:cs="Arial" w:eastAsia="Arial" w:hAnsi="Arial"/>
                <w:sz w:val="16"/>
                <w:szCs w:val="16"/>
                <w:b w:val="1"/>
                <w:bCs w:val="1"/>
                <w:color w:val="05445E"/>
              </w:rPr>
              <w:t>Skills &amp; Qualifications:</w:t>
            </w:r>
          </w:p>
        </w:tc>
        <w:tc>
          <w:tcPr>
            <w:tcW w:w="3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276"/>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80" w:type="dxa"/>
            <w:vAlign w:val="bottom"/>
          </w:tcPr>
          <w:p>
            <w:pPr>
              <w:ind w:left="40"/>
              <w:spacing w:after="0"/>
              <w:rPr>
                <w:sz w:val="20"/>
                <w:szCs w:val="20"/>
                <w:color w:val="auto"/>
              </w:rPr>
            </w:pPr>
            <w:r>
              <w:rPr>
                <w:rFonts w:ascii="Arial" w:cs="Arial" w:eastAsia="Arial" w:hAnsi="Arial"/>
                <w:sz w:val="16"/>
                <w:szCs w:val="16"/>
                <w:color w:val="auto"/>
              </w:rPr>
              <w:t>Executive Leadership</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2440" w:type="dxa"/>
            <w:vAlign w:val="bottom"/>
          </w:tcPr>
          <w:p>
            <w:pPr>
              <w:ind w:left="60"/>
              <w:spacing w:after="0"/>
              <w:rPr>
                <w:sz w:val="20"/>
                <w:szCs w:val="20"/>
                <w:color w:val="auto"/>
              </w:rPr>
            </w:pPr>
            <w:r>
              <w:rPr>
                <w:rFonts w:ascii="Arial" w:cs="Arial" w:eastAsia="Arial" w:hAnsi="Arial"/>
                <w:sz w:val="16"/>
                <w:szCs w:val="16"/>
                <w:color w:val="auto"/>
              </w:rPr>
              <w:t>Energy Industry</w:t>
            </w:r>
          </w:p>
        </w:tc>
        <w:tc>
          <w:tcPr>
            <w:tcW w:w="420" w:type="dxa"/>
            <w:vAlign w:val="bottom"/>
          </w:tcPr>
          <w:p>
            <w:pPr>
              <w:ind w:left="320"/>
              <w:spacing w:after="0"/>
              <w:rPr>
                <w:sz w:val="20"/>
                <w:szCs w:val="20"/>
                <w:color w:val="auto"/>
              </w:rPr>
            </w:pPr>
            <w:r>
              <w:rPr>
                <w:rFonts w:ascii="Arial" w:cs="Arial" w:eastAsia="Arial" w:hAnsi="Arial"/>
                <w:sz w:val="16"/>
                <w:szCs w:val="16"/>
                <w:color w:val="auto"/>
              </w:rPr>
              <w:t>•</w:t>
            </w:r>
          </w:p>
        </w:tc>
        <w:tc>
          <w:tcPr>
            <w:tcW w:w="3400" w:type="dxa"/>
            <w:vAlign w:val="bottom"/>
          </w:tcPr>
          <w:p>
            <w:pPr>
              <w:ind w:left="40"/>
              <w:spacing w:after="0"/>
              <w:rPr>
                <w:sz w:val="20"/>
                <w:szCs w:val="20"/>
                <w:color w:val="auto"/>
              </w:rPr>
            </w:pPr>
            <w:r>
              <w:rPr>
                <w:rFonts w:ascii="Arial" w:cs="Arial" w:eastAsia="Arial" w:hAnsi="Arial"/>
                <w:sz w:val="16"/>
                <w:szCs w:val="16"/>
                <w:color w:val="auto"/>
              </w:rPr>
              <w:t>Leadership Development</w:t>
            </w:r>
          </w:p>
        </w:tc>
      </w:tr>
      <w:tr>
        <w:trPr>
          <w:trHeight w:val="230"/>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80" w:type="dxa"/>
            <w:vAlign w:val="bottom"/>
          </w:tcPr>
          <w:p>
            <w:pPr>
              <w:ind w:left="40"/>
              <w:spacing w:after="0"/>
              <w:rPr>
                <w:sz w:val="20"/>
                <w:szCs w:val="20"/>
                <w:color w:val="auto"/>
              </w:rPr>
            </w:pPr>
            <w:r>
              <w:rPr>
                <w:rFonts w:ascii="Arial" w:cs="Arial" w:eastAsia="Arial" w:hAnsi="Arial"/>
                <w:sz w:val="16"/>
                <w:szCs w:val="16"/>
                <w:color w:val="auto"/>
              </w:rPr>
              <w:t>Business Operations</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2440" w:type="dxa"/>
            <w:vAlign w:val="bottom"/>
          </w:tcPr>
          <w:p>
            <w:pPr>
              <w:ind w:left="60"/>
              <w:spacing w:after="0"/>
              <w:rPr>
                <w:sz w:val="20"/>
                <w:szCs w:val="20"/>
                <w:color w:val="auto"/>
              </w:rPr>
            </w:pPr>
            <w:r>
              <w:rPr>
                <w:rFonts w:ascii="Arial" w:cs="Arial" w:eastAsia="Arial" w:hAnsi="Arial"/>
                <w:sz w:val="16"/>
                <w:szCs w:val="16"/>
                <w:color w:val="auto"/>
              </w:rPr>
              <w:t>Enterprise Risk Management</w:t>
            </w:r>
          </w:p>
        </w:tc>
        <w:tc>
          <w:tcPr>
            <w:tcW w:w="420" w:type="dxa"/>
            <w:vAlign w:val="bottom"/>
          </w:tcPr>
          <w:p>
            <w:pPr>
              <w:ind w:left="320"/>
              <w:spacing w:after="0"/>
              <w:rPr>
                <w:sz w:val="20"/>
                <w:szCs w:val="20"/>
                <w:color w:val="auto"/>
              </w:rPr>
            </w:pPr>
            <w:r>
              <w:rPr>
                <w:rFonts w:ascii="Arial" w:cs="Arial" w:eastAsia="Arial" w:hAnsi="Arial"/>
                <w:sz w:val="16"/>
                <w:szCs w:val="16"/>
                <w:color w:val="auto"/>
              </w:rPr>
              <w:t>•</w:t>
            </w:r>
          </w:p>
        </w:tc>
        <w:tc>
          <w:tcPr>
            <w:tcW w:w="3400" w:type="dxa"/>
            <w:vAlign w:val="bottom"/>
          </w:tcPr>
          <w:p>
            <w:pPr>
              <w:ind w:left="40"/>
              <w:spacing w:after="0"/>
              <w:rPr>
                <w:sz w:val="20"/>
                <w:szCs w:val="20"/>
                <w:color w:val="auto"/>
              </w:rPr>
            </w:pPr>
            <w:r>
              <w:rPr>
                <w:rFonts w:ascii="Arial" w:cs="Arial" w:eastAsia="Arial" w:hAnsi="Arial"/>
                <w:sz w:val="16"/>
                <w:szCs w:val="16"/>
                <w:color w:val="auto"/>
              </w:rPr>
              <w:t>Executive Compensation</w:t>
            </w:r>
          </w:p>
        </w:tc>
      </w:tr>
      <w:tr>
        <w:trPr>
          <w:trHeight w:val="204"/>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80" w:type="dxa"/>
            <w:vAlign w:val="bottom"/>
          </w:tcPr>
          <w:p>
            <w:pPr>
              <w:ind w:left="40"/>
              <w:spacing w:after="0"/>
              <w:rPr>
                <w:sz w:val="20"/>
                <w:szCs w:val="20"/>
                <w:color w:val="auto"/>
              </w:rPr>
            </w:pPr>
            <w:r>
              <w:rPr>
                <w:rFonts w:ascii="Arial" w:cs="Arial" w:eastAsia="Arial" w:hAnsi="Arial"/>
                <w:sz w:val="16"/>
                <w:szCs w:val="16"/>
                <w:color w:val="auto"/>
              </w:rPr>
              <w:t>Financial Management</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2440" w:type="dxa"/>
            <w:vAlign w:val="bottom"/>
          </w:tcPr>
          <w:p>
            <w:pPr>
              <w:ind w:left="60"/>
              <w:spacing w:after="0"/>
              <w:rPr>
                <w:sz w:val="20"/>
                <w:szCs w:val="20"/>
                <w:color w:val="auto"/>
              </w:rPr>
            </w:pPr>
            <w:r>
              <w:rPr>
                <w:rFonts w:ascii="Arial" w:cs="Arial" w:eastAsia="Arial" w:hAnsi="Arial"/>
                <w:sz w:val="16"/>
                <w:szCs w:val="16"/>
                <w:color w:val="auto"/>
              </w:rPr>
              <w:t>Information Technology,</w:t>
            </w:r>
          </w:p>
        </w:tc>
        <w:tc>
          <w:tcPr>
            <w:tcW w:w="420" w:type="dxa"/>
            <w:vAlign w:val="bottom"/>
          </w:tcPr>
          <w:p>
            <w:pPr>
              <w:ind w:left="320"/>
              <w:spacing w:after="0"/>
              <w:rPr>
                <w:sz w:val="20"/>
                <w:szCs w:val="20"/>
                <w:color w:val="auto"/>
              </w:rPr>
            </w:pPr>
            <w:r>
              <w:rPr>
                <w:rFonts w:ascii="Arial" w:cs="Arial" w:eastAsia="Arial" w:hAnsi="Arial"/>
                <w:sz w:val="16"/>
                <w:szCs w:val="16"/>
                <w:color w:val="auto"/>
              </w:rPr>
              <w:t>•</w:t>
            </w:r>
          </w:p>
        </w:tc>
        <w:tc>
          <w:tcPr>
            <w:tcW w:w="3400" w:type="dxa"/>
            <w:vAlign w:val="bottom"/>
          </w:tcPr>
          <w:p>
            <w:pPr>
              <w:ind w:left="40"/>
              <w:spacing w:after="0"/>
              <w:rPr>
                <w:sz w:val="20"/>
                <w:szCs w:val="20"/>
                <w:color w:val="auto"/>
              </w:rPr>
            </w:pPr>
            <w:r>
              <w:rPr>
                <w:rFonts w:ascii="Arial" w:cs="Arial" w:eastAsia="Arial" w:hAnsi="Arial"/>
                <w:sz w:val="16"/>
                <w:szCs w:val="16"/>
                <w:color w:val="auto"/>
              </w:rPr>
              <w:t>Corporate Governance</w:t>
            </w:r>
          </w:p>
        </w:tc>
      </w:tr>
      <w:tr>
        <w:trPr>
          <w:trHeight w:val="230"/>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80" w:type="dxa"/>
            <w:vAlign w:val="bottom"/>
          </w:tcPr>
          <w:p>
            <w:pPr>
              <w:ind w:left="40"/>
              <w:spacing w:after="0"/>
              <w:rPr>
                <w:sz w:val="20"/>
                <w:szCs w:val="20"/>
                <w:color w:val="auto"/>
              </w:rPr>
            </w:pPr>
            <w:r>
              <w:rPr>
                <w:rFonts w:ascii="Arial" w:cs="Arial" w:eastAsia="Arial" w:hAnsi="Arial"/>
                <w:sz w:val="16"/>
                <w:szCs w:val="16"/>
                <w:color w:val="auto"/>
              </w:rPr>
              <w:t>Accounting and Audit</w:t>
            </w:r>
          </w:p>
        </w:tc>
        <w:tc>
          <w:tcPr>
            <w:tcW w:w="380" w:type="dxa"/>
            <w:vAlign w:val="bottom"/>
          </w:tcPr>
          <w:p>
            <w:pPr>
              <w:spacing w:after="0"/>
              <w:rPr>
                <w:sz w:val="19"/>
                <w:szCs w:val="19"/>
                <w:color w:val="auto"/>
              </w:rPr>
            </w:pPr>
          </w:p>
        </w:tc>
        <w:tc>
          <w:tcPr>
            <w:tcW w:w="2440" w:type="dxa"/>
            <w:vAlign w:val="bottom"/>
          </w:tcPr>
          <w:p>
            <w:pPr>
              <w:ind w:left="60"/>
              <w:spacing w:after="0"/>
              <w:rPr>
                <w:sz w:val="20"/>
                <w:szCs w:val="20"/>
                <w:color w:val="auto"/>
              </w:rPr>
            </w:pPr>
            <w:r>
              <w:rPr>
                <w:rFonts w:ascii="Arial" w:cs="Arial" w:eastAsia="Arial" w:hAnsi="Arial"/>
                <w:sz w:val="16"/>
                <w:szCs w:val="16"/>
                <w:color w:val="auto"/>
              </w:rPr>
              <w:t>including Cybersecurity</w:t>
            </w:r>
          </w:p>
        </w:tc>
        <w:tc>
          <w:tcPr>
            <w:tcW w:w="420" w:type="dxa"/>
            <w:vAlign w:val="bottom"/>
          </w:tcPr>
          <w:p>
            <w:pPr>
              <w:ind w:left="320"/>
              <w:spacing w:after="0"/>
              <w:rPr>
                <w:sz w:val="20"/>
                <w:szCs w:val="20"/>
                <w:color w:val="auto"/>
              </w:rPr>
            </w:pPr>
            <w:r>
              <w:rPr>
                <w:rFonts w:ascii="Arial" w:cs="Arial" w:eastAsia="Arial" w:hAnsi="Arial"/>
                <w:sz w:val="16"/>
                <w:szCs w:val="16"/>
                <w:color w:val="auto"/>
              </w:rPr>
              <w:t>•</w:t>
            </w:r>
          </w:p>
        </w:tc>
        <w:tc>
          <w:tcPr>
            <w:tcW w:w="3400" w:type="dxa"/>
            <w:vAlign w:val="bottom"/>
          </w:tcPr>
          <w:p>
            <w:pPr>
              <w:ind w:left="40"/>
              <w:spacing w:after="0"/>
              <w:rPr>
                <w:sz w:val="20"/>
                <w:szCs w:val="20"/>
                <w:color w:val="auto"/>
              </w:rPr>
            </w:pPr>
            <w:r>
              <w:rPr>
                <w:rFonts w:ascii="Arial" w:cs="Arial" w:eastAsia="Arial" w:hAnsi="Arial"/>
                <w:sz w:val="16"/>
                <w:szCs w:val="16"/>
                <w:color w:val="auto"/>
              </w:rPr>
              <w:t>Public Company Board Experience</w:t>
            </w:r>
          </w:p>
        </w:tc>
      </w:tr>
      <w:tr>
        <w:trPr>
          <w:trHeight w:val="230"/>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80" w:type="dxa"/>
            <w:vAlign w:val="bottom"/>
          </w:tcPr>
          <w:p>
            <w:pPr>
              <w:ind w:left="40"/>
              <w:spacing w:after="0"/>
              <w:rPr>
                <w:sz w:val="20"/>
                <w:szCs w:val="20"/>
                <w:color w:val="auto"/>
              </w:rPr>
            </w:pPr>
            <w:r>
              <w:rPr>
                <w:rFonts w:ascii="Arial" w:cs="Arial" w:eastAsia="Arial" w:hAnsi="Arial"/>
                <w:sz w:val="16"/>
                <w:szCs w:val="16"/>
                <w:color w:val="auto"/>
              </w:rPr>
              <w:t>Strategy Development</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2440" w:type="dxa"/>
            <w:vAlign w:val="bottom"/>
          </w:tcPr>
          <w:p>
            <w:pPr>
              <w:ind w:left="60"/>
              <w:spacing w:after="0"/>
              <w:rPr>
                <w:sz w:val="20"/>
                <w:szCs w:val="20"/>
                <w:color w:val="auto"/>
              </w:rPr>
            </w:pPr>
            <w:r>
              <w:rPr>
                <w:rFonts w:ascii="Arial" w:cs="Arial" w:eastAsia="Arial" w:hAnsi="Arial"/>
                <w:sz w:val="16"/>
                <w:szCs w:val="16"/>
                <w:color w:val="auto"/>
              </w:rPr>
              <w:t>Mergers and Acquisitions</w:t>
            </w:r>
          </w:p>
        </w:tc>
        <w:tc>
          <w:tcPr>
            <w:tcW w:w="42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215"/>
        </w:trPr>
        <w:tc>
          <w:tcPr>
            <w:tcW w:w="300" w:type="dxa"/>
            <w:vAlign w:val="bottom"/>
          </w:tcPr>
          <w:p>
            <w:pPr>
              <w:spacing w:after="0"/>
              <w:rPr>
                <w:sz w:val="18"/>
                <w:szCs w:val="18"/>
                <w:color w:val="auto"/>
              </w:rPr>
            </w:pPr>
          </w:p>
        </w:tc>
        <w:tc>
          <w:tcPr>
            <w:tcW w:w="1980" w:type="dxa"/>
            <w:vAlign w:val="bottom"/>
          </w:tcPr>
          <w:p>
            <w:pPr>
              <w:ind w:left="60"/>
              <w:spacing w:after="0"/>
              <w:rPr>
                <w:sz w:val="20"/>
                <w:szCs w:val="20"/>
                <w:color w:val="auto"/>
              </w:rPr>
            </w:pPr>
            <w:r>
              <w:rPr>
                <w:rFonts w:ascii="Arial" w:cs="Arial" w:eastAsia="Arial" w:hAnsi="Arial"/>
                <w:sz w:val="16"/>
                <w:szCs w:val="16"/>
                <w:color w:val="auto"/>
              </w:rPr>
              <w:t>and Execution</w:t>
            </w:r>
          </w:p>
        </w:tc>
        <w:tc>
          <w:tcPr>
            <w:tcW w:w="380" w:type="dxa"/>
            <w:vAlign w:val="bottom"/>
          </w:tcPr>
          <w:p>
            <w:pPr>
              <w:ind w:left="280"/>
              <w:spacing w:after="0"/>
              <w:rPr>
                <w:sz w:val="20"/>
                <w:szCs w:val="20"/>
                <w:color w:val="auto"/>
              </w:rPr>
            </w:pPr>
            <w:r>
              <w:rPr>
                <w:rFonts w:ascii="Arial" w:cs="Arial" w:eastAsia="Arial" w:hAnsi="Arial"/>
                <w:sz w:val="16"/>
                <w:szCs w:val="16"/>
                <w:color w:val="auto"/>
              </w:rPr>
              <w:t>•</w:t>
            </w:r>
          </w:p>
        </w:tc>
        <w:tc>
          <w:tcPr>
            <w:tcW w:w="2440" w:type="dxa"/>
            <w:vAlign w:val="bottom"/>
          </w:tcPr>
          <w:p>
            <w:pPr>
              <w:ind w:left="60"/>
              <w:spacing w:after="0"/>
              <w:rPr>
                <w:sz w:val="20"/>
                <w:szCs w:val="20"/>
                <w:color w:val="auto"/>
              </w:rPr>
            </w:pPr>
            <w:r>
              <w:rPr>
                <w:rFonts w:ascii="Arial" w:cs="Arial" w:eastAsia="Arial" w:hAnsi="Arial"/>
                <w:sz w:val="16"/>
                <w:szCs w:val="16"/>
                <w:color w:val="auto"/>
              </w:rPr>
              <w:t>Regulatory Compliance</w:t>
            </w:r>
          </w:p>
        </w:tc>
        <w:tc>
          <w:tcPr>
            <w:tcW w:w="42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9"/>
        </w:trPr>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05" w:right="1440"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Class II Directors – Terms Expiring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29210</wp:posOffset>
            </wp:positionV>
            <wp:extent cx="8255" cy="1834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18345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29210</wp:posOffset>
            </wp:positionV>
            <wp:extent cx="1371600" cy="17741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0" cy="17741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466"/>
        </w:trPr>
        <w:tc>
          <w:tcPr>
            <w:tcW w:w="4780" w:type="dxa"/>
            <w:vAlign w:val="bottom"/>
            <w:shd w:val="clear" w:color="auto" w:fill="D9D9D9"/>
          </w:tcPr>
          <w:p>
            <w:pPr>
              <w:ind w:left="2220"/>
              <w:spacing w:after="0"/>
              <w:rPr>
                <w:sz w:val="20"/>
                <w:szCs w:val="20"/>
                <w:color w:val="auto"/>
              </w:rPr>
            </w:pPr>
            <w:r>
              <w:rPr>
                <w:rFonts w:ascii="Arial" w:cs="Arial" w:eastAsia="Arial" w:hAnsi="Arial"/>
                <w:sz w:val="25"/>
                <w:szCs w:val="25"/>
                <w:b w:val="1"/>
                <w:bCs w:val="1"/>
                <w:color w:val="05445E"/>
              </w:rPr>
              <w:t>Christina M. Alvord</w:t>
            </w:r>
          </w:p>
        </w:tc>
        <w:tc>
          <w:tcPr>
            <w:tcW w:w="2260" w:type="dxa"/>
            <w:vAlign w:val="bottom"/>
            <w:gridSpan w:val="2"/>
            <w:shd w:val="clear" w:color="auto" w:fill="D9D9D9"/>
          </w:tcPr>
          <w:p>
            <w:pPr>
              <w:ind w:left="260"/>
              <w:spacing w:after="0"/>
              <w:rPr>
                <w:sz w:val="20"/>
                <w:szCs w:val="20"/>
                <w:color w:val="auto"/>
              </w:rPr>
            </w:pPr>
            <w:r>
              <w:rPr>
                <w:rFonts w:ascii="Arial" w:cs="Arial" w:eastAsia="Arial" w:hAnsi="Arial"/>
                <w:sz w:val="16"/>
                <w:szCs w:val="16"/>
                <w:b w:val="1"/>
                <w:bCs w:val="1"/>
                <w:color w:val="05445E"/>
              </w:rPr>
              <w:t>Apogee Committees:</w:t>
            </w:r>
          </w:p>
        </w:tc>
        <w:tc>
          <w:tcPr>
            <w:tcW w:w="2040" w:type="dxa"/>
            <w:vAlign w:val="bottom"/>
            <w:gridSpan w:val="2"/>
            <w:shd w:val="clear" w:color="auto" w:fill="D9D9D9"/>
          </w:tcPr>
          <w:p>
            <w:pPr>
              <w:ind w:left="20"/>
              <w:spacing w:after="0"/>
              <w:rPr>
                <w:sz w:val="20"/>
                <w:szCs w:val="20"/>
                <w:color w:val="auto"/>
              </w:rPr>
            </w:pPr>
            <w:r>
              <w:rPr>
                <w:rFonts w:ascii="Arial" w:cs="Arial" w:eastAsia="Arial" w:hAnsi="Arial"/>
                <w:sz w:val="16"/>
                <w:szCs w:val="16"/>
                <w:b w:val="1"/>
                <w:bCs w:val="1"/>
                <w:color w:val="05445E"/>
              </w:rPr>
              <w:t>Public Directorships:</w:t>
            </w:r>
          </w:p>
        </w:tc>
        <w:tc>
          <w:tcPr>
            <w:tcW w:w="0" w:type="dxa"/>
            <w:vAlign w:val="bottom"/>
          </w:tcPr>
          <w:p>
            <w:pPr>
              <w:spacing w:after="0"/>
              <w:rPr>
                <w:sz w:val="1"/>
                <w:szCs w:val="1"/>
                <w:color w:val="auto"/>
              </w:rPr>
            </w:pPr>
          </w:p>
        </w:tc>
      </w:tr>
      <w:tr>
        <w:trPr>
          <w:trHeight w:val="189"/>
        </w:trPr>
        <w:tc>
          <w:tcPr>
            <w:tcW w:w="4780" w:type="dxa"/>
            <w:vAlign w:val="bottom"/>
            <w:vMerge w:val="restart"/>
            <w:shd w:val="clear" w:color="auto" w:fill="D9D9D9"/>
          </w:tcPr>
          <w:p>
            <w:pPr>
              <w:ind w:left="2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58</w:t>
            </w:r>
          </w:p>
        </w:tc>
        <w:tc>
          <w:tcPr>
            <w:tcW w:w="520" w:type="dxa"/>
            <w:vAlign w:val="bottom"/>
            <w:shd w:val="clear" w:color="auto" w:fill="D9D9D9"/>
          </w:tcPr>
          <w:p>
            <w:pPr>
              <w:ind w:left="420"/>
              <w:spacing w:after="0"/>
              <w:rPr>
                <w:sz w:val="20"/>
                <w:szCs w:val="20"/>
                <w:color w:val="auto"/>
              </w:rPr>
            </w:pPr>
            <w:r>
              <w:rPr>
                <w:rFonts w:ascii="Arial" w:cs="Arial" w:eastAsia="Arial" w:hAnsi="Arial"/>
                <w:sz w:val="16"/>
                <w:szCs w:val="16"/>
                <w:color w:val="auto"/>
              </w:rPr>
              <w:t>•</w:t>
            </w:r>
          </w:p>
        </w:tc>
        <w:tc>
          <w:tcPr>
            <w:tcW w:w="1740" w:type="dxa"/>
            <w:vAlign w:val="bottom"/>
            <w:shd w:val="clear" w:color="auto" w:fill="D9D9D9"/>
          </w:tcPr>
          <w:p>
            <w:pPr>
              <w:ind w:left="40"/>
              <w:spacing w:after="0"/>
              <w:rPr>
                <w:sz w:val="20"/>
                <w:szCs w:val="20"/>
                <w:color w:val="auto"/>
              </w:rPr>
            </w:pPr>
            <w:r>
              <w:rPr>
                <w:rFonts w:ascii="Arial" w:cs="Arial" w:eastAsia="Arial" w:hAnsi="Arial"/>
                <w:sz w:val="16"/>
                <w:szCs w:val="16"/>
                <w:color w:val="auto"/>
              </w:rPr>
              <w:t>Audit</w:t>
            </w:r>
          </w:p>
        </w:tc>
        <w:tc>
          <w:tcPr>
            <w:tcW w:w="280" w:type="dxa"/>
            <w:vAlign w:val="bottom"/>
            <w:shd w:val="clear" w:color="auto" w:fill="D9D9D9"/>
          </w:tcPr>
          <w:p>
            <w:pPr>
              <w:ind w:left="180"/>
              <w:spacing w:after="0"/>
              <w:rPr>
                <w:sz w:val="20"/>
                <w:szCs w:val="20"/>
                <w:color w:val="auto"/>
              </w:rPr>
            </w:pPr>
            <w:r>
              <w:rPr>
                <w:rFonts w:ascii="Arial" w:cs="Arial" w:eastAsia="Arial" w:hAnsi="Arial"/>
                <w:sz w:val="16"/>
                <w:szCs w:val="16"/>
                <w:color w:val="auto"/>
              </w:rPr>
              <w:t>•</w:t>
            </w:r>
          </w:p>
        </w:tc>
        <w:tc>
          <w:tcPr>
            <w:tcW w:w="1760" w:type="dxa"/>
            <w:vAlign w:val="bottom"/>
            <w:shd w:val="clear" w:color="auto" w:fill="D9D9D9"/>
          </w:tcPr>
          <w:p>
            <w:pPr>
              <w:ind w:left="60"/>
              <w:spacing w:after="0"/>
              <w:rPr>
                <w:sz w:val="20"/>
                <w:szCs w:val="20"/>
                <w:color w:val="auto"/>
              </w:rPr>
            </w:pPr>
            <w:r>
              <w:rPr>
                <w:rFonts w:ascii="Arial" w:cs="Arial" w:eastAsia="Arial" w:hAnsi="Arial"/>
                <w:sz w:val="16"/>
                <w:szCs w:val="16"/>
                <w:color w:val="auto"/>
              </w:rPr>
              <w:t>Albany International</w:t>
            </w:r>
          </w:p>
        </w:tc>
        <w:tc>
          <w:tcPr>
            <w:tcW w:w="0" w:type="dxa"/>
            <w:vAlign w:val="bottom"/>
          </w:tcPr>
          <w:p>
            <w:pPr>
              <w:spacing w:after="0"/>
              <w:rPr>
                <w:sz w:val="1"/>
                <w:szCs w:val="1"/>
                <w:color w:val="auto"/>
              </w:rPr>
            </w:pPr>
          </w:p>
        </w:tc>
      </w:tr>
      <w:tr>
        <w:trPr>
          <w:trHeight w:val="203"/>
        </w:trPr>
        <w:tc>
          <w:tcPr>
            <w:tcW w:w="4780" w:type="dxa"/>
            <w:vAlign w:val="bottom"/>
            <w:vMerge w:val="continue"/>
            <w:shd w:val="clear" w:color="auto" w:fill="D9D9D9"/>
          </w:tcPr>
          <w:p>
            <w:pPr>
              <w:spacing w:after="0"/>
              <w:rPr>
                <w:sz w:val="17"/>
                <w:szCs w:val="17"/>
                <w:color w:val="auto"/>
              </w:rPr>
            </w:pPr>
          </w:p>
        </w:tc>
        <w:tc>
          <w:tcPr>
            <w:tcW w:w="520" w:type="dxa"/>
            <w:vAlign w:val="bottom"/>
            <w:shd w:val="clear" w:color="auto" w:fill="D9D9D9"/>
          </w:tcPr>
          <w:p>
            <w:pPr>
              <w:ind w:left="420"/>
              <w:spacing w:after="0"/>
              <w:rPr>
                <w:sz w:val="20"/>
                <w:szCs w:val="20"/>
                <w:color w:val="auto"/>
              </w:rPr>
            </w:pPr>
            <w:r>
              <w:rPr>
                <w:rFonts w:ascii="Arial" w:cs="Arial" w:eastAsia="Arial" w:hAnsi="Arial"/>
                <w:sz w:val="16"/>
                <w:szCs w:val="16"/>
                <w:color w:val="auto"/>
              </w:rPr>
              <w:t>•</w:t>
            </w:r>
          </w:p>
        </w:tc>
        <w:tc>
          <w:tcPr>
            <w:tcW w:w="1740" w:type="dxa"/>
            <w:vAlign w:val="bottom"/>
            <w:shd w:val="clear" w:color="auto" w:fill="D9D9D9"/>
          </w:tcPr>
          <w:p>
            <w:pPr>
              <w:ind w:left="40"/>
              <w:spacing w:after="0"/>
              <w:rPr>
                <w:sz w:val="20"/>
                <w:szCs w:val="20"/>
                <w:color w:val="auto"/>
              </w:rPr>
            </w:pPr>
            <w:r>
              <w:rPr>
                <w:rFonts w:ascii="Arial" w:cs="Arial" w:eastAsia="Arial" w:hAnsi="Arial"/>
                <w:sz w:val="16"/>
                <w:szCs w:val="16"/>
                <w:color w:val="auto"/>
              </w:rPr>
              <w:t>Nominating and</w:t>
            </w:r>
          </w:p>
        </w:tc>
        <w:tc>
          <w:tcPr>
            <w:tcW w:w="280" w:type="dxa"/>
            <w:vAlign w:val="bottom"/>
            <w:shd w:val="clear" w:color="auto" w:fill="D9D9D9"/>
          </w:tcPr>
          <w:p>
            <w:pPr>
              <w:spacing w:after="0"/>
              <w:rPr>
                <w:sz w:val="17"/>
                <w:szCs w:val="17"/>
                <w:color w:val="auto"/>
              </w:rPr>
            </w:pPr>
          </w:p>
        </w:tc>
        <w:tc>
          <w:tcPr>
            <w:tcW w:w="1760" w:type="dxa"/>
            <w:vAlign w:val="bottom"/>
            <w:shd w:val="clear" w:color="auto" w:fill="D9D9D9"/>
          </w:tcPr>
          <w:p>
            <w:pPr>
              <w:ind w:left="60"/>
              <w:spacing w:after="0"/>
              <w:rPr>
                <w:sz w:val="20"/>
                <w:szCs w:val="20"/>
                <w:color w:val="auto"/>
              </w:rPr>
            </w:pPr>
            <w:r>
              <w:rPr>
                <w:rFonts w:ascii="Arial" w:cs="Arial" w:eastAsia="Arial" w:hAnsi="Arial"/>
                <w:sz w:val="16"/>
                <w:szCs w:val="16"/>
                <w:color w:val="auto"/>
              </w:rPr>
              <w:t>Corp.</w:t>
            </w:r>
          </w:p>
        </w:tc>
        <w:tc>
          <w:tcPr>
            <w:tcW w:w="0" w:type="dxa"/>
            <w:vAlign w:val="bottom"/>
          </w:tcPr>
          <w:p>
            <w:pPr>
              <w:spacing w:after="0"/>
              <w:rPr>
                <w:sz w:val="1"/>
                <w:szCs w:val="1"/>
                <w:color w:val="auto"/>
              </w:rPr>
            </w:pPr>
          </w:p>
        </w:tc>
      </w:tr>
      <w:tr>
        <w:trPr>
          <w:trHeight w:val="216"/>
        </w:trPr>
        <w:tc>
          <w:tcPr>
            <w:tcW w:w="4780" w:type="dxa"/>
            <w:vAlign w:val="bottom"/>
            <w:shd w:val="clear" w:color="auto" w:fill="D9D9D9"/>
          </w:tcPr>
          <w:p>
            <w:pPr>
              <w:ind w:left="2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tc>
        <w:tc>
          <w:tcPr>
            <w:tcW w:w="520" w:type="dxa"/>
            <w:vAlign w:val="bottom"/>
            <w:shd w:val="clear" w:color="auto" w:fill="D9D9D9"/>
          </w:tcPr>
          <w:p>
            <w:pPr>
              <w:spacing w:after="0"/>
              <w:rPr>
                <w:sz w:val="18"/>
                <w:szCs w:val="18"/>
                <w:color w:val="auto"/>
              </w:rPr>
            </w:pPr>
          </w:p>
        </w:tc>
        <w:tc>
          <w:tcPr>
            <w:tcW w:w="1740" w:type="dxa"/>
            <w:vAlign w:val="bottom"/>
            <w:shd w:val="clear" w:color="auto" w:fill="D9D9D9"/>
          </w:tcPr>
          <w:p>
            <w:pPr>
              <w:ind w:left="60"/>
              <w:spacing w:after="0"/>
              <w:rPr>
                <w:sz w:val="20"/>
                <w:szCs w:val="20"/>
                <w:color w:val="auto"/>
              </w:rPr>
            </w:pPr>
            <w:r>
              <w:rPr>
                <w:rFonts w:ascii="Arial" w:cs="Arial" w:eastAsia="Arial" w:hAnsi="Arial"/>
                <w:sz w:val="16"/>
                <w:szCs w:val="16"/>
                <w:color w:val="auto"/>
              </w:rPr>
              <w:t>Corporate Governance</w:t>
            </w:r>
          </w:p>
        </w:tc>
        <w:tc>
          <w:tcPr>
            <w:tcW w:w="280" w:type="dxa"/>
            <w:vAlign w:val="bottom"/>
            <w:vMerge w:val="restart"/>
            <w:shd w:val="clear" w:color="auto" w:fill="D9D9D9"/>
          </w:tcPr>
          <w:p>
            <w:pPr>
              <w:ind w:left="180"/>
              <w:spacing w:after="0"/>
              <w:rPr>
                <w:sz w:val="20"/>
                <w:szCs w:val="20"/>
                <w:color w:val="auto"/>
              </w:rPr>
            </w:pPr>
            <w:r>
              <w:rPr>
                <w:rFonts w:ascii="Arial" w:cs="Arial" w:eastAsia="Arial" w:hAnsi="Arial"/>
                <w:sz w:val="16"/>
                <w:szCs w:val="16"/>
                <w:color w:val="auto"/>
              </w:rPr>
              <w:t>•</w:t>
            </w:r>
          </w:p>
        </w:tc>
        <w:tc>
          <w:tcPr>
            <w:tcW w:w="1760" w:type="dxa"/>
            <w:vAlign w:val="bottom"/>
            <w:shd w:val="clear" w:color="auto" w:fill="D9D9D9"/>
          </w:tcPr>
          <w:p>
            <w:pPr>
              <w:ind w:left="60"/>
              <w:spacing w:after="0"/>
              <w:rPr>
                <w:sz w:val="20"/>
                <w:szCs w:val="20"/>
                <w:color w:val="auto"/>
              </w:rPr>
            </w:pPr>
            <w:r>
              <w:rPr>
                <w:rFonts w:ascii="Arial" w:cs="Arial" w:eastAsia="Arial" w:hAnsi="Arial"/>
                <w:sz w:val="16"/>
                <w:szCs w:val="16"/>
                <w:color w:val="auto"/>
              </w:rPr>
              <w:t>(2022 – Present)</w:t>
            </w:r>
          </w:p>
        </w:tc>
        <w:tc>
          <w:tcPr>
            <w:tcW w:w="0" w:type="dxa"/>
            <w:vAlign w:val="bottom"/>
          </w:tcPr>
          <w:p>
            <w:pPr>
              <w:spacing w:after="0"/>
              <w:rPr>
                <w:sz w:val="1"/>
                <w:szCs w:val="1"/>
                <w:color w:val="auto"/>
              </w:rPr>
            </w:pPr>
          </w:p>
        </w:tc>
      </w:tr>
      <w:tr>
        <w:trPr>
          <w:trHeight w:val="202"/>
        </w:trPr>
        <w:tc>
          <w:tcPr>
            <w:tcW w:w="4780" w:type="dxa"/>
            <w:vAlign w:val="bottom"/>
            <w:vMerge w:val="restart"/>
            <w:shd w:val="clear" w:color="auto" w:fill="D9D9D9"/>
          </w:tcPr>
          <w:p>
            <w:pPr>
              <w:ind w:left="2220"/>
              <w:spacing w:after="0"/>
              <w:rPr>
                <w:sz w:val="20"/>
                <w:szCs w:val="20"/>
                <w:color w:val="auto"/>
              </w:rPr>
            </w:pPr>
            <w:r>
              <w:rPr>
                <w:rFonts w:ascii="Arial" w:cs="Arial" w:eastAsia="Arial" w:hAnsi="Arial"/>
                <w:sz w:val="16"/>
                <w:szCs w:val="16"/>
                <w:b w:val="1"/>
                <w:bCs w:val="1"/>
                <w:color w:val="auto"/>
              </w:rPr>
              <w:t>Independent</w:t>
            </w:r>
          </w:p>
        </w:tc>
        <w:tc>
          <w:tcPr>
            <w:tcW w:w="520" w:type="dxa"/>
            <w:vAlign w:val="bottom"/>
            <w:shd w:val="clear" w:color="auto" w:fill="D9D9D9"/>
          </w:tcPr>
          <w:p>
            <w:pPr>
              <w:spacing w:after="0"/>
              <w:rPr>
                <w:sz w:val="17"/>
                <w:szCs w:val="17"/>
                <w:color w:val="auto"/>
              </w:rPr>
            </w:pPr>
          </w:p>
        </w:tc>
        <w:tc>
          <w:tcPr>
            <w:tcW w:w="1740" w:type="dxa"/>
            <w:vAlign w:val="bottom"/>
            <w:shd w:val="clear" w:color="auto" w:fill="D9D9D9"/>
          </w:tcPr>
          <w:p>
            <w:pPr>
              <w:spacing w:after="0"/>
              <w:rPr>
                <w:sz w:val="17"/>
                <w:szCs w:val="17"/>
                <w:color w:val="auto"/>
              </w:rPr>
            </w:pPr>
          </w:p>
        </w:tc>
        <w:tc>
          <w:tcPr>
            <w:tcW w:w="280" w:type="dxa"/>
            <w:vAlign w:val="bottom"/>
            <w:vMerge w:val="continue"/>
            <w:shd w:val="clear" w:color="auto" w:fill="D9D9D9"/>
          </w:tcPr>
          <w:p>
            <w:pPr>
              <w:spacing w:after="0"/>
              <w:rPr>
                <w:sz w:val="17"/>
                <w:szCs w:val="17"/>
                <w:color w:val="auto"/>
              </w:rPr>
            </w:pPr>
          </w:p>
        </w:tc>
        <w:tc>
          <w:tcPr>
            <w:tcW w:w="1760" w:type="dxa"/>
            <w:vAlign w:val="bottom"/>
            <w:shd w:val="clear" w:color="auto" w:fill="D9D9D9"/>
          </w:tcPr>
          <w:p>
            <w:pPr>
              <w:ind w:left="60"/>
              <w:spacing w:after="0"/>
              <w:rPr>
                <w:sz w:val="20"/>
                <w:szCs w:val="20"/>
                <w:color w:val="auto"/>
              </w:rPr>
            </w:pPr>
            <w:r>
              <w:rPr>
                <w:rFonts w:ascii="Arial" w:cs="Arial" w:eastAsia="Arial" w:hAnsi="Arial"/>
                <w:sz w:val="16"/>
                <w:szCs w:val="16"/>
                <w:color w:val="auto"/>
              </w:rPr>
              <w:t>Piedmont Lithium</w:t>
            </w:r>
          </w:p>
        </w:tc>
        <w:tc>
          <w:tcPr>
            <w:tcW w:w="0" w:type="dxa"/>
            <w:vAlign w:val="bottom"/>
          </w:tcPr>
          <w:p>
            <w:pPr>
              <w:spacing w:after="0"/>
              <w:rPr>
                <w:sz w:val="1"/>
                <w:szCs w:val="1"/>
                <w:color w:val="auto"/>
              </w:rPr>
            </w:pPr>
          </w:p>
        </w:tc>
      </w:tr>
      <w:tr>
        <w:trPr>
          <w:trHeight w:val="115"/>
        </w:trPr>
        <w:tc>
          <w:tcPr>
            <w:tcW w:w="4780" w:type="dxa"/>
            <w:vAlign w:val="bottom"/>
            <w:vMerge w:val="continue"/>
            <w:shd w:val="clear" w:color="auto" w:fill="D9D9D9"/>
          </w:tcPr>
          <w:p>
            <w:pPr>
              <w:spacing w:after="0"/>
              <w:rPr>
                <w:sz w:val="9"/>
                <w:szCs w:val="9"/>
                <w:color w:val="auto"/>
              </w:rPr>
            </w:pPr>
          </w:p>
        </w:tc>
        <w:tc>
          <w:tcPr>
            <w:tcW w:w="520" w:type="dxa"/>
            <w:vAlign w:val="bottom"/>
            <w:shd w:val="clear" w:color="auto" w:fill="D9D9D9"/>
          </w:tcPr>
          <w:p>
            <w:pPr>
              <w:spacing w:after="0"/>
              <w:rPr>
                <w:sz w:val="9"/>
                <w:szCs w:val="9"/>
                <w:color w:val="auto"/>
              </w:rPr>
            </w:pPr>
          </w:p>
        </w:tc>
        <w:tc>
          <w:tcPr>
            <w:tcW w:w="1740" w:type="dxa"/>
            <w:vAlign w:val="bottom"/>
            <w:shd w:val="clear" w:color="auto" w:fill="D9D9D9"/>
          </w:tcPr>
          <w:p>
            <w:pPr>
              <w:spacing w:after="0"/>
              <w:rPr>
                <w:sz w:val="9"/>
                <w:szCs w:val="9"/>
                <w:color w:val="auto"/>
              </w:rPr>
            </w:pPr>
          </w:p>
        </w:tc>
        <w:tc>
          <w:tcPr>
            <w:tcW w:w="280" w:type="dxa"/>
            <w:vAlign w:val="bottom"/>
            <w:shd w:val="clear" w:color="auto" w:fill="D9D9D9"/>
          </w:tcPr>
          <w:p>
            <w:pPr>
              <w:spacing w:after="0"/>
              <w:rPr>
                <w:sz w:val="9"/>
                <w:szCs w:val="9"/>
                <w:color w:val="auto"/>
              </w:rPr>
            </w:pPr>
          </w:p>
        </w:tc>
        <w:tc>
          <w:tcPr>
            <w:tcW w:w="1760" w:type="dxa"/>
            <w:vAlign w:val="bottom"/>
            <w:vMerge w:val="restart"/>
            <w:shd w:val="clear" w:color="auto" w:fill="D9D9D9"/>
          </w:tcPr>
          <w:p>
            <w:pPr>
              <w:ind w:left="60"/>
              <w:spacing w:after="0"/>
              <w:rPr>
                <w:sz w:val="20"/>
                <w:szCs w:val="20"/>
                <w:color w:val="auto"/>
              </w:rPr>
            </w:pPr>
            <w:r>
              <w:rPr>
                <w:rFonts w:ascii="Arial" w:cs="Arial" w:eastAsia="Arial" w:hAnsi="Arial"/>
                <w:sz w:val="16"/>
                <w:szCs w:val="16"/>
                <w:color w:val="auto"/>
              </w:rPr>
              <w:t>(2023 – Present)</w:t>
            </w:r>
          </w:p>
        </w:tc>
        <w:tc>
          <w:tcPr>
            <w:tcW w:w="0" w:type="dxa"/>
            <w:vAlign w:val="bottom"/>
          </w:tcPr>
          <w:p>
            <w:pPr>
              <w:spacing w:after="0"/>
              <w:rPr>
                <w:sz w:val="1"/>
                <w:szCs w:val="1"/>
                <w:color w:val="auto"/>
              </w:rPr>
            </w:pPr>
          </w:p>
        </w:tc>
      </w:tr>
      <w:tr>
        <w:trPr>
          <w:trHeight w:val="100"/>
        </w:trPr>
        <w:tc>
          <w:tcPr>
            <w:tcW w:w="4780" w:type="dxa"/>
            <w:vAlign w:val="bottom"/>
            <w:shd w:val="clear" w:color="auto" w:fill="D9D9D9"/>
          </w:tcPr>
          <w:p>
            <w:pPr>
              <w:spacing w:after="0"/>
              <w:rPr>
                <w:sz w:val="8"/>
                <w:szCs w:val="8"/>
                <w:color w:val="auto"/>
              </w:rPr>
            </w:pPr>
          </w:p>
        </w:tc>
        <w:tc>
          <w:tcPr>
            <w:tcW w:w="520" w:type="dxa"/>
            <w:vAlign w:val="bottom"/>
            <w:shd w:val="clear" w:color="auto" w:fill="D9D9D9"/>
          </w:tcPr>
          <w:p>
            <w:pPr>
              <w:spacing w:after="0"/>
              <w:rPr>
                <w:sz w:val="8"/>
                <w:szCs w:val="8"/>
                <w:color w:val="auto"/>
              </w:rPr>
            </w:pPr>
          </w:p>
        </w:tc>
        <w:tc>
          <w:tcPr>
            <w:tcW w:w="1740" w:type="dxa"/>
            <w:vAlign w:val="bottom"/>
            <w:shd w:val="clear" w:color="auto" w:fill="D9D9D9"/>
          </w:tcPr>
          <w:p>
            <w:pPr>
              <w:spacing w:after="0"/>
              <w:rPr>
                <w:sz w:val="8"/>
                <w:szCs w:val="8"/>
                <w:color w:val="auto"/>
              </w:rPr>
            </w:pPr>
          </w:p>
        </w:tc>
        <w:tc>
          <w:tcPr>
            <w:tcW w:w="280" w:type="dxa"/>
            <w:vAlign w:val="bottom"/>
            <w:shd w:val="clear" w:color="auto" w:fill="D9D9D9"/>
          </w:tcPr>
          <w:p>
            <w:pPr>
              <w:spacing w:after="0"/>
              <w:rPr>
                <w:sz w:val="8"/>
                <w:szCs w:val="8"/>
                <w:color w:val="auto"/>
              </w:rPr>
            </w:pPr>
          </w:p>
        </w:tc>
        <w:tc>
          <w:tcPr>
            <w:tcW w:w="1760" w:type="dxa"/>
            <w:vAlign w:val="bottom"/>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379"/>
        </w:trPr>
        <w:tc>
          <w:tcPr>
            <w:tcW w:w="4780" w:type="dxa"/>
            <w:vAlign w:val="bottom"/>
            <w:shd w:val="clear" w:color="auto" w:fill="D9D9D9"/>
          </w:tcPr>
          <w:p>
            <w:pPr>
              <w:spacing w:after="0"/>
              <w:rPr>
                <w:sz w:val="24"/>
                <w:szCs w:val="24"/>
                <w:color w:val="auto"/>
              </w:rPr>
            </w:pPr>
          </w:p>
        </w:tc>
        <w:tc>
          <w:tcPr>
            <w:tcW w:w="520" w:type="dxa"/>
            <w:vAlign w:val="bottom"/>
            <w:shd w:val="clear" w:color="auto" w:fill="D9D9D9"/>
          </w:tcPr>
          <w:p>
            <w:pPr>
              <w:spacing w:after="0"/>
              <w:rPr>
                <w:sz w:val="24"/>
                <w:szCs w:val="24"/>
                <w:color w:val="auto"/>
              </w:rPr>
            </w:pPr>
          </w:p>
        </w:tc>
        <w:tc>
          <w:tcPr>
            <w:tcW w:w="1740" w:type="dxa"/>
            <w:vAlign w:val="bottom"/>
            <w:shd w:val="clear" w:color="auto" w:fill="D9D9D9"/>
          </w:tcPr>
          <w:p>
            <w:pPr>
              <w:spacing w:after="0"/>
              <w:rPr>
                <w:sz w:val="24"/>
                <w:szCs w:val="24"/>
                <w:color w:val="auto"/>
              </w:rPr>
            </w:pPr>
          </w:p>
        </w:tc>
        <w:tc>
          <w:tcPr>
            <w:tcW w:w="280" w:type="dxa"/>
            <w:vAlign w:val="bottom"/>
            <w:shd w:val="clear" w:color="auto" w:fill="D9D9D9"/>
          </w:tcPr>
          <w:p>
            <w:pPr>
              <w:spacing w:after="0"/>
              <w:rPr>
                <w:sz w:val="24"/>
                <w:szCs w:val="24"/>
                <w:color w:val="auto"/>
              </w:rPr>
            </w:pPr>
          </w:p>
        </w:tc>
        <w:tc>
          <w:tcPr>
            <w:tcW w:w="176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16"/>
          <w:szCs w:val="16"/>
          <w:b w:val="1"/>
          <w:bCs w:val="1"/>
          <w:color w:val="05445E"/>
        </w:rPr>
        <w:t xml:space="preserve">Ms. Alvord </w:t>
      </w:r>
      <w:r>
        <w:rPr>
          <w:rFonts w:ascii="Arial" w:cs="Arial" w:eastAsia="Arial" w:hAnsi="Arial"/>
          <w:sz w:val="16"/>
          <w:szCs w:val="16"/>
          <w:color w:val="000000"/>
        </w:rPr>
        <w:t>served as President, Central Division of Vulcan Materials Company, a producer of construction aggregates and</w:t>
      </w:r>
      <w:r>
        <w:rPr>
          <w:rFonts w:ascii="Arial" w:cs="Arial" w:eastAsia="Arial" w:hAnsi="Arial"/>
          <w:sz w:val="16"/>
          <w:szCs w:val="16"/>
          <w:b w:val="1"/>
          <w:bCs w:val="1"/>
          <w:color w:val="05445E"/>
        </w:rPr>
        <w:t xml:space="preserve"> </w:t>
      </w:r>
      <w:r>
        <w:rPr>
          <w:rFonts w:ascii="Arial" w:cs="Arial" w:eastAsia="Arial" w:hAnsi="Arial"/>
          <w:sz w:val="16"/>
          <w:szCs w:val="16"/>
          <w:color w:val="000000"/>
        </w:rPr>
        <w:t>aggregates-based construction materials and member of the S&amp;P 500 Index from 2019 until 2021. She joined Vulcan in 2016 and served as Vice President, Performance Management from 2016 to 2017 and President of the Southern &amp; Gulf Coast and Central Divisions from 2017 to 2021. Ms. Alvord held various executive management positions with GE Aviation, including General Manager of Engine Component Repair from 2012 to 2015 and General Manager of Turbine Airfoils Center of Excellence from 2010 to 2012; Government Relations Executive from 2009 to 2010; President of GE Aviation-Unison Industries from 2005 to 2009; and President of GE Aviation-Middle River Aircraft Systems from 2003 to 2005. Earlier in her career, Ms. Alvord held management positions in the GE Corporation Initiatives Group and McKinsey Company, Inc.</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5445E"/>
        </w:rPr>
        <w:t>Skills &amp; Qualifications: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20" w:type="dxa"/>
            <w:vAlign w:val="bottom"/>
          </w:tcPr>
          <w:p>
            <w:pPr>
              <w:ind w:left="40"/>
              <w:spacing w:after="0"/>
              <w:rPr>
                <w:sz w:val="20"/>
                <w:szCs w:val="20"/>
                <w:color w:val="auto"/>
              </w:rPr>
            </w:pPr>
            <w:r>
              <w:rPr>
                <w:rFonts w:ascii="Arial" w:cs="Arial" w:eastAsia="Arial" w:hAnsi="Arial"/>
                <w:sz w:val="16"/>
                <w:szCs w:val="16"/>
                <w:color w:val="auto"/>
              </w:rPr>
              <w:t>Executive Leadership</w:t>
            </w:r>
          </w:p>
        </w:tc>
        <w:tc>
          <w:tcPr>
            <w:tcW w:w="440" w:type="dxa"/>
            <w:vAlign w:val="bottom"/>
          </w:tcPr>
          <w:p>
            <w:pPr>
              <w:ind w:left="340"/>
              <w:spacing w:after="0"/>
              <w:rPr>
                <w:sz w:val="20"/>
                <w:szCs w:val="20"/>
                <w:color w:val="auto"/>
              </w:rPr>
            </w:pPr>
            <w:r>
              <w:rPr>
                <w:rFonts w:ascii="Arial" w:cs="Arial" w:eastAsia="Arial" w:hAnsi="Arial"/>
                <w:sz w:val="16"/>
                <w:szCs w:val="16"/>
                <w:color w:val="auto"/>
              </w:rPr>
              <w:t>•</w:t>
            </w:r>
          </w:p>
        </w:tc>
        <w:tc>
          <w:tcPr>
            <w:tcW w:w="2480" w:type="dxa"/>
            <w:vAlign w:val="bottom"/>
          </w:tcPr>
          <w:p>
            <w:pPr>
              <w:ind w:left="40"/>
              <w:spacing w:after="0"/>
              <w:rPr>
                <w:sz w:val="20"/>
                <w:szCs w:val="20"/>
                <w:color w:val="auto"/>
              </w:rPr>
            </w:pPr>
            <w:r>
              <w:rPr>
                <w:rFonts w:ascii="Arial" w:cs="Arial" w:eastAsia="Arial" w:hAnsi="Arial"/>
                <w:sz w:val="16"/>
                <w:szCs w:val="16"/>
                <w:color w:val="auto"/>
              </w:rPr>
              <w:t>Mergers and Acquisitions</w:t>
            </w:r>
          </w:p>
        </w:tc>
        <w:tc>
          <w:tcPr>
            <w:tcW w:w="480" w:type="dxa"/>
            <w:vAlign w:val="bottom"/>
          </w:tcPr>
          <w:p>
            <w:pPr>
              <w:ind w:left="360"/>
              <w:spacing w:after="0"/>
              <w:rPr>
                <w:sz w:val="20"/>
                <w:szCs w:val="20"/>
                <w:color w:val="auto"/>
              </w:rPr>
            </w:pPr>
            <w:r>
              <w:rPr>
                <w:rFonts w:ascii="Arial" w:cs="Arial" w:eastAsia="Arial" w:hAnsi="Arial"/>
                <w:sz w:val="16"/>
                <w:szCs w:val="16"/>
                <w:color w:val="auto"/>
              </w:rPr>
              <w:t>•</w:t>
            </w:r>
          </w:p>
        </w:tc>
        <w:tc>
          <w:tcPr>
            <w:tcW w:w="3460" w:type="dxa"/>
            <w:vAlign w:val="bottom"/>
          </w:tcPr>
          <w:p>
            <w:pPr>
              <w:ind w:left="40"/>
              <w:spacing w:after="0"/>
              <w:rPr>
                <w:sz w:val="20"/>
                <w:szCs w:val="20"/>
                <w:color w:val="auto"/>
              </w:rPr>
            </w:pPr>
            <w:r>
              <w:rPr>
                <w:rFonts w:ascii="Arial" w:cs="Arial" w:eastAsia="Arial" w:hAnsi="Arial"/>
                <w:sz w:val="16"/>
                <w:szCs w:val="16"/>
                <w:color w:val="auto"/>
              </w:rPr>
              <w:t>Strategy Development and Execution</w:t>
            </w:r>
          </w:p>
        </w:tc>
      </w:tr>
      <w:tr>
        <w:trPr>
          <w:trHeight w:val="204"/>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20" w:type="dxa"/>
            <w:vAlign w:val="bottom"/>
          </w:tcPr>
          <w:p>
            <w:pPr>
              <w:ind w:left="40"/>
              <w:spacing w:after="0"/>
              <w:rPr>
                <w:sz w:val="20"/>
                <w:szCs w:val="20"/>
                <w:color w:val="auto"/>
              </w:rPr>
            </w:pPr>
            <w:r>
              <w:rPr>
                <w:rFonts w:ascii="Arial" w:cs="Arial" w:eastAsia="Arial" w:hAnsi="Arial"/>
                <w:sz w:val="16"/>
                <w:szCs w:val="16"/>
                <w:color w:val="auto"/>
              </w:rPr>
              <w:t>Manufacturing</w:t>
            </w:r>
          </w:p>
        </w:tc>
        <w:tc>
          <w:tcPr>
            <w:tcW w:w="440" w:type="dxa"/>
            <w:vAlign w:val="bottom"/>
          </w:tcPr>
          <w:p>
            <w:pPr>
              <w:ind w:left="340"/>
              <w:spacing w:after="0"/>
              <w:rPr>
                <w:sz w:val="20"/>
                <w:szCs w:val="20"/>
                <w:color w:val="auto"/>
              </w:rPr>
            </w:pPr>
            <w:r>
              <w:rPr>
                <w:rFonts w:ascii="Arial" w:cs="Arial" w:eastAsia="Arial" w:hAnsi="Arial"/>
                <w:sz w:val="16"/>
                <w:szCs w:val="16"/>
                <w:color w:val="auto"/>
              </w:rPr>
              <w:t>•</w:t>
            </w:r>
          </w:p>
        </w:tc>
        <w:tc>
          <w:tcPr>
            <w:tcW w:w="2480" w:type="dxa"/>
            <w:vAlign w:val="bottom"/>
          </w:tcPr>
          <w:p>
            <w:pPr>
              <w:ind w:left="40"/>
              <w:spacing w:after="0"/>
              <w:rPr>
                <w:sz w:val="20"/>
                <w:szCs w:val="20"/>
                <w:color w:val="auto"/>
              </w:rPr>
            </w:pPr>
            <w:r>
              <w:rPr>
                <w:rFonts w:ascii="Arial" w:cs="Arial" w:eastAsia="Arial" w:hAnsi="Arial"/>
                <w:sz w:val="16"/>
                <w:szCs w:val="16"/>
                <w:color w:val="auto"/>
              </w:rPr>
              <w:t>Financial Management</w:t>
            </w:r>
          </w:p>
        </w:tc>
        <w:tc>
          <w:tcPr>
            <w:tcW w:w="480" w:type="dxa"/>
            <w:vAlign w:val="bottom"/>
          </w:tcPr>
          <w:p>
            <w:pPr>
              <w:ind w:left="360"/>
              <w:spacing w:after="0"/>
              <w:rPr>
                <w:sz w:val="20"/>
                <w:szCs w:val="20"/>
                <w:color w:val="auto"/>
              </w:rPr>
            </w:pPr>
            <w:r>
              <w:rPr>
                <w:rFonts w:ascii="Arial" w:cs="Arial" w:eastAsia="Arial" w:hAnsi="Arial"/>
                <w:sz w:val="16"/>
                <w:szCs w:val="16"/>
                <w:color w:val="auto"/>
              </w:rPr>
              <w:t>•</w:t>
            </w:r>
          </w:p>
        </w:tc>
        <w:tc>
          <w:tcPr>
            <w:tcW w:w="3460" w:type="dxa"/>
            <w:vAlign w:val="bottom"/>
          </w:tcPr>
          <w:p>
            <w:pPr>
              <w:ind w:left="40"/>
              <w:spacing w:after="0"/>
              <w:rPr>
                <w:sz w:val="20"/>
                <w:szCs w:val="20"/>
                <w:color w:val="auto"/>
              </w:rPr>
            </w:pPr>
            <w:r>
              <w:rPr>
                <w:rFonts w:ascii="Arial" w:cs="Arial" w:eastAsia="Arial" w:hAnsi="Arial"/>
                <w:sz w:val="16"/>
                <w:szCs w:val="16"/>
                <w:color w:val="auto"/>
              </w:rPr>
              <w:t>Leadership Development</w:t>
            </w:r>
          </w:p>
        </w:tc>
      </w:tr>
      <w:tr>
        <w:trPr>
          <w:trHeight w:val="230"/>
        </w:trPr>
        <w:tc>
          <w:tcPr>
            <w:tcW w:w="300" w:type="dxa"/>
            <w:vAlign w:val="bottom"/>
          </w:tcPr>
          <w:p>
            <w:pPr>
              <w:spacing w:after="0"/>
              <w:rPr>
                <w:sz w:val="19"/>
                <w:szCs w:val="19"/>
                <w:color w:val="auto"/>
              </w:rPr>
            </w:pPr>
          </w:p>
        </w:tc>
        <w:tc>
          <w:tcPr>
            <w:tcW w:w="1920" w:type="dxa"/>
            <w:vAlign w:val="bottom"/>
          </w:tcPr>
          <w:p>
            <w:pPr>
              <w:ind w:left="60"/>
              <w:spacing w:after="0"/>
              <w:rPr>
                <w:sz w:val="20"/>
                <w:szCs w:val="20"/>
                <w:color w:val="auto"/>
              </w:rPr>
            </w:pPr>
            <w:r>
              <w:rPr>
                <w:rFonts w:ascii="Arial" w:cs="Arial" w:eastAsia="Arial" w:hAnsi="Arial"/>
                <w:sz w:val="16"/>
                <w:szCs w:val="16"/>
                <w:color w:val="auto"/>
              </w:rPr>
              <w:t>Operations</w:t>
            </w:r>
          </w:p>
        </w:tc>
        <w:tc>
          <w:tcPr>
            <w:tcW w:w="440" w:type="dxa"/>
            <w:vAlign w:val="bottom"/>
          </w:tcPr>
          <w:p>
            <w:pPr>
              <w:ind w:left="340"/>
              <w:spacing w:after="0"/>
              <w:rPr>
                <w:sz w:val="20"/>
                <w:szCs w:val="20"/>
                <w:color w:val="auto"/>
              </w:rPr>
            </w:pPr>
            <w:r>
              <w:rPr>
                <w:rFonts w:ascii="Arial" w:cs="Arial" w:eastAsia="Arial" w:hAnsi="Arial"/>
                <w:sz w:val="16"/>
                <w:szCs w:val="16"/>
                <w:color w:val="auto"/>
              </w:rPr>
              <w:t>•</w:t>
            </w:r>
          </w:p>
        </w:tc>
        <w:tc>
          <w:tcPr>
            <w:tcW w:w="2480" w:type="dxa"/>
            <w:vAlign w:val="bottom"/>
          </w:tcPr>
          <w:p>
            <w:pPr>
              <w:ind w:left="40"/>
              <w:spacing w:after="0"/>
              <w:rPr>
                <w:sz w:val="20"/>
                <w:szCs w:val="20"/>
                <w:color w:val="auto"/>
              </w:rPr>
            </w:pPr>
            <w:r>
              <w:rPr>
                <w:rFonts w:ascii="Arial" w:cs="Arial" w:eastAsia="Arial" w:hAnsi="Arial"/>
                <w:sz w:val="16"/>
                <w:szCs w:val="16"/>
                <w:color w:val="auto"/>
              </w:rPr>
              <w:t>Enterprise Risk Management</w:t>
            </w:r>
          </w:p>
        </w:tc>
        <w:tc>
          <w:tcPr>
            <w:tcW w:w="48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64"/>
        </w:trPr>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Business Operations</w:t>
            </w:r>
          </w:p>
        </w:tc>
        <w:tc>
          <w:tcPr>
            <w:tcW w:w="4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2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Construction Industry</w:t>
            </w:r>
          </w:p>
        </w:tc>
        <w:tc>
          <w:tcPr>
            <w:tcW w:w="48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80"/>
          </w:cols>
          <w:pgMar w:left="1400" w:top="1205" w:right="141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Class II Directors – Terms Expiring in 2027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29210</wp:posOffset>
            </wp:positionV>
            <wp:extent cx="8255" cy="1834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18345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29210</wp:posOffset>
            </wp:positionV>
            <wp:extent cx="1371600" cy="17741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0" cy="17741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466"/>
        </w:trPr>
        <w:tc>
          <w:tcPr>
            <w:tcW w:w="4660" w:type="dxa"/>
            <w:vAlign w:val="bottom"/>
            <w:shd w:val="clear" w:color="auto" w:fill="D9D9D9"/>
          </w:tcPr>
          <w:p>
            <w:pPr>
              <w:ind w:left="2220"/>
              <w:spacing w:after="0"/>
              <w:rPr>
                <w:sz w:val="20"/>
                <w:szCs w:val="20"/>
                <w:color w:val="auto"/>
              </w:rPr>
            </w:pPr>
            <w:r>
              <w:rPr>
                <w:rFonts w:ascii="Arial" w:cs="Arial" w:eastAsia="Arial" w:hAnsi="Arial"/>
                <w:sz w:val="25"/>
                <w:szCs w:val="25"/>
                <w:b w:val="1"/>
                <w:bCs w:val="1"/>
                <w:color w:val="05445E"/>
              </w:rPr>
              <w:t>Herbert K. Parker</w:t>
            </w:r>
          </w:p>
        </w:tc>
        <w:tc>
          <w:tcPr>
            <w:tcW w:w="2220" w:type="dxa"/>
            <w:vAlign w:val="bottom"/>
            <w:gridSpan w:val="2"/>
            <w:shd w:val="clear" w:color="auto" w:fill="D9D9D9"/>
          </w:tcPr>
          <w:p>
            <w:pPr>
              <w:ind w:left="380"/>
              <w:spacing w:after="0"/>
              <w:rPr>
                <w:sz w:val="20"/>
                <w:szCs w:val="20"/>
                <w:color w:val="auto"/>
              </w:rPr>
            </w:pPr>
            <w:r>
              <w:rPr>
                <w:rFonts w:ascii="Arial" w:cs="Arial" w:eastAsia="Arial" w:hAnsi="Arial"/>
                <w:sz w:val="16"/>
                <w:szCs w:val="16"/>
                <w:b w:val="1"/>
                <w:bCs w:val="1"/>
                <w:color w:val="05445E"/>
              </w:rPr>
              <w:t>Apogee Committees:</w:t>
            </w:r>
          </w:p>
        </w:tc>
        <w:tc>
          <w:tcPr>
            <w:tcW w:w="2200" w:type="dxa"/>
            <w:vAlign w:val="bottom"/>
            <w:gridSpan w:val="2"/>
            <w:shd w:val="clear" w:color="auto" w:fill="D9D9D9"/>
          </w:tcPr>
          <w:p>
            <w:pPr>
              <w:ind w:left="180"/>
              <w:spacing w:after="0"/>
              <w:rPr>
                <w:sz w:val="20"/>
                <w:szCs w:val="20"/>
                <w:color w:val="auto"/>
              </w:rPr>
            </w:pPr>
            <w:r>
              <w:rPr>
                <w:rFonts w:ascii="Arial" w:cs="Arial" w:eastAsia="Arial" w:hAnsi="Arial"/>
                <w:sz w:val="16"/>
                <w:szCs w:val="16"/>
                <w:b w:val="1"/>
                <w:bCs w:val="1"/>
                <w:color w:val="05445E"/>
              </w:rPr>
              <w:t>Public Directorships:</w:t>
            </w:r>
          </w:p>
        </w:tc>
        <w:tc>
          <w:tcPr>
            <w:tcW w:w="0" w:type="dxa"/>
            <w:vAlign w:val="bottom"/>
          </w:tcPr>
          <w:p>
            <w:pPr>
              <w:spacing w:after="0"/>
              <w:rPr>
                <w:sz w:val="1"/>
                <w:szCs w:val="1"/>
                <w:color w:val="auto"/>
              </w:rPr>
            </w:pPr>
          </w:p>
        </w:tc>
      </w:tr>
      <w:tr>
        <w:trPr>
          <w:trHeight w:val="189"/>
        </w:trPr>
        <w:tc>
          <w:tcPr>
            <w:tcW w:w="4660" w:type="dxa"/>
            <w:vAlign w:val="bottom"/>
            <w:vMerge w:val="restart"/>
            <w:shd w:val="clear" w:color="auto" w:fill="D9D9D9"/>
          </w:tcPr>
          <w:p>
            <w:pPr>
              <w:ind w:left="2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tc>
        <w:tc>
          <w:tcPr>
            <w:tcW w:w="640" w:type="dxa"/>
            <w:vAlign w:val="bottom"/>
            <w:shd w:val="clear" w:color="auto" w:fill="D9D9D9"/>
          </w:tcPr>
          <w:p>
            <w:pPr>
              <w:ind w:left="5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D9D9D9"/>
          </w:tcPr>
          <w:p>
            <w:pPr>
              <w:ind w:left="40"/>
              <w:spacing w:after="0"/>
              <w:rPr>
                <w:sz w:val="20"/>
                <w:szCs w:val="20"/>
                <w:color w:val="auto"/>
              </w:rPr>
            </w:pPr>
            <w:r>
              <w:rPr>
                <w:rFonts w:ascii="Arial" w:cs="Arial" w:eastAsia="Arial" w:hAnsi="Arial"/>
                <w:sz w:val="16"/>
                <w:szCs w:val="16"/>
                <w:color w:val="auto"/>
              </w:rPr>
              <w:t>Nominating and</w:t>
            </w:r>
          </w:p>
        </w:tc>
        <w:tc>
          <w:tcPr>
            <w:tcW w:w="440" w:type="dxa"/>
            <w:vAlign w:val="bottom"/>
            <w:shd w:val="clear" w:color="auto" w:fill="D9D9D9"/>
          </w:tcPr>
          <w:p>
            <w:pPr>
              <w:ind w:left="340"/>
              <w:spacing w:after="0"/>
              <w:rPr>
                <w:sz w:val="20"/>
                <w:szCs w:val="20"/>
                <w:color w:val="auto"/>
              </w:rPr>
            </w:pPr>
            <w:r>
              <w:rPr>
                <w:rFonts w:ascii="Arial" w:cs="Arial" w:eastAsia="Arial" w:hAnsi="Arial"/>
                <w:sz w:val="16"/>
                <w:szCs w:val="16"/>
                <w:color w:val="auto"/>
              </w:rPr>
              <w:t>•</w:t>
            </w:r>
          </w:p>
        </w:tc>
        <w:tc>
          <w:tcPr>
            <w:tcW w:w="1760" w:type="dxa"/>
            <w:vAlign w:val="bottom"/>
            <w:shd w:val="clear" w:color="auto" w:fill="D9D9D9"/>
          </w:tcPr>
          <w:p>
            <w:pPr>
              <w:ind w:left="60"/>
              <w:spacing w:after="0"/>
              <w:rPr>
                <w:sz w:val="20"/>
                <w:szCs w:val="20"/>
                <w:color w:val="auto"/>
              </w:rPr>
            </w:pPr>
            <w:r>
              <w:rPr>
                <w:rFonts w:ascii="Arial" w:cs="Arial" w:eastAsia="Arial" w:hAnsi="Arial"/>
                <w:sz w:val="16"/>
                <w:szCs w:val="16"/>
                <w:color w:val="auto"/>
              </w:rPr>
              <w:t>TriMas Corporation</w:t>
            </w:r>
          </w:p>
        </w:tc>
        <w:tc>
          <w:tcPr>
            <w:tcW w:w="0" w:type="dxa"/>
            <w:vAlign w:val="bottom"/>
          </w:tcPr>
          <w:p>
            <w:pPr>
              <w:spacing w:after="0"/>
              <w:rPr>
                <w:sz w:val="1"/>
                <w:szCs w:val="1"/>
                <w:color w:val="auto"/>
              </w:rPr>
            </w:pPr>
          </w:p>
        </w:tc>
      </w:tr>
      <w:tr>
        <w:trPr>
          <w:trHeight w:val="189"/>
        </w:trPr>
        <w:tc>
          <w:tcPr>
            <w:tcW w:w="4660" w:type="dxa"/>
            <w:vAlign w:val="bottom"/>
            <w:vMerge w:val="continue"/>
            <w:shd w:val="clear" w:color="auto" w:fill="D9D9D9"/>
          </w:tcPr>
          <w:p>
            <w:pPr>
              <w:spacing w:after="0"/>
              <w:rPr>
                <w:sz w:val="16"/>
                <w:szCs w:val="16"/>
                <w:color w:val="auto"/>
              </w:rPr>
            </w:pPr>
          </w:p>
        </w:tc>
        <w:tc>
          <w:tcPr>
            <w:tcW w:w="640" w:type="dxa"/>
            <w:vAlign w:val="bottom"/>
            <w:shd w:val="clear" w:color="auto" w:fill="D9D9D9"/>
          </w:tcPr>
          <w:p>
            <w:pPr>
              <w:spacing w:after="0"/>
              <w:rPr>
                <w:sz w:val="16"/>
                <w:szCs w:val="16"/>
                <w:color w:val="auto"/>
              </w:rPr>
            </w:pPr>
          </w:p>
        </w:tc>
        <w:tc>
          <w:tcPr>
            <w:tcW w:w="1580" w:type="dxa"/>
            <w:vAlign w:val="bottom"/>
            <w:shd w:val="clear" w:color="auto" w:fill="D9D9D9"/>
          </w:tcPr>
          <w:p>
            <w:pPr>
              <w:ind w:left="60"/>
              <w:spacing w:after="0"/>
              <w:rPr>
                <w:sz w:val="20"/>
                <w:szCs w:val="20"/>
                <w:color w:val="auto"/>
              </w:rPr>
            </w:pPr>
            <w:r>
              <w:rPr>
                <w:rFonts w:ascii="Arial" w:cs="Arial" w:eastAsia="Arial" w:hAnsi="Arial"/>
                <w:sz w:val="16"/>
                <w:szCs w:val="16"/>
                <w:color w:val="auto"/>
              </w:rPr>
              <w:t>Corporate</w:t>
            </w:r>
          </w:p>
        </w:tc>
        <w:tc>
          <w:tcPr>
            <w:tcW w:w="440" w:type="dxa"/>
            <w:vAlign w:val="bottom"/>
            <w:shd w:val="clear" w:color="auto" w:fill="D9D9D9"/>
          </w:tcPr>
          <w:p>
            <w:pPr>
              <w:spacing w:after="0"/>
              <w:rPr>
                <w:sz w:val="16"/>
                <w:szCs w:val="16"/>
                <w:color w:val="auto"/>
              </w:rPr>
            </w:pPr>
          </w:p>
        </w:tc>
        <w:tc>
          <w:tcPr>
            <w:tcW w:w="1760" w:type="dxa"/>
            <w:vAlign w:val="bottom"/>
            <w:shd w:val="clear" w:color="auto" w:fill="D9D9D9"/>
          </w:tcPr>
          <w:p>
            <w:pPr>
              <w:ind w:left="60"/>
              <w:spacing w:after="0"/>
              <w:rPr>
                <w:sz w:val="20"/>
                <w:szCs w:val="20"/>
                <w:color w:val="auto"/>
              </w:rPr>
            </w:pPr>
            <w:r>
              <w:rPr>
                <w:rFonts w:ascii="Arial" w:cs="Arial" w:eastAsia="Arial" w:hAnsi="Arial"/>
                <w:sz w:val="16"/>
                <w:szCs w:val="16"/>
                <w:color w:val="auto"/>
              </w:rPr>
              <w:t>(2015 – Present)</w:t>
            </w:r>
          </w:p>
        </w:tc>
        <w:tc>
          <w:tcPr>
            <w:tcW w:w="0" w:type="dxa"/>
            <w:vAlign w:val="bottom"/>
          </w:tcPr>
          <w:p>
            <w:pPr>
              <w:spacing w:after="0"/>
              <w:rPr>
                <w:sz w:val="1"/>
                <w:szCs w:val="1"/>
                <w:color w:val="auto"/>
              </w:rPr>
            </w:pPr>
          </w:p>
        </w:tc>
      </w:tr>
      <w:tr>
        <w:trPr>
          <w:trHeight w:val="230"/>
        </w:trPr>
        <w:tc>
          <w:tcPr>
            <w:tcW w:w="4660" w:type="dxa"/>
            <w:vAlign w:val="bottom"/>
            <w:shd w:val="clear" w:color="auto" w:fill="D9D9D9"/>
          </w:tcPr>
          <w:p>
            <w:pPr>
              <w:ind w:left="2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tc>
        <w:tc>
          <w:tcPr>
            <w:tcW w:w="640" w:type="dxa"/>
            <w:vAlign w:val="bottom"/>
            <w:vMerge w:val="restart"/>
            <w:shd w:val="clear" w:color="auto" w:fill="D9D9D9"/>
          </w:tcPr>
          <w:p>
            <w:pPr>
              <w:ind w:left="5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D9D9D9"/>
          </w:tcPr>
          <w:p>
            <w:pPr>
              <w:ind w:left="60"/>
              <w:spacing w:after="0"/>
              <w:rPr>
                <w:sz w:val="20"/>
                <w:szCs w:val="20"/>
                <w:color w:val="auto"/>
              </w:rPr>
            </w:pPr>
            <w:r>
              <w:rPr>
                <w:rFonts w:ascii="Arial" w:cs="Arial" w:eastAsia="Arial" w:hAnsi="Arial"/>
                <w:sz w:val="16"/>
                <w:szCs w:val="16"/>
                <w:color w:val="auto"/>
              </w:rPr>
              <w:t>Governance, Chair</w:t>
            </w:r>
          </w:p>
        </w:tc>
        <w:tc>
          <w:tcPr>
            <w:tcW w:w="440" w:type="dxa"/>
            <w:vAlign w:val="bottom"/>
            <w:shd w:val="clear" w:color="auto" w:fill="D9D9D9"/>
          </w:tcPr>
          <w:p>
            <w:pPr>
              <w:ind w:left="340"/>
              <w:spacing w:after="0"/>
              <w:rPr>
                <w:sz w:val="20"/>
                <w:szCs w:val="20"/>
                <w:color w:val="auto"/>
              </w:rPr>
            </w:pPr>
            <w:r>
              <w:rPr>
                <w:rFonts w:ascii="Arial" w:cs="Arial" w:eastAsia="Arial" w:hAnsi="Arial"/>
                <w:sz w:val="16"/>
                <w:szCs w:val="16"/>
                <w:color w:val="auto"/>
              </w:rPr>
              <w:t>•</w:t>
            </w:r>
          </w:p>
        </w:tc>
        <w:tc>
          <w:tcPr>
            <w:tcW w:w="1760" w:type="dxa"/>
            <w:vAlign w:val="bottom"/>
            <w:shd w:val="clear" w:color="auto" w:fill="D9D9D9"/>
          </w:tcPr>
          <w:p>
            <w:pPr>
              <w:ind w:left="60"/>
              <w:spacing w:after="0"/>
              <w:rPr>
                <w:sz w:val="20"/>
                <w:szCs w:val="20"/>
                <w:color w:val="auto"/>
              </w:rPr>
            </w:pPr>
            <w:r>
              <w:rPr>
                <w:rFonts w:ascii="Arial" w:cs="Arial" w:eastAsia="Arial" w:hAnsi="Arial"/>
                <w:sz w:val="16"/>
                <w:szCs w:val="16"/>
                <w:color w:val="auto"/>
              </w:rPr>
              <w:t>nVent Electric PLC</w:t>
            </w:r>
          </w:p>
        </w:tc>
        <w:tc>
          <w:tcPr>
            <w:tcW w:w="0" w:type="dxa"/>
            <w:vAlign w:val="bottom"/>
          </w:tcPr>
          <w:p>
            <w:pPr>
              <w:spacing w:after="0"/>
              <w:rPr>
                <w:sz w:val="1"/>
                <w:szCs w:val="1"/>
                <w:color w:val="auto"/>
              </w:rPr>
            </w:pPr>
          </w:p>
        </w:tc>
      </w:tr>
      <w:tr>
        <w:trPr>
          <w:trHeight w:val="215"/>
        </w:trPr>
        <w:tc>
          <w:tcPr>
            <w:tcW w:w="4660" w:type="dxa"/>
            <w:vAlign w:val="bottom"/>
            <w:vMerge w:val="restart"/>
            <w:shd w:val="clear" w:color="auto" w:fill="D9D9D9"/>
          </w:tcPr>
          <w:p>
            <w:pPr>
              <w:ind w:left="2220"/>
              <w:spacing w:after="0"/>
              <w:rPr>
                <w:sz w:val="20"/>
                <w:szCs w:val="20"/>
                <w:color w:val="auto"/>
              </w:rPr>
            </w:pPr>
            <w:r>
              <w:rPr>
                <w:rFonts w:ascii="Arial" w:cs="Arial" w:eastAsia="Arial" w:hAnsi="Arial"/>
                <w:sz w:val="16"/>
                <w:szCs w:val="16"/>
                <w:b w:val="1"/>
                <w:bCs w:val="1"/>
                <w:color w:val="auto"/>
              </w:rPr>
              <w:t>Independent</w:t>
            </w:r>
          </w:p>
        </w:tc>
        <w:tc>
          <w:tcPr>
            <w:tcW w:w="640" w:type="dxa"/>
            <w:vAlign w:val="bottom"/>
            <w:vMerge w:val="continue"/>
            <w:shd w:val="clear" w:color="auto" w:fill="D9D9D9"/>
          </w:tcPr>
          <w:p>
            <w:pPr>
              <w:spacing w:after="0"/>
              <w:rPr>
                <w:sz w:val="18"/>
                <w:szCs w:val="18"/>
                <w:color w:val="auto"/>
              </w:rPr>
            </w:pPr>
          </w:p>
        </w:tc>
        <w:tc>
          <w:tcPr>
            <w:tcW w:w="1580" w:type="dxa"/>
            <w:vAlign w:val="bottom"/>
            <w:shd w:val="clear" w:color="auto" w:fill="D9D9D9"/>
          </w:tcPr>
          <w:p>
            <w:pPr>
              <w:ind w:left="40"/>
              <w:spacing w:after="0"/>
              <w:rPr>
                <w:sz w:val="20"/>
                <w:szCs w:val="20"/>
                <w:color w:val="auto"/>
              </w:rPr>
            </w:pPr>
            <w:r>
              <w:rPr>
                <w:rFonts w:ascii="Arial" w:cs="Arial" w:eastAsia="Arial" w:hAnsi="Arial"/>
                <w:sz w:val="16"/>
                <w:szCs w:val="16"/>
                <w:color w:val="auto"/>
              </w:rPr>
              <w:t>Compensation</w:t>
            </w:r>
          </w:p>
        </w:tc>
        <w:tc>
          <w:tcPr>
            <w:tcW w:w="440" w:type="dxa"/>
            <w:vAlign w:val="bottom"/>
            <w:shd w:val="clear" w:color="auto" w:fill="D9D9D9"/>
          </w:tcPr>
          <w:p>
            <w:pPr>
              <w:spacing w:after="0"/>
              <w:rPr>
                <w:sz w:val="18"/>
                <w:szCs w:val="18"/>
                <w:color w:val="auto"/>
              </w:rPr>
            </w:pPr>
          </w:p>
        </w:tc>
        <w:tc>
          <w:tcPr>
            <w:tcW w:w="1760" w:type="dxa"/>
            <w:vAlign w:val="bottom"/>
            <w:shd w:val="clear" w:color="auto" w:fill="D9D9D9"/>
          </w:tcPr>
          <w:p>
            <w:pPr>
              <w:ind w:left="60"/>
              <w:spacing w:after="0"/>
              <w:rPr>
                <w:sz w:val="20"/>
                <w:szCs w:val="20"/>
                <w:color w:val="auto"/>
              </w:rPr>
            </w:pPr>
            <w:r>
              <w:rPr>
                <w:rFonts w:ascii="Arial" w:cs="Arial" w:eastAsia="Arial" w:hAnsi="Arial"/>
                <w:sz w:val="16"/>
                <w:szCs w:val="16"/>
                <w:color w:val="auto"/>
              </w:rPr>
              <w:t>(2018 – Present)</w:t>
            </w:r>
          </w:p>
        </w:tc>
        <w:tc>
          <w:tcPr>
            <w:tcW w:w="0" w:type="dxa"/>
            <w:vAlign w:val="bottom"/>
          </w:tcPr>
          <w:p>
            <w:pPr>
              <w:spacing w:after="0"/>
              <w:rPr>
                <w:sz w:val="1"/>
                <w:szCs w:val="1"/>
                <w:color w:val="auto"/>
              </w:rPr>
            </w:pPr>
          </w:p>
        </w:tc>
      </w:tr>
      <w:tr>
        <w:trPr>
          <w:trHeight w:val="102"/>
        </w:trPr>
        <w:tc>
          <w:tcPr>
            <w:tcW w:w="4660" w:type="dxa"/>
            <w:vAlign w:val="bottom"/>
            <w:vMerge w:val="continue"/>
            <w:shd w:val="clear" w:color="auto" w:fill="D9D9D9"/>
          </w:tcPr>
          <w:p>
            <w:pPr>
              <w:spacing w:after="0"/>
              <w:rPr>
                <w:sz w:val="8"/>
                <w:szCs w:val="8"/>
                <w:color w:val="auto"/>
              </w:rPr>
            </w:pPr>
          </w:p>
        </w:tc>
        <w:tc>
          <w:tcPr>
            <w:tcW w:w="640" w:type="dxa"/>
            <w:vAlign w:val="bottom"/>
            <w:shd w:val="clear" w:color="auto" w:fill="D9D9D9"/>
          </w:tcPr>
          <w:p>
            <w:pPr>
              <w:spacing w:after="0"/>
              <w:rPr>
                <w:sz w:val="8"/>
                <w:szCs w:val="8"/>
                <w:color w:val="auto"/>
              </w:rPr>
            </w:pPr>
          </w:p>
        </w:tc>
        <w:tc>
          <w:tcPr>
            <w:tcW w:w="1580" w:type="dxa"/>
            <w:vAlign w:val="bottom"/>
            <w:shd w:val="clear" w:color="auto" w:fill="D9D9D9"/>
          </w:tcPr>
          <w:p>
            <w:pPr>
              <w:spacing w:after="0"/>
              <w:rPr>
                <w:sz w:val="8"/>
                <w:szCs w:val="8"/>
                <w:color w:val="auto"/>
              </w:rPr>
            </w:pPr>
          </w:p>
        </w:tc>
        <w:tc>
          <w:tcPr>
            <w:tcW w:w="440" w:type="dxa"/>
            <w:vAlign w:val="bottom"/>
            <w:vMerge w:val="restart"/>
            <w:shd w:val="clear" w:color="auto" w:fill="D9D9D9"/>
          </w:tcPr>
          <w:p>
            <w:pPr>
              <w:ind w:left="340"/>
              <w:spacing w:after="0"/>
              <w:rPr>
                <w:sz w:val="20"/>
                <w:szCs w:val="20"/>
                <w:color w:val="auto"/>
              </w:rPr>
            </w:pPr>
            <w:r>
              <w:rPr>
                <w:rFonts w:ascii="Arial" w:cs="Arial" w:eastAsia="Arial" w:hAnsi="Arial"/>
                <w:sz w:val="16"/>
                <w:szCs w:val="16"/>
                <w:color w:val="auto"/>
              </w:rPr>
              <w:t>•</w:t>
            </w:r>
          </w:p>
        </w:tc>
        <w:tc>
          <w:tcPr>
            <w:tcW w:w="1760" w:type="dxa"/>
            <w:vAlign w:val="bottom"/>
            <w:vMerge w:val="restart"/>
            <w:shd w:val="clear" w:color="auto" w:fill="D9D9D9"/>
          </w:tcPr>
          <w:p>
            <w:pPr>
              <w:ind w:left="60"/>
              <w:spacing w:after="0"/>
              <w:rPr>
                <w:sz w:val="20"/>
                <w:szCs w:val="20"/>
                <w:color w:val="auto"/>
              </w:rPr>
            </w:pPr>
            <w:r>
              <w:rPr>
                <w:rFonts w:ascii="Arial" w:cs="Arial" w:eastAsia="Arial" w:hAnsi="Arial"/>
                <w:sz w:val="16"/>
                <w:szCs w:val="16"/>
                <w:color w:val="auto"/>
              </w:rPr>
              <w:t>American Axle &amp;</w:t>
            </w:r>
          </w:p>
        </w:tc>
        <w:tc>
          <w:tcPr>
            <w:tcW w:w="0" w:type="dxa"/>
            <w:vAlign w:val="bottom"/>
          </w:tcPr>
          <w:p>
            <w:pPr>
              <w:spacing w:after="0"/>
              <w:rPr>
                <w:sz w:val="1"/>
                <w:szCs w:val="1"/>
                <w:color w:val="auto"/>
              </w:rPr>
            </w:pPr>
          </w:p>
        </w:tc>
      </w:tr>
      <w:tr>
        <w:trPr>
          <w:trHeight w:val="115"/>
        </w:trPr>
        <w:tc>
          <w:tcPr>
            <w:tcW w:w="4660" w:type="dxa"/>
            <w:vAlign w:val="bottom"/>
            <w:shd w:val="clear" w:color="auto" w:fill="D9D9D9"/>
          </w:tcPr>
          <w:p>
            <w:pPr>
              <w:spacing w:after="0"/>
              <w:rPr>
                <w:sz w:val="9"/>
                <w:szCs w:val="9"/>
                <w:color w:val="auto"/>
              </w:rPr>
            </w:pPr>
          </w:p>
        </w:tc>
        <w:tc>
          <w:tcPr>
            <w:tcW w:w="640" w:type="dxa"/>
            <w:vAlign w:val="bottom"/>
            <w:shd w:val="clear" w:color="auto" w:fill="D9D9D9"/>
          </w:tcPr>
          <w:p>
            <w:pPr>
              <w:spacing w:after="0"/>
              <w:rPr>
                <w:sz w:val="9"/>
                <w:szCs w:val="9"/>
                <w:color w:val="auto"/>
              </w:rPr>
            </w:pPr>
          </w:p>
        </w:tc>
        <w:tc>
          <w:tcPr>
            <w:tcW w:w="1580" w:type="dxa"/>
            <w:vAlign w:val="bottom"/>
            <w:shd w:val="clear" w:color="auto" w:fill="D9D9D9"/>
          </w:tcPr>
          <w:p>
            <w:pPr>
              <w:spacing w:after="0"/>
              <w:rPr>
                <w:sz w:val="9"/>
                <w:szCs w:val="9"/>
                <w:color w:val="auto"/>
              </w:rPr>
            </w:pPr>
          </w:p>
        </w:tc>
        <w:tc>
          <w:tcPr>
            <w:tcW w:w="440" w:type="dxa"/>
            <w:vAlign w:val="bottom"/>
            <w:vMerge w:val="continue"/>
            <w:shd w:val="clear" w:color="auto" w:fill="D9D9D9"/>
          </w:tcPr>
          <w:p>
            <w:pPr>
              <w:spacing w:after="0"/>
              <w:rPr>
                <w:sz w:val="9"/>
                <w:szCs w:val="9"/>
                <w:color w:val="auto"/>
              </w:rPr>
            </w:pPr>
          </w:p>
        </w:tc>
        <w:tc>
          <w:tcPr>
            <w:tcW w:w="1760" w:type="dxa"/>
            <w:vAlign w:val="bottom"/>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D9D9D9"/>
          </w:tcPr>
          <w:p>
            <w:pPr>
              <w:spacing w:after="0"/>
              <w:rPr>
                <w:sz w:val="16"/>
                <w:szCs w:val="16"/>
                <w:color w:val="auto"/>
              </w:rPr>
            </w:pPr>
          </w:p>
        </w:tc>
        <w:tc>
          <w:tcPr>
            <w:tcW w:w="640" w:type="dxa"/>
            <w:vAlign w:val="bottom"/>
            <w:shd w:val="clear" w:color="auto" w:fill="D9D9D9"/>
          </w:tcPr>
          <w:p>
            <w:pPr>
              <w:spacing w:after="0"/>
              <w:rPr>
                <w:sz w:val="16"/>
                <w:szCs w:val="16"/>
                <w:color w:val="auto"/>
              </w:rPr>
            </w:pPr>
          </w:p>
        </w:tc>
        <w:tc>
          <w:tcPr>
            <w:tcW w:w="1580" w:type="dxa"/>
            <w:vAlign w:val="bottom"/>
            <w:shd w:val="clear" w:color="auto" w:fill="D9D9D9"/>
          </w:tcPr>
          <w:p>
            <w:pPr>
              <w:spacing w:after="0"/>
              <w:rPr>
                <w:sz w:val="16"/>
                <w:szCs w:val="16"/>
                <w:color w:val="auto"/>
              </w:rPr>
            </w:pPr>
          </w:p>
        </w:tc>
        <w:tc>
          <w:tcPr>
            <w:tcW w:w="440" w:type="dxa"/>
            <w:vAlign w:val="bottom"/>
            <w:shd w:val="clear" w:color="auto" w:fill="D9D9D9"/>
          </w:tcPr>
          <w:p>
            <w:pPr>
              <w:spacing w:after="0"/>
              <w:rPr>
                <w:sz w:val="16"/>
                <w:szCs w:val="16"/>
                <w:color w:val="auto"/>
              </w:rPr>
            </w:pPr>
          </w:p>
        </w:tc>
        <w:tc>
          <w:tcPr>
            <w:tcW w:w="1760" w:type="dxa"/>
            <w:vAlign w:val="bottom"/>
            <w:shd w:val="clear" w:color="auto" w:fill="D9D9D9"/>
          </w:tcPr>
          <w:p>
            <w:pPr>
              <w:ind w:left="60"/>
              <w:spacing w:after="0"/>
              <w:rPr>
                <w:sz w:val="20"/>
                <w:szCs w:val="20"/>
                <w:color w:val="auto"/>
              </w:rPr>
            </w:pPr>
            <w:r>
              <w:rPr>
                <w:rFonts w:ascii="Arial" w:cs="Arial" w:eastAsia="Arial" w:hAnsi="Arial"/>
                <w:sz w:val="16"/>
                <w:szCs w:val="16"/>
                <w:color w:val="auto"/>
              </w:rPr>
              <w:t>Manufacturing</w:t>
            </w:r>
          </w:p>
        </w:tc>
        <w:tc>
          <w:tcPr>
            <w:tcW w:w="0" w:type="dxa"/>
            <w:vAlign w:val="bottom"/>
          </w:tcPr>
          <w:p>
            <w:pPr>
              <w:spacing w:after="0"/>
              <w:rPr>
                <w:sz w:val="1"/>
                <w:szCs w:val="1"/>
                <w:color w:val="auto"/>
              </w:rPr>
            </w:pPr>
          </w:p>
        </w:tc>
      </w:tr>
      <w:tr>
        <w:trPr>
          <w:trHeight w:val="203"/>
        </w:trPr>
        <w:tc>
          <w:tcPr>
            <w:tcW w:w="4660" w:type="dxa"/>
            <w:vAlign w:val="bottom"/>
            <w:shd w:val="clear" w:color="auto" w:fill="D9D9D9"/>
          </w:tcPr>
          <w:p>
            <w:pPr>
              <w:spacing w:after="0"/>
              <w:rPr>
                <w:sz w:val="17"/>
                <w:szCs w:val="17"/>
                <w:color w:val="auto"/>
              </w:rPr>
            </w:pPr>
          </w:p>
        </w:tc>
        <w:tc>
          <w:tcPr>
            <w:tcW w:w="640" w:type="dxa"/>
            <w:vAlign w:val="bottom"/>
            <w:shd w:val="clear" w:color="auto" w:fill="D9D9D9"/>
          </w:tcPr>
          <w:p>
            <w:pPr>
              <w:spacing w:after="0"/>
              <w:rPr>
                <w:sz w:val="17"/>
                <w:szCs w:val="17"/>
                <w:color w:val="auto"/>
              </w:rPr>
            </w:pPr>
          </w:p>
        </w:tc>
        <w:tc>
          <w:tcPr>
            <w:tcW w:w="1580" w:type="dxa"/>
            <w:vAlign w:val="bottom"/>
            <w:shd w:val="clear" w:color="auto" w:fill="D9D9D9"/>
          </w:tcPr>
          <w:p>
            <w:pPr>
              <w:spacing w:after="0"/>
              <w:rPr>
                <w:sz w:val="17"/>
                <w:szCs w:val="17"/>
                <w:color w:val="auto"/>
              </w:rPr>
            </w:pPr>
          </w:p>
        </w:tc>
        <w:tc>
          <w:tcPr>
            <w:tcW w:w="440" w:type="dxa"/>
            <w:vAlign w:val="bottom"/>
            <w:shd w:val="clear" w:color="auto" w:fill="D9D9D9"/>
          </w:tcPr>
          <w:p>
            <w:pPr>
              <w:spacing w:after="0"/>
              <w:rPr>
                <w:sz w:val="17"/>
                <w:szCs w:val="17"/>
                <w:color w:val="auto"/>
              </w:rPr>
            </w:pPr>
          </w:p>
        </w:tc>
        <w:tc>
          <w:tcPr>
            <w:tcW w:w="1760" w:type="dxa"/>
            <w:vAlign w:val="bottom"/>
            <w:shd w:val="clear" w:color="auto" w:fill="D9D9D9"/>
          </w:tcPr>
          <w:p>
            <w:pPr>
              <w:ind w:left="60"/>
              <w:spacing w:after="0"/>
              <w:rPr>
                <w:sz w:val="20"/>
                <w:szCs w:val="20"/>
                <w:color w:val="auto"/>
              </w:rPr>
            </w:pPr>
            <w:r>
              <w:rPr>
                <w:rFonts w:ascii="Arial" w:cs="Arial" w:eastAsia="Arial" w:hAnsi="Arial"/>
                <w:sz w:val="16"/>
                <w:szCs w:val="16"/>
                <w:color w:val="auto"/>
              </w:rPr>
              <w:t>Holdings, Inc.</w:t>
            </w:r>
          </w:p>
        </w:tc>
        <w:tc>
          <w:tcPr>
            <w:tcW w:w="0" w:type="dxa"/>
            <w:vAlign w:val="bottom"/>
          </w:tcPr>
          <w:p>
            <w:pPr>
              <w:spacing w:after="0"/>
              <w:rPr>
                <w:sz w:val="1"/>
                <w:szCs w:val="1"/>
                <w:color w:val="auto"/>
              </w:rPr>
            </w:pPr>
          </w:p>
        </w:tc>
      </w:tr>
      <w:tr>
        <w:trPr>
          <w:trHeight w:val="215"/>
        </w:trPr>
        <w:tc>
          <w:tcPr>
            <w:tcW w:w="4660" w:type="dxa"/>
            <w:vAlign w:val="bottom"/>
            <w:shd w:val="clear" w:color="auto" w:fill="D9D9D9"/>
          </w:tcPr>
          <w:p>
            <w:pPr>
              <w:spacing w:after="0"/>
              <w:rPr>
                <w:sz w:val="18"/>
                <w:szCs w:val="18"/>
                <w:color w:val="auto"/>
              </w:rPr>
            </w:pPr>
          </w:p>
        </w:tc>
        <w:tc>
          <w:tcPr>
            <w:tcW w:w="640" w:type="dxa"/>
            <w:vAlign w:val="bottom"/>
            <w:shd w:val="clear" w:color="auto" w:fill="D9D9D9"/>
          </w:tcPr>
          <w:p>
            <w:pPr>
              <w:spacing w:after="0"/>
              <w:rPr>
                <w:sz w:val="18"/>
                <w:szCs w:val="18"/>
                <w:color w:val="auto"/>
              </w:rPr>
            </w:pPr>
          </w:p>
        </w:tc>
        <w:tc>
          <w:tcPr>
            <w:tcW w:w="1580" w:type="dxa"/>
            <w:vAlign w:val="bottom"/>
            <w:shd w:val="clear" w:color="auto" w:fill="D9D9D9"/>
          </w:tcPr>
          <w:p>
            <w:pPr>
              <w:spacing w:after="0"/>
              <w:rPr>
                <w:sz w:val="18"/>
                <w:szCs w:val="18"/>
                <w:color w:val="auto"/>
              </w:rPr>
            </w:pPr>
          </w:p>
        </w:tc>
        <w:tc>
          <w:tcPr>
            <w:tcW w:w="440" w:type="dxa"/>
            <w:vAlign w:val="bottom"/>
            <w:shd w:val="clear" w:color="auto" w:fill="D9D9D9"/>
          </w:tcPr>
          <w:p>
            <w:pPr>
              <w:spacing w:after="0"/>
              <w:rPr>
                <w:sz w:val="18"/>
                <w:szCs w:val="18"/>
                <w:color w:val="auto"/>
              </w:rPr>
            </w:pPr>
          </w:p>
        </w:tc>
        <w:tc>
          <w:tcPr>
            <w:tcW w:w="1760" w:type="dxa"/>
            <w:vAlign w:val="bottom"/>
            <w:shd w:val="clear" w:color="auto" w:fill="D9D9D9"/>
          </w:tcPr>
          <w:p>
            <w:pPr>
              <w:ind w:left="60"/>
              <w:spacing w:after="0"/>
              <w:rPr>
                <w:sz w:val="20"/>
                <w:szCs w:val="20"/>
                <w:color w:val="auto"/>
              </w:rPr>
            </w:pPr>
            <w:r>
              <w:rPr>
                <w:rFonts w:ascii="Arial" w:cs="Arial" w:eastAsia="Arial" w:hAnsi="Arial"/>
                <w:sz w:val="16"/>
                <w:szCs w:val="16"/>
                <w:color w:val="auto"/>
              </w:rPr>
              <w:t>(2018 – Present)</w:t>
            </w:r>
          </w:p>
        </w:tc>
        <w:tc>
          <w:tcPr>
            <w:tcW w:w="0" w:type="dxa"/>
            <w:vAlign w:val="bottom"/>
          </w:tcPr>
          <w:p>
            <w:pPr>
              <w:spacing w:after="0"/>
              <w:rPr>
                <w:sz w:val="1"/>
                <w:szCs w:val="1"/>
                <w:color w:val="auto"/>
              </w:rPr>
            </w:pPr>
          </w:p>
        </w:tc>
      </w:tr>
      <w:tr>
        <w:trPr>
          <w:trHeight w:val="758"/>
        </w:trPr>
        <w:tc>
          <w:tcPr>
            <w:tcW w:w="4660" w:type="dxa"/>
            <w:vAlign w:val="bottom"/>
            <w:shd w:val="clear" w:color="auto" w:fill="D9D9D9"/>
          </w:tcPr>
          <w:p>
            <w:pPr>
              <w:spacing w:after="0"/>
              <w:rPr>
                <w:sz w:val="24"/>
                <w:szCs w:val="24"/>
                <w:color w:val="auto"/>
              </w:rPr>
            </w:pPr>
          </w:p>
        </w:tc>
        <w:tc>
          <w:tcPr>
            <w:tcW w:w="640" w:type="dxa"/>
            <w:vAlign w:val="bottom"/>
            <w:shd w:val="clear" w:color="auto" w:fill="D9D9D9"/>
          </w:tcPr>
          <w:p>
            <w:pPr>
              <w:spacing w:after="0"/>
              <w:rPr>
                <w:sz w:val="24"/>
                <w:szCs w:val="24"/>
                <w:color w:val="auto"/>
              </w:rPr>
            </w:pPr>
          </w:p>
        </w:tc>
        <w:tc>
          <w:tcPr>
            <w:tcW w:w="1580" w:type="dxa"/>
            <w:vAlign w:val="bottom"/>
            <w:shd w:val="clear" w:color="auto" w:fill="D9D9D9"/>
          </w:tcPr>
          <w:p>
            <w:pPr>
              <w:spacing w:after="0"/>
              <w:rPr>
                <w:sz w:val="24"/>
                <w:szCs w:val="24"/>
                <w:color w:val="auto"/>
              </w:rPr>
            </w:pPr>
          </w:p>
        </w:tc>
        <w:tc>
          <w:tcPr>
            <w:tcW w:w="440" w:type="dxa"/>
            <w:vAlign w:val="bottom"/>
            <w:shd w:val="clear" w:color="auto" w:fill="D9D9D9"/>
          </w:tcPr>
          <w:p>
            <w:pPr>
              <w:spacing w:after="0"/>
              <w:rPr>
                <w:sz w:val="24"/>
                <w:szCs w:val="24"/>
                <w:color w:val="auto"/>
              </w:rPr>
            </w:pPr>
          </w:p>
        </w:tc>
        <w:tc>
          <w:tcPr>
            <w:tcW w:w="176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16"/>
          <w:szCs w:val="16"/>
          <w:b w:val="1"/>
          <w:bCs w:val="1"/>
          <w:color w:val="05445E"/>
        </w:rPr>
        <w:t xml:space="preserve">Mr. Parker </w:t>
      </w:r>
      <w:r>
        <w:rPr>
          <w:rFonts w:ascii="Arial" w:cs="Arial" w:eastAsia="Arial" w:hAnsi="Arial"/>
          <w:sz w:val="16"/>
          <w:szCs w:val="16"/>
          <w:color w:val="000000"/>
        </w:rPr>
        <w:t>is the retired Executive Vice President - Operational Excellence of Harman International Industries, Inc., a</w:t>
      </w:r>
      <w:r>
        <w:rPr>
          <w:rFonts w:ascii="Arial" w:cs="Arial" w:eastAsia="Arial" w:hAnsi="Arial"/>
          <w:sz w:val="16"/>
          <w:szCs w:val="16"/>
          <w:b w:val="1"/>
          <w:bCs w:val="1"/>
          <w:color w:val="05445E"/>
        </w:rPr>
        <w:t xml:space="preserve"> </w:t>
      </w:r>
      <w:r>
        <w:rPr>
          <w:rFonts w:ascii="Arial" w:cs="Arial" w:eastAsia="Arial" w:hAnsi="Arial"/>
          <w:sz w:val="16"/>
          <w:szCs w:val="16"/>
          <w:color w:val="000000"/>
        </w:rPr>
        <w:t>worldwide leader in the development, manufacture, and marketing of high quality, high-fidelity audio products, lighting solutions, and electronic systems. He joined Harman International in June 2008 as Executive Vice President and Chief Financial Officer and served in that capacity to 2015. He served as Executive Vice President - Operational Excellence from 2015 to 2017. Prior to joining Harman International Industries, Inc., Mr. Parker served in various senior financial positions with ABB Ltd. (known as ABB Group), a global power and technology company, from 1980 to 2006, including as the Chief Financial Officer of the Global Automation Division from 2002 to 2005 and the Americas Region from 2006 to 2008.</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0" w:type="dxa"/>
            <w:vAlign w:val="bottom"/>
            <w:gridSpan w:val="2"/>
          </w:tcPr>
          <w:p>
            <w:pPr>
              <w:ind w:left="20"/>
              <w:spacing w:after="0"/>
              <w:rPr>
                <w:sz w:val="20"/>
                <w:szCs w:val="20"/>
                <w:color w:val="auto"/>
              </w:rPr>
            </w:pPr>
            <w:r>
              <w:rPr>
                <w:rFonts w:ascii="Arial" w:cs="Arial" w:eastAsia="Arial" w:hAnsi="Arial"/>
                <w:sz w:val="16"/>
                <w:szCs w:val="16"/>
                <w:b w:val="1"/>
                <w:bCs w:val="1"/>
                <w:color w:val="05445E"/>
              </w:rPr>
              <w:t>Skills &amp; Qualifications:</w:t>
            </w:r>
          </w:p>
        </w:tc>
        <w:tc>
          <w:tcPr>
            <w:tcW w:w="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00" w:type="dxa"/>
            <w:vAlign w:val="bottom"/>
          </w:tcPr>
          <w:p>
            <w:pPr>
              <w:ind w:left="40"/>
              <w:spacing w:after="0"/>
              <w:rPr>
                <w:sz w:val="20"/>
                <w:szCs w:val="20"/>
                <w:color w:val="auto"/>
              </w:rPr>
            </w:pPr>
            <w:r>
              <w:rPr>
                <w:rFonts w:ascii="Arial" w:cs="Arial" w:eastAsia="Arial" w:hAnsi="Arial"/>
                <w:sz w:val="16"/>
                <w:szCs w:val="16"/>
                <w:color w:val="auto"/>
              </w:rPr>
              <w:t>Executive Leadership</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320" w:type="dxa"/>
            <w:vAlign w:val="bottom"/>
          </w:tcPr>
          <w:p>
            <w:pPr>
              <w:ind w:left="40"/>
              <w:spacing w:after="0"/>
              <w:rPr>
                <w:sz w:val="20"/>
                <w:szCs w:val="20"/>
                <w:color w:val="auto"/>
              </w:rPr>
            </w:pPr>
            <w:r>
              <w:rPr>
                <w:rFonts w:ascii="Arial" w:cs="Arial" w:eastAsia="Arial" w:hAnsi="Arial"/>
                <w:sz w:val="16"/>
                <w:szCs w:val="16"/>
                <w:color w:val="auto"/>
              </w:rPr>
              <w:t>Property and Asset Acquisition</w:t>
            </w:r>
          </w:p>
        </w:tc>
        <w:tc>
          <w:tcPr>
            <w:tcW w:w="660" w:type="dxa"/>
            <w:vAlign w:val="bottom"/>
          </w:tcPr>
          <w:p>
            <w:pPr>
              <w:ind w:left="520"/>
              <w:spacing w:after="0"/>
              <w:rPr>
                <w:sz w:val="20"/>
                <w:szCs w:val="20"/>
                <w:color w:val="auto"/>
              </w:rPr>
            </w:pPr>
            <w:r>
              <w:rPr>
                <w:rFonts w:ascii="Arial" w:cs="Arial" w:eastAsia="Arial" w:hAnsi="Arial"/>
                <w:sz w:val="16"/>
                <w:szCs w:val="16"/>
                <w:color w:val="auto"/>
              </w:rPr>
              <w:t>•</w:t>
            </w:r>
          </w:p>
        </w:tc>
        <w:tc>
          <w:tcPr>
            <w:tcW w:w="3440" w:type="dxa"/>
            <w:vAlign w:val="bottom"/>
            <w:gridSpan w:val="2"/>
          </w:tcPr>
          <w:p>
            <w:pPr>
              <w:ind w:left="20"/>
              <w:spacing w:after="0"/>
              <w:rPr>
                <w:sz w:val="20"/>
                <w:szCs w:val="20"/>
                <w:color w:val="auto"/>
              </w:rPr>
            </w:pPr>
            <w:r>
              <w:rPr>
                <w:rFonts w:ascii="Arial" w:cs="Arial" w:eastAsia="Arial" w:hAnsi="Arial"/>
                <w:sz w:val="16"/>
                <w:szCs w:val="16"/>
                <w:color w:val="auto"/>
              </w:rPr>
              <w:t>Sarbanes-Oxley Compliance</w:t>
            </w:r>
          </w:p>
        </w:tc>
        <w:tc>
          <w:tcPr>
            <w:tcW w:w="0" w:type="dxa"/>
            <w:vAlign w:val="bottom"/>
          </w:tcPr>
          <w:p>
            <w:pPr>
              <w:spacing w:after="0"/>
              <w:rPr>
                <w:sz w:val="1"/>
                <w:szCs w:val="1"/>
                <w:color w:val="auto"/>
              </w:rPr>
            </w:pPr>
          </w:p>
        </w:tc>
      </w:tr>
      <w:tr>
        <w:trPr>
          <w:trHeight w:val="230"/>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00" w:type="dxa"/>
            <w:vAlign w:val="bottom"/>
          </w:tcPr>
          <w:p>
            <w:pPr>
              <w:ind w:left="40"/>
              <w:spacing w:after="0"/>
              <w:rPr>
                <w:sz w:val="20"/>
                <w:szCs w:val="20"/>
                <w:color w:val="auto"/>
              </w:rPr>
            </w:pPr>
            <w:r>
              <w:rPr>
                <w:rFonts w:ascii="Arial" w:cs="Arial" w:eastAsia="Arial" w:hAnsi="Arial"/>
                <w:sz w:val="16"/>
                <w:szCs w:val="16"/>
                <w:color w:val="auto"/>
              </w:rPr>
              <w:t>Accounting and Audit</w:t>
            </w:r>
          </w:p>
        </w:tc>
        <w:tc>
          <w:tcPr>
            <w:tcW w:w="460" w:type="dxa"/>
            <w:vAlign w:val="bottom"/>
          </w:tcPr>
          <w:p>
            <w:pPr>
              <w:spacing w:after="0"/>
              <w:rPr>
                <w:sz w:val="19"/>
                <w:szCs w:val="19"/>
                <w:color w:val="auto"/>
              </w:rPr>
            </w:pPr>
          </w:p>
        </w:tc>
        <w:tc>
          <w:tcPr>
            <w:tcW w:w="2320" w:type="dxa"/>
            <w:vAlign w:val="bottom"/>
          </w:tcPr>
          <w:p>
            <w:pPr>
              <w:ind w:left="60"/>
              <w:spacing w:after="0"/>
              <w:rPr>
                <w:sz w:val="20"/>
                <w:szCs w:val="20"/>
                <w:color w:val="auto"/>
              </w:rPr>
            </w:pPr>
            <w:r>
              <w:rPr>
                <w:rFonts w:ascii="Arial" w:cs="Arial" w:eastAsia="Arial" w:hAnsi="Arial"/>
                <w:sz w:val="16"/>
                <w:szCs w:val="16"/>
                <w:color w:val="auto"/>
              </w:rPr>
              <w:t>and Management</w:t>
            </w:r>
          </w:p>
        </w:tc>
        <w:tc>
          <w:tcPr>
            <w:tcW w:w="660" w:type="dxa"/>
            <w:vAlign w:val="bottom"/>
          </w:tcPr>
          <w:p>
            <w:pPr>
              <w:ind w:left="520"/>
              <w:spacing w:after="0"/>
              <w:rPr>
                <w:sz w:val="20"/>
                <w:szCs w:val="20"/>
                <w:color w:val="auto"/>
              </w:rPr>
            </w:pPr>
            <w:r>
              <w:rPr>
                <w:rFonts w:ascii="Arial" w:cs="Arial" w:eastAsia="Arial" w:hAnsi="Arial"/>
                <w:sz w:val="16"/>
                <w:szCs w:val="16"/>
                <w:color w:val="auto"/>
              </w:rPr>
              <w:t>•</w:t>
            </w:r>
          </w:p>
        </w:tc>
        <w:tc>
          <w:tcPr>
            <w:tcW w:w="3440" w:type="dxa"/>
            <w:vAlign w:val="bottom"/>
            <w:gridSpan w:val="2"/>
          </w:tcPr>
          <w:p>
            <w:pPr>
              <w:ind w:left="20"/>
              <w:spacing w:after="0"/>
              <w:rPr>
                <w:sz w:val="20"/>
                <w:szCs w:val="20"/>
                <w:color w:val="auto"/>
              </w:rPr>
            </w:pPr>
            <w:r>
              <w:rPr>
                <w:rFonts w:ascii="Arial" w:cs="Arial" w:eastAsia="Arial" w:hAnsi="Arial"/>
                <w:sz w:val="16"/>
                <w:szCs w:val="16"/>
                <w:color w:val="auto"/>
              </w:rPr>
              <w:t>International Business</w:t>
            </w:r>
          </w:p>
        </w:tc>
        <w:tc>
          <w:tcPr>
            <w:tcW w:w="0" w:type="dxa"/>
            <w:vAlign w:val="bottom"/>
          </w:tcPr>
          <w:p>
            <w:pPr>
              <w:spacing w:after="0"/>
              <w:rPr>
                <w:sz w:val="1"/>
                <w:szCs w:val="1"/>
                <w:color w:val="auto"/>
              </w:rPr>
            </w:pPr>
          </w:p>
        </w:tc>
      </w:tr>
      <w:tr>
        <w:trPr>
          <w:trHeight w:val="229"/>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00" w:type="dxa"/>
            <w:vAlign w:val="bottom"/>
          </w:tcPr>
          <w:p>
            <w:pPr>
              <w:ind w:left="40"/>
              <w:spacing w:after="0"/>
              <w:rPr>
                <w:sz w:val="20"/>
                <w:szCs w:val="20"/>
                <w:color w:val="auto"/>
              </w:rPr>
            </w:pPr>
            <w:r>
              <w:rPr>
                <w:rFonts w:ascii="Arial" w:cs="Arial" w:eastAsia="Arial" w:hAnsi="Arial"/>
                <w:sz w:val="16"/>
                <w:szCs w:val="16"/>
                <w:color w:val="auto"/>
              </w:rPr>
              <w:t>Financial and Asset</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32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660" w:type="dxa"/>
            <w:vAlign w:val="bottom"/>
          </w:tcPr>
          <w:p>
            <w:pPr>
              <w:ind w:left="520"/>
              <w:spacing w:after="0"/>
              <w:rPr>
                <w:sz w:val="20"/>
                <w:szCs w:val="20"/>
                <w:color w:val="auto"/>
              </w:rPr>
            </w:pPr>
            <w:r>
              <w:rPr>
                <w:rFonts w:ascii="Arial" w:cs="Arial" w:eastAsia="Arial" w:hAnsi="Arial"/>
                <w:sz w:val="16"/>
                <w:szCs w:val="16"/>
                <w:color w:val="auto"/>
              </w:rPr>
              <w:t>•</w:t>
            </w:r>
          </w:p>
        </w:tc>
        <w:tc>
          <w:tcPr>
            <w:tcW w:w="3440" w:type="dxa"/>
            <w:vAlign w:val="bottom"/>
            <w:gridSpan w:val="2"/>
          </w:tcPr>
          <w:p>
            <w:pPr>
              <w:ind w:left="20"/>
              <w:spacing w:after="0"/>
              <w:rPr>
                <w:sz w:val="20"/>
                <w:szCs w:val="20"/>
                <w:color w:val="auto"/>
              </w:rPr>
            </w:pPr>
            <w:r>
              <w:rPr>
                <w:rFonts w:ascii="Arial" w:cs="Arial" w:eastAsia="Arial" w:hAnsi="Arial"/>
                <w:sz w:val="16"/>
                <w:szCs w:val="16"/>
                <w:color w:val="auto"/>
              </w:rPr>
              <w:t>Corporate Governance</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900" w:type="dxa"/>
            <w:vAlign w:val="bottom"/>
          </w:tcPr>
          <w:p>
            <w:pPr>
              <w:ind w:left="60"/>
              <w:spacing w:after="0"/>
              <w:rPr>
                <w:sz w:val="20"/>
                <w:szCs w:val="20"/>
                <w:color w:val="auto"/>
              </w:rPr>
            </w:pPr>
            <w:r>
              <w:rPr>
                <w:rFonts w:ascii="Arial" w:cs="Arial" w:eastAsia="Arial" w:hAnsi="Arial"/>
                <w:sz w:val="16"/>
                <w:szCs w:val="16"/>
                <w:color w:val="auto"/>
              </w:rPr>
              <w:t>Management</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320" w:type="dxa"/>
            <w:vAlign w:val="bottom"/>
          </w:tcPr>
          <w:p>
            <w:pPr>
              <w:ind w:left="40"/>
              <w:spacing w:after="0"/>
              <w:rPr>
                <w:sz w:val="20"/>
                <w:szCs w:val="20"/>
                <w:color w:val="auto"/>
              </w:rPr>
            </w:pPr>
            <w:r>
              <w:rPr>
                <w:rFonts w:ascii="Arial" w:cs="Arial" w:eastAsia="Arial" w:hAnsi="Arial"/>
                <w:sz w:val="16"/>
                <w:szCs w:val="16"/>
                <w:color w:val="auto"/>
              </w:rPr>
              <w:t>Enterprise Risk Management</w:t>
            </w:r>
          </w:p>
        </w:tc>
        <w:tc>
          <w:tcPr>
            <w:tcW w:w="660" w:type="dxa"/>
            <w:vAlign w:val="bottom"/>
          </w:tcPr>
          <w:p>
            <w:pPr>
              <w:ind w:left="520"/>
              <w:spacing w:after="0"/>
              <w:rPr>
                <w:sz w:val="20"/>
                <w:szCs w:val="20"/>
                <w:color w:val="auto"/>
              </w:rPr>
            </w:pPr>
            <w:r>
              <w:rPr>
                <w:rFonts w:ascii="Arial" w:cs="Arial" w:eastAsia="Arial" w:hAnsi="Arial"/>
                <w:sz w:val="16"/>
                <w:szCs w:val="16"/>
                <w:color w:val="auto"/>
              </w:rPr>
              <w:t>•</w:t>
            </w:r>
          </w:p>
        </w:tc>
        <w:tc>
          <w:tcPr>
            <w:tcW w:w="3440" w:type="dxa"/>
            <w:vAlign w:val="bottom"/>
            <w:gridSpan w:val="2"/>
          </w:tcPr>
          <w:p>
            <w:pPr>
              <w:ind w:left="20"/>
              <w:spacing w:after="0"/>
              <w:rPr>
                <w:sz w:val="20"/>
                <w:szCs w:val="20"/>
                <w:color w:val="auto"/>
              </w:rPr>
            </w:pPr>
            <w:r>
              <w:rPr>
                <w:rFonts w:ascii="Arial" w:cs="Arial" w:eastAsia="Arial" w:hAnsi="Arial"/>
                <w:sz w:val="16"/>
                <w:szCs w:val="16"/>
                <w:color w:val="auto"/>
              </w:rPr>
              <w:t>Public Company Board Experience</w:t>
            </w:r>
          </w:p>
        </w:tc>
        <w:tc>
          <w:tcPr>
            <w:tcW w:w="0" w:type="dxa"/>
            <w:vAlign w:val="bottom"/>
          </w:tcPr>
          <w:p>
            <w:pPr>
              <w:spacing w:after="0"/>
              <w:rPr>
                <w:sz w:val="1"/>
                <w:szCs w:val="1"/>
                <w:color w:val="auto"/>
              </w:rPr>
            </w:pPr>
          </w:p>
        </w:tc>
      </w:tr>
      <w:tr>
        <w:trPr>
          <w:trHeight w:val="215"/>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00" w:type="dxa"/>
            <w:vAlign w:val="bottom"/>
          </w:tcPr>
          <w:p>
            <w:pPr>
              <w:ind w:left="40"/>
              <w:spacing w:after="0"/>
              <w:rPr>
                <w:sz w:val="20"/>
                <w:szCs w:val="20"/>
                <w:color w:val="auto"/>
              </w:rPr>
            </w:pPr>
            <w:r>
              <w:rPr>
                <w:rFonts w:ascii="Arial" w:cs="Arial" w:eastAsia="Arial" w:hAnsi="Arial"/>
                <w:sz w:val="16"/>
                <w:szCs w:val="16"/>
                <w:color w:val="auto"/>
              </w:rPr>
              <w:t>Mergers and Acquisitions</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320" w:type="dxa"/>
            <w:vAlign w:val="bottom"/>
          </w:tcPr>
          <w:p>
            <w:pPr>
              <w:ind w:left="40"/>
              <w:spacing w:after="0"/>
              <w:rPr>
                <w:sz w:val="20"/>
                <w:szCs w:val="20"/>
                <w:color w:val="auto"/>
              </w:rPr>
            </w:pPr>
            <w:r>
              <w:rPr>
                <w:rFonts w:ascii="Arial" w:cs="Arial" w:eastAsia="Arial" w:hAnsi="Arial"/>
                <w:sz w:val="16"/>
                <w:szCs w:val="16"/>
                <w:color w:val="auto"/>
              </w:rPr>
              <w:t>Leadership Development</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00" w:type="dxa"/>
            <w:vAlign w:val="bottom"/>
          </w:tcPr>
          <w:p>
            <w:pPr>
              <w:ind w:left="40"/>
              <w:spacing w:after="0"/>
              <w:rPr>
                <w:sz w:val="20"/>
                <w:szCs w:val="20"/>
                <w:color w:val="auto"/>
              </w:rPr>
            </w:pPr>
            <w:r>
              <w:rPr>
                <w:rFonts w:ascii="Arial" w:cs="Arial" w:eastAsia="Arial" w:hAnsi="Arial"/>
                <w:sz w:val="16"/>
                <w:szCs w:val="16"/>
                <w:color w:val="auto"/>
              </w:rPr>
              <w:t>Investor Relations</w:t>
            </w:r>
          </w:p>
        </w:tc>
        <w:tc>
          <w:tcPr>
            <w:tcW w:w="460" w:type="dxa"/>
            <w:vAlign w:val="bottom"/>
          </w:tcPr>
          <w:p>
            <w:pPr>
              <w:ind w:left="360"/>
              <w:spacing w:after="0"/>
              <w:rPr>
                <w:sz w:val="20"/>
                <w:szCs w:val="20"/>
                <w:color w:val="auto"/>
              </w:rPr>
            </w:pPr>
            <w:r>
              <w:rPr>
                <w:rFonts w:ascii="Arial" w:cs="Arial" w:eastAsia="Arial" w:hAnsi="Arial"/>
                <w:sz w:val="16"/>
                <w:szCs w:val="16"/>
                <w:color w:val="auto"/>
              </w:rPr>
              <w:t>•</w:t>
            </w:r>
          </w:p>
        </w:tc>
        <w:tc>
          <w:tcPr>
            <w:tcW w:w="2320" w:type="dxa"/>
            <w:vAlign w:val="bottom"/>
          </w:tcPr>
          <w:p>
            <w:pPr>
              <w:ind w:left="40"/>
              <w:spacing w:after="0"/>
              <w:rPr>
                <w:sz w:val="20"/>
                <w:szCs w:val="20"/>
                <w:color w:val="auto"/>
              </w:rPr>
            </w:pPr>
            <w:r>
              <w:rPr>
                <w:rFonts w:ascii="Arial" w:cs="Arial" w:eastAsia="Arial" w:hAnsi="Arial"/>
                <w:sz w:val="16"/>
                <w:szCs w:val="16"/>
                <w:color w:val="auto"/>
              </w:rPr>
              <w:t>Business Operations</w:t>
            </w: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780" w:type="dxa"/>
            <w:vAlign w:val="bottom"/>
            <w:gridSpan w:val="2"/>
          </w:tcPr>
          <w:p>
            <w:pPr>
              <w:spacing w:after="0"/>
              <w:rPr>
                <w:sz w:val="24"/>
                <w:szCs w:val="24"/>
                <w:color w:val="auto"/>
              </w:rPr>
            </w:pPr>
          </w:p>
        </w:tc>
        <w:tc>
          <w:tcPr>
            <w:tcW w:w="1880" w:type="dxa"/>
            <w:vAlign w:val="bottom"/>
            <w:gridSpan w:val="2"/>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300" w:type="dxa"/>
            <w:vAlign w:val="bottom"/>
            <w:shd w:val="clear" w:color="auto" w:fill="D9D9D9"/>
          </w:tcPr>
          <w:p>
            <w:pPr>
              <w:spacing w:after="0"/>
              <w:rPr>
                <w:sz w:val="24"/>
                <w:szCs w:val="24"/>
                <w:color w:val="auto"/>
              </w:rPr>
            </w:pPr>
          </w:p>
        </w:tc>
        <w:tc>
          <w:tcPr>
            <w:tcW w:w="1900" w:type="dxa"/>
            <w:vAlign w:val="bottom"/>
            <w:shd w:val="clear" w:color="auto" w:fill="D9D9D9"/>
          </w:tcPr>
          <w:p>
            <w:pPr>
              <w:spacing w:after="0"/>
              <w:rPr>
                <w:sz w:val="24"/>
                <w:szCs w:val="24"/>
                <w:color w:val="auto"/>
              </w:rPr>
            </w:pPr>
          </w:p>
        </w:tc>
        <w:tc>
          <w:tcPr>
            <w:tcW w:w="2780" w:type="dxa"/>
            <w:vAlign w:val="bottom"/>
            <w:gridSpan w:val="2"/>
            <w:shd w:val="clear" w:color="auto" w:fill="D9D9D9"/>
          </w:tcPr>
          <w:p>
            <w:pPr>
              <w:ind w:left="20"/>
              <w:spacing w:after="0"/>
              <w:rPr>
                <w:sz w:val="20"/>
                <w:szCs w:val="20"/>
                <w:color w:val="auto"/>
              </w:rPr>
            </w:pPr>
            <w:r>
              <w:rPr>
                <w:rFonts w:ascii="Arial" w:cs="Arial" w:eastAsia="Arial" w:hAnsi="Arial"/>
                <w:sz w:val="25"/>
                <w:szCs w:val="25"/>
                <w:b w:val="1"/>
                <w:bCs w:val="1"/>
                <w:color w:val="05445E"/>
              </w:rPr>
              <w:t>Ty R. Silberhorn</w:t>
            </w:r>
          </w:p>
        </w:tc>
        <w:tc>
          <w:tcPr>
            <w:tcW w:w="1880" w:type="dxa"/>
            <w:vAlign w:val="bottom"/>
            <w:gridSpan w:val="2"/>
            <w:shd w:val="clear" w:color="auto" w:fill="D9D9D9"/>
          </w:tcPr>
          <w:p>
            <w:pPr>
              <w:ind w:left="60"/>
              <w:spacing w:after="0"/>
              <w:rPr>
                <w:sz w:val="20"/>
                <w:szCs w:val="20"/>
                <w:color w:val="auto"/>
              </w:rPr>
            </w:pPr>
            <w:r>
              <w:rPr>
                <w:rFonts w:ascii="Arial" w:cs="Arial" w:eastAsia="Arial" w:hAnsi="Arial"/>
                <w:sz w:val="16"/>
                <w:szCs w:val="16"/>
                <w:b w:val="1"/>
                <w:bCs w:val="1"/>
                <w:color w:val="05445E"/>
              </w:rPr>
              <w:t>Apogee Committees:</w:t>
            </w:r>
          </w:p>
        </w:tc>
        <w:tc>
          <w:tcPr>
            <w:tcW w:w="2220" w:type="dxa"/>
            <w:vAlign w:val="bottom"/>
            <w:shd w:val="clear" w:color="auto" w:fill="D9D9D9"/>
          </w:tcPr>
          <w:p>
            <w:pPr>
              <w:ind w:left="200"/>
              <w:spacing w:after="0"/>
              <w:rPr>
                <w:sz w:val="20"/>
                <w:szCs w:val="20"/>
                <w:color w:val="auto"/>
              </w:rPr>
            </w:pPr>
            <w:r>
              <w:rPr>
                <w:rFonts w:ascii="Arial" w:cs="Arial" w:eastAsia="Arial" w:hAnsi="Arial"/>
                <w:sz w:val="16"/>
                <w:szCs w:val="16"/>
                <w:b w:val="1"/>
                <w:bCs w:val="1"/>
                <w:color w:val="05445E"/>
              </w:rPr>
              <w:t>Public Directorships:</w:t>
            </w:r>
          </w:p>
        </w:tc>
        <w:tc>
          <w:tcPr>
            <w:tcW w:w="0" w:type="dxa"/>
            <w:vAlign w:val="bottom"/>
          </w:tcPr>
          <w:p>
            <w:pPr>
              <w:spacing w:after="0"/>
              <w:rPr>
                <w:sz w:val="1"/>
                <w:szCs w:val="1"/>
                <w:color w:val="auto"/>
              </w:rPr>
            </w:pPr>
          </w:p>
        </w:tc>
      </w:tr>
      <w:tr>
        <w:trPr>
          <w:trHeight w:val="203"/>
        </w:trPr>
        <w:tc>
          <w:tcPr>
            <w:tcW w:w="300" w:type="dxa"/>
            <w:vAlign w:val="bottom"/>
            <w:shd w:val="clear" w:color="auto" w:fill="D9D9D9"/>
          </w:tcPr>
          <w:p>
            <w:pPr>
              <w:spacing w:after="0"/>
              <w:rPr>
                <w:sz w:val="17"/>
                <w:szCs w:val="17"/>
                <w:color w:val="auto"/>
              </w:rPr>
            </w:pPr>
          </w:p>
        </w:tc>
        <w:tc>
          <w:tcPr>
            <w:tcW w:w="1900" w:type="dxa"/>
            <w:vAlign w:val="bottom"/>
            <w:shd w:val="clear" w:color="auto" w:fill="D9D9D9"/>
          </w:tcPr>
          <w:p>
            <w:pPr>
              <w:spacing w:after="0"/>
              <w:rPr>
                <w:sz w:val="17"/>
                <w:szCs w:val="17"/>
                <w:color w:val="auto"/>
              </w:rPr>
            </w:pPr>
          </w:p>
        </w:tc>
        <w:tc>
          <w:tcPr>
            <w:tcW w:w="2780" w:type="dxa"/>
            <w:vAlign w:val="bottom"/>
            <w:gridSpan w:val="2"/>
            <w:vMerge w:val="restart"/>
            <w:shd w:val="clear" w:color="auto" w:fill="D9D9D9"/>
          </w:tcPr>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tc>
        <w:tc>
          <w:tcPr>
            <w:tcW w:w="660" w:type="dxa"/>
            <w:vAlign w:val="bottom"/>
            <w:shd w:val="clear" w:color="auto" w:fill="D9D9D9"/>
          </w:tcPr>
          <w:p>
            <w:pPr>
              <w:ind w:left="220"/>
              <w:spacing w:after="0"/>
              <w:rPr>
                <w:sz w:val="20"/>
                <w:szCs w:val="20"/>
                <w:color w:val="auto"/>
              </w:rPr>
            </w:pPr>
            <w:r>
              <w:rPr>
                <w:rFonts w:ascii="Arial" w:cs="Arial" w:eastAsia="Arial" w:hAnsi="Arial"/>
                <w:sz w:val="16"/>
                <w:szCs w:val="16"/>
                <w:color w:val="auto"/>
              </w:rPr>
              <w:t>• N/A</w:t>
            </w:r>
          </w:p>
        </w:tc>
        <w:tc>
          <w:tcPr>
            <w:tcW w:w="1220" w:type="dxa"/>
            <w:vAlign w:val="bottom"/>
            <w:shd w:val="clear" w:color="auto" w:fill="D9D9D9"/>
          </w:tcPr>
          <w:p>
            <w:pPr>
              <w:spacing w:after="0"/>
              <w:rPr>
                <w:sz w:val="17"/>
                <w:szCs w:val="17"/>
                <w:color w:val="auto"/>
              </w:rPr>
            </w:pPr>
          </w:p>
        </w:tc>
        <w:tc>
          <w:tcPr>
            <w:tcW w:w="2220" w:type="dxa"/>
            <w:vAlign w:val="bottom"/>
            <w:shd w:val="clear" w:color="auto" w:fill="D9D9D9"/>
          </w:tcPr>
          <w:p>
            <w:pPr>
              <w:ind w:left="360"/>
              <w:spacing w:after="0"/>
              <w:rPr>
                <w:sz w:val="20"/>
                <w:szCs w:val="20"/>
                <w:color w:val="auto"/>
              </w:rPr>
            </w:pPr>
            <w:r>
              <w:rPr>
                <w:rFonts w:ascii="Arial" w:cs="Arial" w:eastAsia="Arial" w:hAnsi="Arial"/>
                <w:sz w:val="16"/>
                <w:szCs w:val="16"/>
                <w:color w:val="auto"/>
              </w:rPr>
              <w:t>• LP Building Solutions</w:t>
            </w:r>
          </w:p>
        </w:tc>
        <w:tc>
          <w:tcPr>
            <w:tcW w:w="0" w:type="dxa"/>
            <w:vAlign w:val="bottom"/>
          </w:tcPr>
          <w:p>
            <w:pPr>
              <w:spacing w:after="0"/>
              <w:rPr>
                <w:sz w:val="1"/>
                <w:szCs w:val="1"/>
                <w:color w:val="auto"/>
              </w:rPr>
            </w:pPr>
          </w:p>
        </w:tc>
      </w:tr>
      <w:tr>
        <w:trPr>
          <w:trHeight w:val="215"/>
        </w:trPr>
        <w:tc>
          <w:tcPr>
            <w:tcW w:w="300" w:type="dxa"/>
            <w:vAlign w:val="bottom"/>
            <w:shd w:val="clear" w:color="auto" w:fill="D9D9D9"/>
          </w:tcPr>
          <w:p>
            <w:pPr>
              <w:spacing w:after="0"/>
              <w:rPr>
                <w:sz w:val="18"/>
                <w:szCs w:val="18"/>
                <w:color w:val="auto"/>
              </w:rPr>
            </w:pPr>
          </w:p>
        </w:tc>
        <w:tc>
          <w:tcPr>
            <w:tcW w:w="1900" w:type="dxa"/>
            <w:vAlign w:val="bottom"/>
            <w:shd w:val="clear" w:color="auto" w:fill="D9D9D9"/>
          </w:tcPr>
          <w:p>
            <w:pPr>
              <w:spacing w:after="0"/>
              <w:rPr>
                <w:sz w:val="18"/>
                <w:szCs w:val="18"/>
                <w:color w:val="auto"/>
              </w:rPr>
            </w:pPr>
          </w:p>
        </w:tc>
        <w:tc>
          <w:tcPr>
            <w:tcW w:w="2780" w:type="dxa"/>
            <w:vAlign w:val="bottom"/>
            <w:gridSpan w:val="2"/>
            <w:vMerge w:val="continue"/>
            <w:shd w:val="clear" w:color="auto" w:fill="D9D9D9"/>
          </w:tcPr>
          <w:p>
            <w:pPr>
              <w:spacing w:after="0"/>
              <w:rPr>
                <w:sz w:val="18"/>
                <w:szCs w:val="18"/>
                <w:color w:val="auto"/>
              </w:rPr>
            </w:pPr>
          </w:p>
        </w:tc>
        <w:tc>
          <w:tcPr>
            <w:tcW w:w="660" w:type="dxa"/>
            <w:vAlign w:val="bottom"/>
            <w:shd w:val="clear" w:color="auto" w:fill="D9D9D9"/>
          </w:tcPr>
          <w:p>
            <w:pPr>
              <w:spacing w:after="0"/>
              <w:rPr>
                <w:sz w:val="18"/>
                <w:szCs w:val="18"/>
                <w:color w:val="auto"/>
              </w:rPr>
            </w:pPr>
          </w:p>
        </w:tc>
        <w:tc>
          <w:tcPr>
            <w:tcW w:w="1220" w:type="dxa"/>
            <w:vAlign w:val="bottom"/>
            <w:shd w:val="clear" w:color="auto" w:fill="D9D9D9"/>
          </w:tcPr>
          <w:p>
            <w:pPr>
              <w:spacing w:after="0"/>
              <w:rPr>
                <w:sz w:val="18"/>
                <w:szCs w:val="18"/>
                <w:color w:val="auto"/>
              </w:rPr>
            </w:pPr>
          </w:p>
        </w:tc>
        <w:tc>
          <w:tcPr>
            <w:tcW w:w="2220" w:type="dxa"/>
            <w:vAlign w:val="bottom"/>
            <w:shd w:val="clear" w:color="auto" w:fill="D9D9D9"/>
          </w:tcPr>
          <w:p>
            <w:pPr>
              <w:ind w:left="520"/>
              <w:spacing w:after="0"/>
              <w:rPr>
                <w:sz w:val="20"/>
                <w:szCs w:val="20"/>
                <w:color w:val="auto"/>
              </w:rPr>
            </w:pPr>
            <w:r>
              <w:rPr>
                <w:rFonts w:ascii="Arial" w:cs="Arial" w:eastAsia="Arial" w:hAnsi="Arial"/>
                <w:sz w:val="16"/>
                <w:szCs w:val="16"/>
                <w:color w:val="auto"/>
              </w:rPr>
              <w:t>(2025 - Present)</w:t>
            </w:r>
          </w:p>
        </w:tc>
        <w:tc>
          <w:tcPr>
            <w:tcW w:w="0" w:type="dxa"/>
            <w:vAlign w:val="bottom"/>
          </w:tcPr>
          <w:p>
            <w:pPr>
              <w:spacing w:after="0"/>
              <w:rPr>
                <w:sz w:val="1"/>
                <w:szCs w:val="1"/>
                <w:color w:val="auto"/>
              </w:rPr>
            </w:pPr>
          </w:p>
        </w:tc>
      </w:tr>
      <w:tr>
        <w:trPr>
          <w:trHeight w:val="251"/>
        </w:trPr>
        <w:tc>
          <w:tcPr>
            <w:tcW w:w="300" w:type="dxa"/>
            <w:vAlign w:val="bottom"/>
            <w:shd w:val="clear" w:color="auto" w:fill="D9D9D9"/>
          </w:tcPr>
          <w:p>
            <w:pPr>
              <w:spacing w:after="0"/>
              <w:rPr>
                <w:sz w:val="21"/>
                <w:szCs w:val="21"/>
                <w:color w:val="auto"/>
              </w:rPr>
            </w:pPr>
          </w:p>
        </w:tc>
        <w:tc>
          <w:tcPr>
            <w:tcW w:w="1900" w:type="dxa"/>
            <w:vAlign w:val="bottom"/>
            <w:shd w:val="clear" w:color="auto" w:fill="D9D9D9"/>
          </w:tcPr>
          <w:p>
            <w:pPr>
              <w:spacing w:after="0"/>
              <w:rPr>
                <w:sz w:val="21"/>
                <w:szCs w:val="21"/>
                <w:color w:val="auto"/>
              </w:rPr>
            </w:pPr>
          </w:p>
        </w:tc>
        <w:tc>
          <w:tcPr>
            <w:tcW w:w="2780" w:type="dxa"/>
            <w:vAlign w:val="bottom"/>
            <w:gridSpan w:val="2"/>
            <w:shd w:val="clear" w:color="auto" w:fill="D9D9D9"/>
          </w:tcPr>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tc>
        <w:tc>
          <w:tcPr>
            <w:tcW w:w="660" w:type="dxa"/>
            <w:vAlign w:val="bottom"/>
            <w:shd w:val="clear" w:color="auto" w:fill="D9D9D9"/>
          </w:tcPr>
          <w:p>
            <w:pPr>
              <w:spacing w:after="0"/>
              <w:rPr>
                <w:sz w:val="21"/>
                <w:szCs w:val="21"/>
                <w:color w:val="auto"/>
              </w:rPr>
            </w:pPr>
          </w:p>
        </w:tc>
        <w:tc>
          <w:tcPr>
            <w:tcW w:w="1220" w:type="dxa"/>
            <w:vAlign w:val="bottom"/>
            <w:shd w:val="clear" w:color="auto" w:fill="D9D9D9"/>
          </w:tcPr>
          <w:p>
            <w:pPr>
              <w:spacing w:after="0"/>
              <w:rPr>
                <w:sz w:val="21"/>
                <w:szCs w:val="21"/>
                <w:color w:val="auto"/>
              </w:rPr>
            </w:pPr>
          </w:p>
        </w:tc>
        <w:tc>
          <w:tcPr>
            <w:tcW w:w="222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0" w:type="dxa"/>
            <w:vAlign w:val="bottom"/>
            <w:shd w:val="clear" w:color="auto" w:fill="D9D9D9"/>
          </w:tcPr>
          <w:p>
            <w:pPr>
              <w:spacing w:after="0"/>
              <w:rPr>
                <w:sz w:val="23"/>
                <w:szCs w:val="23"/>
                <w:color w:val="auto"/>
              </w:rPr>
            </w:pPr>
          </w:p>
        </w:tc>
        <w:tc>
          <w:tcPr>
            <w:tcW w:w="1900" w:type="dxa"/>
            <w:vAlign w:val="bottom"/>
            <w:shd w:val="clear" w:color="auto" w:fill="D9D9D9"/>
          </w:tcPr>
          <w:p>
            <w:pPr>
              <w:spacing w:after="0"/>
              <w:rPr>
                <w:sz w:val="23"/>
                <w:szCs w:val="23"/>
                <w:color w:val="auto"/>
              </w:rPr>
            </w:pPr>
          </w:p>
        </w:tc>
        <w:tc>
          <w:tcPr>
            <w:tcW w:w="2780" w:type="dxa"/>
            <w:vAlign w:val="bottom"/>
            <w:gridSpan w:val="2"/>
            <w:shd w:val="clear" w:color="auto" w:fill="D9D9D9"/>
          </w:tcPr>
          <w:p>
            <w:pPr>
              <w:ind w:left="20"/>
              <w:spacing w:after="0"/>
              <w:rPr>
                <w:sz w:val="20"/>
                <w:szCs w:val="20"/>
                <w:color w:val="auto"/>
              </w:rPr>
            </w:pPr>
            <w:r>
              <w:rPr>
                <w:rFonts w:ascii="Arial" w:cs="Arial" w:eastAsia="Arial" w:hAnsi="Arial"/>
                <w:sz w:val="16"/>
                <w:szCs w:val="16"/>
                <w:b w:val="1"/>
                <w:bCs w:val="1"/>
                <w:color w:val="auto"/>
              </w:rPr>
              <w:t>Not Independent</w:t>
            </w:r>
          </w:p>
        </w:tc>
        <w:tc>
          <w:tcPr>
            <w:tcW w:w="660" w:type="dxa"/>
            <w:vAlign w:val="bottom"/>
            <w:shd w:val="clear" w:color="auto" w:fill="D9D9D9"/>
          </w:tcPr>
          <w:p>
            <w:pPr>
              <w:spacing w:after="0"/>
              <w:rPr>
                <w:sz w:val="23"/>
                <w:szCs w:val="23"/>
                <w:color w:val="auto"/>
              </w:rPr>
            </w:pPr>
          </w:p>
        </w:tc>
        <w:tc>
          <w:tcPr>
            <w:tcW w:w="1220" w:type="dxa"/>
            <w:vAlign w:val="bottom"/>
            <w:shd w:val="clear" w:color="auto" w:fill="D9D9D9"/>
          </w:tcPr>
          <w:p>
            <w:pPr>
              <w:spacing w:after="0"/>
              <w:rPr>
                <w:sz w:val="23"/>
                <w:szCs w:val="23"/>
                <w:color w:val="auto"/>
              </w:rPr>
            </w:pPr>
          </w:p>
        </w:tc>
        <w:tc>
          <w:tcPr>
            <w:tcW w:w="2220" w:type="dxa"/>
            <w:vAlign w:val="bottom"/>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776"/>
        </w:trPr>
        <w:tc>
          <w:tcPr>
            <w:tcW w:w="300" w:type="dxa"/>
            <w:vAlign w:val="bottom"/>
            <w:shd w:val="clear" w:color="auto" w:fill="D9D9D9"/>
          </w:tcPr>
          <w:p>
            <w:pPr>
              <w:spacing w:after="0"/>
              <w:rPr>
                <w:sz w:val="24"/>
                <w:szCs w:val="24"/>
                <w:color w:val="auto"/>
              </w:rPr>
            </w:pPr>
          </w:p>
        </w:tc>
        <w:tc>
          <w:tcPr>
            <w:tcW w:w="1900" w:type="dxa"/>
            <w:vAlign w:val="bottom"/>
            <w:shd w:val="clear" w:color="auto" w:fill="D9D9D9"/>
          </w:tcPr>
          <w:p>
            <w:pPr>
              <w:spacing w:after="0"/>
              <w:rPr>
                <w:sz w:val="24"/>
                <w:szCs w:val="24"/>
                <w:color w:val="auto"/>
              </w:rPr>
            </w:pPr>
          </w:p>
        </w:tc>
        <w:tc>
          <w:tcPr>
            <w:tcW w:w="2780" w:type="dxa"/>
            <w:vAlign w:val="bottom"/>
            <w:gridSpan w:val="2"/>
            <w:shd w:val="clear" w:color="auto" w:fill="D9D9D9"/>
          </w:tcPr>
          <w:p>
            <w:pPr>
              <w:ind w:left="20"/>
              <w:spacing w:after="0"/>
              <w:rPr>
                <w:sz w:val="20"/>
                <w:szCs w:val="20"/>
                <w:color w:val="auto"/>
              </w:rPr>
            </w:pPr>
            <w:r>
              <w:rPr>
                <w:rFonts w:ascii="Arial" w:cs="Arial" w:eastAsia="Arial" w:hAnsi="Arial"/>
                <w:sz w:val="16"/>
                <w:szCs w:val="16"/>
                <w:b w:val="1"/>
                <w:bCs w:val="1"/>
                <w:color w:val="auto"/>
              </w:rPr>
              <w:t>Chief Executive Officer and</w:t>
            </w:r>
          </w:p>
        </w:tc>
        <w:tc>
          <w:tcPr>
            <w:tcW w:w="660" w:type="dxa"/>
            <w:vAlign w:val="bottom"/>
            <w:shd w:val="clear" w:color="auto" w:fill="D9D9D9"/>
          </w:tcPr>
          <w:p>
            <w:pPr>
              <w:spacing w:after="0"/>
              <w:rPr>
                <w:sz w:val="24"/>
                <w:szCs w:val="24"/>
                <w:color w:val="auto"/>
              </w:rPr>
            </w:pPr>
          </w:p>
        </w:tc>
        <w:tc>
          <w:tcPr>
            <w:tcW w:w="1220" w:type="dxa"/>
            <w:vAlign w:val="bottom"/>
            <w:shd w:val="clear" w:color="auto" w:fill="D9D9D9"/>
          </w:tcPr>
          <w:p>
            <w:pPr>
              <w:spacing w:after="0"/>
              <w:rPr>
                <w:sz w:val="24"/>
                <w:szCs w:val="24"/>
                <w:color w:val="auto"/>
              </w:rPr>
            </w:pPr>
          </w:p>
        </w:tc>
        <w:tc>
          <w:tcPr>
            <w:tcW w:w="2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0" w:type="dxa"/>
            <w:vAlign w:val="bottom"/>
            <w:shd w:val="clear" w:color="auto" w:fill="D9D9D9"/>
          </w:tcPr>
          <w:p>
            <w:pPr>
              <w:spacing w:after="0"/>
              <w:rPr>
                <w:sz w:val="19"/>
                <w:szCs w:val="19"/>
                <w:color w:val="auto"/>
              </w:rPr>
            </w:pPr>
          </w:p>
        </w:tc>
        <w:tc>
          <w:tcPr>
            <w:tcW w:w="1900" w:type="dxa"/>
            <w:vAlign w:val="bottom"/>
            <w:shd w:val="clear" w:color="auto" w:fill="D9D9D9"/>
          </w:tcPr>
          <w:p>
            <w:pPr>
              <w:spacing w:after="0"/>
              <w:rPr>
                <w:sz w:val="19"/>
                <w:szCs w:val="19"/>
                <w:color w:val="auto"/>
              </w:rPr>
            </w:pPr>
          </w:p>
        </w:tc>
        <w:tc>
          <w:tcPr>
            <w:tcW w:w="2780" w:type="dxa"/>
            <w:vAlign w:val="bottom"/>
            <w:gridSpan w:val="2"/>
            <w:shd w:val="clear" w:color="auto" w:fill="D9D9D9"/>
          </w:tcPr>
          <w:p>
            <w:pPr>
              <w:ind w:left="180"/>
              <w:spacing w:after="0"/>
              <w:rPr>
                <w:sz w:val="20"/>
                <w:szCs w:val="20"/>
                <w:color w:val="auto"/>
              </w:rPr>
            </w:pPr>
            <w:r>
              <w:rPr>
                <w:rFonts w:ascii="Arial" w:cs="Arial" w:eastAsia="Arial" w:hAnsi="Arial"/>
                <w:sz w:val="16"/>
                <w:szCs w:val="16"/>
                <w:b w:val="1"/>
                <w:bCs w:val="1"/>
                <w:color w:val="auto"/>
              </w:rPr>
              <w:t>President</w:t>
            </w:r>
          </w:p>
        </w:tc>
        <w:tc>
          <w:tcPr>
            <w:tcW w:w="660" w:type="dxa"/>
            <w:vAlign w:val="bottom"/>
            <w:shd w:val="clear" w:color="auto" w:fill="D9D9D9"/>
          </w:tcPr>
          <w:p>
            <w:pPr>
              <w:spacing w:after="0"/>
              <w:rPr>
                <w:sz w:val="19"/>
                <w:szCs w:val="19"/>
                <w:color w:val="auto"/>
              </w:rPr>
            </w:pPr>
          </w:p>
        </w:tc>
        <w:tc>
          <w:tcPr>
            <w:tcW w:w="1220" w:type="dxa"/>
            <w:vAlign w:val="bottom"/>
            <w:shd w:val="clear" w:color="auto" w:fill="D9D9D9"/>
          </w:tcPr>
          <w:p>
            <w:pPr>
              <w:spacing w:after="0"/>
              <w:rPr>
                <w:sz w:val="19"/>
                <w:szCs w:val="19"/>
                <w:color w:val="auto"/>
              </w:rPr>
            </w:pPr>
          </w:p>
        </w:tc>
        <w:tc>
          <w:tcPr>
            <w:tcW w:w="222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300" w:type="dxa"/>
            <w:vAlign w:val="bottom"/>
            <w:shd w:val="clear" w:color="auto" w:fill="D9D9D9"/>
          </w:tcPr>
          <w:p>
            <w:pPr>
              <w:spacing w:after="0"/>
              <w:rPr>
                <w:sz w:val="24"/>
                <w:szCs w:val="24"/>
                <w:color w:val="auto"/>
              </w:rPr>
            </w:pPr>
          </w:p>
        </w:tc>
        <w:tc>
          <w:tcPr>
            <w:tcW w:w="1900" w:type="dxa"/>
            <w:vAlign w:val="bottom"/>
            <w:shd w:val="clear" w:color="auto" w:fill="D9D9D9"/>
          </w:tcPr>
          <w:p>
            <w:pPr>
              <w:spacing w:after="0"/>
              <w:rPr>
                <w:sz w:val="24"/>
                <w:szCs w:val="24"/>
                <w:color w:val="auto"/>
              </w:rPr>
            </w:pPr>
          </w:p>
        </w:tc>
        <w:tc>
          <w:tcPr>
            <w:tcW w:w="460" w:type="dxa"/>
            <w:vAlign w:val="bottom"/>
            <w:shd w:val="clear" w:color="auto" w:fill="D9D9D9"/>
          </w:tcPr>
          <w:p>
            <w:pPr>
              <w:spacing w:after="0"/>
              <w:rPr>
                <w:sz w:val="24"/>
                <w:szCs w:val="24"/>
                <w:color w:val="auto"/>
              </w:rPr>
            </w:pPr>
          </w:p>
        </w:tc>
        <w:tc>
          <w:tcPr>
            <w:tcW w:w="2320" w:type="dxa"/>
            <w:vAlign w:val="bottom"/>
            <w:shd w:val="clear" w:color="auto" w:fill="D9D9D9"/>
          </w:tcPr>
          <w:p>
            <w:pPr>
              <w:spacing w:after="0"/>
              <w:rPr>
                <w:sz w:val="24"/>
                <w:szCs w:val="24"/>
                <w:color w:val="auto"/>
              </w:rPr>
            </w:pPr>
          </w:p>
        </w:tc>
        <w:tc>
          <w:tcPr>
            <w:tcW w:w="660" w:type="dxa"/>
            <w:vAlign w:val="bottom"/>
            <w:shd w:val="clear" w:color="auto" w:fill="D9D9D9"/>
          </w:tcPr>
          <w:p>
            <w:pPr>
              <w:spacing w:after="0"/>
              <w:rPr>
                <w:sz w:val="24"/>
                <w:szCs w:val="24"/>
                <w:color w:val="auto"/>
              </w:rPr>
            </w:pPr>
          </w:p>
        </w:tc>
        <w:tc>
          <w:tcPr>
            <w:tcW w:w="1220" w:type="dxa"/>
            <w:vAlign w:val="bottom"/>
            <w:shd w:val="clear" w:color="auto" w:fill="D9D9D9"/>
          </w:tcPr>
          <w:p>
            <w:pPr>
              <w:spacing w:after="0"/>
              <w:rPr>
                <w:sz w:val="24"/>
                <w:szCs w:val="24"/>
                <w:color w:val="auto"/>
              </w:rPr>
            </w:pPr>
          </w:p>
        </w:tc>
        <w:tc>
          <w:tcPr>
            <w:tcW w:w="22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-1824990</wp:posOffset>
            </wp:positionV>
            <wp:extent cx="8255" cy="18256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18256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-1825625</wp:posOffset>
            </wp:positionV>
            <wp:extent cx="1371600" cy="17659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0" cy="1765935"/>
                    </a:xfrm>
                    <a:prstGeom prst="rect">
                      <a:avLst/>
                    </a:prstGeom>
                    <a:noFill/>
                  </pic:spPr>
                </pic:pic>
              </a:graphicData>
            </a:graphic>
          </wp:anchor>
        </w:drawing>
      </w:r>
    </w:p>
    <w:p>
      <w:pPr>
        <w:spacing w:after="0" w:line="47" w:lineRule="exact"/>
        <w:rPr>
          <w:sz w:val="20"/>
          <w:szCs w:val="20"/>
          <w:color w:val="auto"/>
        </w:rPr>
      </w:pPr>
    </w:p>
    <w:p>
      <w:pPr>
        <w:jc w:val="both"/>
        <w:ind w:left="20" w:right="20"/>
        <w:spacing w:after="0" w:line="260" w:lineRule="auto"/>
        <w:rPr>
          <w:sz w:val="20"/>
          <w:szCs w:val="20"/>
          <w:color w:val="auto"/>
        </w:rPr>
      </w:pPr>
      <w:r>
        <w:rPr>
          <w:rFonts w:ascii="Arial" w:cs="Arial" w:eastAsia="Arial" w:hAnsi="Arial"/>
          <w:sz w:val="16"/>
          <w:szCs w:val="16"/>
          <w:b w:val="1"/>
          <w:bCs w:val="1"/>
          <w:color w:val="05445E"/>
        </w:rPr>
        <w:t xml:space="preserve">Mr. Silberhorn </w:t>
      </w:r>
      <w:r>
        <w:rPr>
          <w:rFonts w:ascii="Arial" w:cs="Arial" w:eastAsia="Arial" w:hAnsi="Arial"/>
          <w:sz w:val="16"/>
          <w:szCs w:val="16"/>
          <w:color w:val="000000"/>
        </w:rPr>
        <w:t>has served as our Chief Executive Officer and President since January 2021. Prior to joining our Company, he</w:t>
      </w:r>
      <w:r>
        <w:rPr>
          <w:rFonts w:ascii="Arial" w:cs="Arial" w:eastAsia="Arial" w:hAnsi="Arial"/>
          <w:sz w:val="16"/>
          <w:szCs w:val="16"/>
          <w:b w:val="1"/>
          <w:bCs w:val="1"/>
          <w:color w:val="05445E"/>
        </w:rPr>
        <w:t xml:space="preserve"> </w:t>
      </w:r>
      <w:r>
        <w:rPr>
          <w:rFonts w:ascii="Arial" w:cs="Arial" w:eastAsia="Arial" w:hAnsi="Arial"/>
          <w:sz w:val="16"/>
          <w:szCs w:val="16"/>
          <w:color w:val="000000"/>
        </w:rPr>
        <w:t>served for over twenty years in various roles for 3M, a diversified global manufacturer and technology company, most recently as Senior Vice President of 3M’s Transformation, Technology and Services from 2019 to 2020. Prior to this position, and since 2001, he held several 3M global business unit leadership roles, serving as Vice President and General Manager for divisions within Safety &amp; Industrial, Transportation &amp; Electronics, and Consumer business groups.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40" w:type="dxa"/>
            <w:vAlign w:val="bottom"/>
            <w:gridSpan w:val="2"/>
          </w:tcPr>
          <w:p>
            <w:pPr>
              <w:ind w:left="20"/>
              <w:spacing w:after="0"/>
              <w:rPr>
                <w:sz w:val="20"/>
                <w:szCs w:val="20"/>
                <w:color w:val="auto"/>
              </w:rPr>
            </w:pPr>
            <w:r>
              <w:rPr>
                <w:rFonts w:ascii="Arial" w:cs="Arial" w:eastAsia="Arial" w:hAnsi="Arial"/>
                <w:sz w:val="16"/>
                <w:szCs w:val="16"/>
                <w:b w:val="1"/>
                <w:bCs w:val="1"/>
                <w:color w:val="05445E"/>
              </w:rPr>
              <w:t>Skills &amp; Qualifications:</w:t>
            </w:r>
          </w:p>
        </w:tc>
        <w:tc>
          <w:tcPr>
            <w:tcW w:w="2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50"/>
        </w:trPr>
        <w:tc>
          <w:tcPr>
            <w:tcW w:w="30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1940" w:type="dxa"/>
            <w:vAlign w:val="bottom"/>
          </w:tcPr>
          <w:p>
            <w:pPr>
              <w:ind w:left="40"/>
              <w:spacing w:after="0"/>
              <w:rPr>
                <w:sz w:val="20"/>
                <w:szCs w:val="20"/>
                <w:color w:val="auto"/>
              </w:rPr>
            </w:pPr>
            <w:r>
              <w:rPr>
                <w:rFonts w:ascii="Arial" w:cs="Arial" w:eastAsia="Arial" w:hAnsi="Arial"/>
                <w:sz w:val="16"/>
                <w:szCs w:val="16"/>
                <w:color w:val="auto"/>
              </w:rPr>
              <w:t>Executive Leadership</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480" w:type="dxa"/>
            <w:vAlign w:val="bottom"/>
          </w:tcPr>
          <w:p>
            <w:pPr>
              <w:ind w:left="40"/>
              <w:spacing w:after="0"/>
              <w:rPr>
                <w:sz w:val="20"/>
                <w:szCs w:val="20"/>
                <w:color w:val="auto"/>
              </w:rPr>
            </w:pPr>
            <w:r>
              <w:rPr>
                <w:rFonts w:ascii="Arial" w:cs="Arial" w:eastAsia="Arial" w:hAnsi="Arial"/>
                <w:sz w:val="16"/>
                <w:szCs w:val="16"/>
                <w:color w:val="auto"/>
              </w:rPr>
              <w:t>Strategy Development and</w:t>
            </w:r>
          </w:p>
        </w:tc>
        <w:tc>
          <w:tcPr>
            <w:tcW w:w="640" w:type="dxa"/>
            <w:vAlign w:val="bottom"/>
          </w:tcPr>
          <w:p>
            <w:pPr>
              <w:ind w:left="520"/>
              <w:spacing w:after="0"/>
              <w:rPr>
                <w:sz w:val="20"/>
                <w:szCs w:val="20"/>
                <w:color w:val="auto"/>
              </w:rPr>
            </w:pPr>
            <w:r>
              <w:rPr>
                <w:rFonts w:ascii="Arial" w:cs="Arial" w:eastAsia="Arial" w:hAnsi="Arial"/>
                <w:sz w:val="16"/>
                <w:szCs w:val="16"/>
                <w:color w:val="auto"/>
              </w:rPr>
              <w:t>•</w:t>
            </w:r>
          </w:p>
        </w:tc>
        <w:tc>
          <w:tcPr>
            <w:tcW w:w="3460" w:type="dxa"/>
            <w:vAlign w:val="bottom"/>
          </w:tcPr>
          <w:p>
            <w:pPr>
              <w:ind w:left="40"/>
              <w:spacing w:after="0"/>
              <w:rPr>
                <w:sz w:val="20"/>
                <w:szCs w:val="20"/>
                <w:color w:val="auto"/>
              </w:rPr>
            </w:pPr>
            <w:r>
              <w:rPr>
                <w:rFonts w:ascii="Arial" w:cs="Arial" w:eastAsia="Arial" w:hAnsi="Arial"/>
                <w:sz w:val="16"/>
                <w:szCs w:val="16"/>
                <w:color w:val="auto"/>
              </w:rPr>
              <w:t>Capital Allocation</w:t>
            </w:r>
          </w:p>
        </w:tc>
      </w:tr>
      <w:tr>
        <w:trPr>
          <w:trHeight w:val="229"/>
        </w:trPr>
        <w:tc>
          <w:tcPr>
            <w:tcW w:w="300" w:type="dxa"/>
            <w:vAlign w:val="bottom"/>
          </w:tcPr>
          <w:p>
            <w:pPr>
              <w:spacing w:after="0"/>
              <w:rPr>
                <w:sz w:val="19"/>
                <w:szCs w:val="19"/>
                <w:color w:val="auto"/>
              </w:rPr>
            </w:pPr>
          </w:p>
        </w:tc>
        <w:tc>
          <w:tcPr>
            <w:tcW w:w="1940" w:type="dxa"/>
            <w:vAlign w:val="bottom"/>
          </w:tcPr>
          <w:p>
            <w:pPr>
              <w:ind w:left="60"/>
              <w:spacing w:after="0"/>
              <w:rPr>
                <w:sz w:val="20"/>
                <w:szCs w:val="20"/>
                <w:color w:val="auto"/>
              </w:rPr>
            </w:pPr>
            <w:r>
              <w:rPr>
                <w:rFonts w:ascii="Arial" w:cs="Arial" w:eastAsia="Arial" w:hAnsi="Arial"/>
                <w:sz w:val="16"/>
                <w:szCs w:val="16"/>
                <w:color w:val="auto"/>
              </w:rPr>
              <w:t>and Talent Management</w:t>
            </w:r>
          </w:p>
        </w:tc>
        <w:tc>
          <w:tcPr>
            <w:tcW w:w="260" w:type="dxa"/>
            <w:vAlign w:val="bottom"/>
          </w:tcPr>
          <w:p>
            <w:pPr>
              <w:spacing w:after="0"/>
              <w:rPr>
                <w:sz w:val="19"/>
                <w:szCs w:val="19"/>
                <w:color w:val="auto"/>
              </w:rPr>
            </w:pPr>
          </w:p>
        </w:tc>
        <w:tc>
          <w:tcPr>
            <w:tcW w:w="2480" w:type="dxa"/>
            <w:vAlign w:val="bottom"/>
          </w:tcPr>
          <w:p>
            <w:pPr>
              <w:ind w:left="60"/>
              <w:spacing w:after="0"/>
              <w:rPr>
                <w:sz w:val="20"/>
                <w:szCs w:val="20"/>
                <w:color w:val="auto"/>
              </w:rPr>
            </w:pPr>
            <w:r>
              <w:rPr>
                <w:rFonts w:ascii="Arial" w:cs="Arial" w:eastAsia="Arial" w:hAnsi="Arial"/>
                <w:sz w:val="16"/>
                <w:szCs w:val="16"/>
                <w:color w:val="auto"/>
              </w:rPr>
              <w:t>Execution</w:t>
            </w:r>
          </w:p>
        </w:tc>
        <w:tc>
          <w:tcPr>
            <w:tcW w:w="640" w:type="dxa"/>
            <w:vAlign w:val="bottom"/>
          </w:tcPr>
          <w:p>
            <w:pPr>
              <w:ind w:left="520"/>
              <w:spacing w:after="0"/>
              <w:rPr>
                <w:sz w:val="20"/>
                <w:szCs w:val="20"/>
                <w:color w:val="auto"/>
              </w:rPr>
            </w:pPr>
            <w:r>
              <w:rPr>
                <w:rFonts w:ascii="Arial" w:cs="Arial" w:eastAsia="Arial" w:hAnsi="Arial"/>
                <w:sz w:val="16"/>
                <w:szCs w:val="16"/>
                <w:color w:val="auto"/>
              </w:rPr>
              <w:t>•</w:t>
            </w:r>
          </w:p>
        </w:tc>
        <w:tc>
          <w:tcPr>
            <w:tcW w:w="3460" w:type="dxa"/>
            <w:vAlign w:val="bottom"/>
          </w:tcPr>
          <w:p>
            <w:pPr>
              <w:ind w:left="40"/>
              <w:spacing w:after="0"/>
              <w:rPr>
                <w:sz w:val="20"/>
                <w:szCs w:val="20"/>
                <w:color w:val="auto"/>
              </w:rPr>
            </w:pPr>
            <w:r>
              <w:rPr>
                <w:rFonts w:ascii="Arial" w:cs="Arial" w:eastAsia="Arial" w:hAnsi="Arial"/>
                <w:sz w:val="16"/>
                <w:szCs w:val="16"/>
                <w:color w:val="auto"/>
              </w:rPr>
              <w:t>Global Operations</w:t>
            </w:r>
          </w:p>
        </w:tc>
      </w:tr>
      <w:tr>
        <w:trPr>
          <w:trHeight w:val="230"/>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40" w:type="dxa"/>
            <w:vAlign w:val="bottom"/>
          </w:tcPr>
          <w:p>
            <w:pPr>
              <w:ind w:left="40"/>
              <w:spacing w:after="0"/>
              <w:rPr>
                <w:sz w:val="20"/>
                <w:szCs w:val="20"/>
                <w:color w:val="auto"/>
              </w:rPr>
            </w:pPr>
            <w:r>
              <w:rPr>
                <w:rFonts w:ascii="Arial" w:cs="Arial" w:eastAsia="Arial" w:hAnsi="Arial"/>
                <w:sz w:val="16"/>
                <w:szCs w:val="16"/>
                <w:color w:val="auto"/>
              </w:rPr>
              <w:t>Financial Management</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480" w:type="dxa"/>
            <w:vAlign w:val="bottom"/>
          </w:tcPr>
          <w:p>
            <w:pPr>
              <w:ind w:left="40"/>
              <w:spacing w:after="0"/>
              <w:rPr>
                <w:sz w:val="20"/>
                <w:szCs w:val="20"/>
                <w:color w:val="auto"/>
              </w:rPr>
            </w:pPr>
            <w:r>
              <w:rPr>
                <w:rFonts w:ascii="Arial" w:cs="Arial" w:eastAsia="Arial" w:hAnsi="Arial"/>
                <w:sz w:val="16"/>
                <w:szCs w:val="16"/>
                <w:color w:val="auto"/>
              </w:rPr>
              <w:t>Building Products Industry</w:t>
            </w:r>
          </w:p>
        </w:tc>
        <w:tc>
          <w:tcPr>
            <w:tcW w:w="640" w:type="dxa"/>
            <w:vAlign w:val="bottom"/>
          </w:tcPr>
          <w:p>
            <w:pPr>
              <w:ind w:left="520"/>
              <w:spacing w:after="0"/>
              <w:rPr>
                <w:sz w:val="20"/>
                <w:szCs w:val="20"/>
                <w:color w:val="auto"/>
              </w:rPr>
            </w:pPr>
            <w:r>
              <w:rPr>
                <w:rFonts w:ascii="Arial" w:cs="Arial" w:eastAsia="Arial" w:hAnsi="Arial"/>
                <w:sz w:val="16"/>
                <w:szCs w:val="16"/>
                <w:color w:val="auto"/>
              </w:rPr>
              <w:t>•</w:t>
            </w:r>
          </w:p>
        </w:tc>
        <w:tc>
          <w:tcPr>
            <w:tcW w:w="3460" w:type="dxa"/>
            <w:vAlign w:val="bottom"/>
          </w:tcPr>
          <w:p>
            <w:pPr>
              <w:ind w:left="40"/>
              <w:spacing w:after="0"/>
              <w:rPr>
                <w:sz w:val="20"/>
                <w:szCs w:val="20"/>
                <w:color w:val="auto"/>
              </w:rPr>
            </w:pPr>
            <w:r>
              <w:rPr>
                <w:rFonts w:ascii="Arial" w:cs="Arial" w:eastAsia="Arial" w:hAnsi="Arial"/>
                <w:sz w:val="16"/>
                <w:szCs w:val="16"/>
                <w:color w:val="auto"/>
              </w:rPr>
              <w:t>Enterprise Risk Management</w:t>
            </w:r>
          </w:p>
        </w:tc>
      </w:tr>
      <w:tr>
        <w:trPr>
          <w:trHeight w:val="215"/>
        </w:trPr>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1940" w:type="dxa"/>
            <w:vAlign w:val="bottom"/>
          </w:tcPr>
          <w:p>
            <w:pPr>
              <w:ind w:left="40"/>
              <w:spacing w:after="0"/>
              <w:rPr>
                <w:sz w:val="20"/>
                <w:szCs w:val="20"/>
                <w:color w:val="auto"/>
              </w:rPr>
            </w:pPr>
            <w:r>
              <w:rPr>
                <w:rFonts w:ascii="Arial" w:cs="Arial" w:eastAsia="Arial" w:hAnsi="Arial"/>
                <w:sz w:val="16"/>
                <w:szCs w:val="16"/>
                <w:color w:val="auto"/>
              </w:rPr>
              <w:t>Business Operations</w:t>
            </w:r>
          </w:p>
        </w:tc>
        <w:tc>
          <w:tcPr>
            <w:tcW w:w="260" w:type="dxa"/>
            <w:vAlign w:val="bottom"/>
          </w:tcPr>
          <w:p>
            <w:pPr>
              <w:ind w:left="140"/>
              <w:spacing w:after="0"/>
              <w:rPr>
                <w:sz w:val="20"/>
                <w:szCs w:val="20"/>
                <w:color w:val="auto"/>
              </w:rPr>
            </w:pPr>
            <w:r>
              <w:rPr>
                <w:rFonts w:ascii="Arial" w:cs="Arial" w:eastAsia="Arial" w:hAnsi="Arial"/>
                <w:sz w:val="16"/>
                <w:szCs w:val="16"/>
                <w:color w:val="auto"/>
              </w:rPr>
              <w:t>•</w:t>
            </w:r>
          </w:p>
        </w:tc>
        <w:tc>
          <w:tcPr>
            <w:tcW w:w="2480" w:type="dxa"/>
            <w:vAlign w:val="bottom"/>
          </w:tcPr>
          <w:p>
            <w:pPr>
              <w:ind w:left="40"/>
              <w:spacing w:after="0"/>
              <w:rPr>
                <w:sz w:val="20"/>
                <w:szCs w:val="20"/>
                <w:color w:val="auto"/>
              </w:rPr>
            </w:pPr>
            <w:r>
              <w:rPr>
                <w:rFonts w:ascii="Arial" w:cs="Arial" w:eastAsia="Arial" w:hAnsi="Arial"/>
                <w:sz w:val="16"/>
                <w:szCs w:val="16"/>
                <w:color w:val="auto"/>
              </w:rPr>
              <w:t>Portfolio Management</w:t>
            </w:r>
          </w:p>
        </w:tc>
        <w:tc>
          <w:tcPr>
            <w:tcW w:w="64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9"/>
        </w:trPr>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9080"/>
          </w:cols>
          <w:pgMar w:left="1400" w:top="1205" w:right="141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63500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80"/>
          </w:cols>
          <w:pgMar w:left="1400" w:top="1205" w:right="141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25"/>
          <w:szCs w:val="25"/>
          <w:b w:val="1"/>
          <w:bCs w:val="1"/>
          <w:color w:val="auto"/>
        </w:rPr>
        <w:t>Corporate Governance</w:t>
      </w:r>
    </w:p>
    <w:p>
      <w:pPr>
        <w:spacing w:after="0" w:line="23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Board is committed to high standards of corporate governance and ethical business conduct. The following corporate governance resources reflect this commitment and provide a framework within which directors and management operate the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Corporate Governance Resources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Information related to our corporate governance is available on our website at </w:t>
      </w:r>
      <w:r>
        <w:rPr>
          <w:rFonts w:ascii="Arial" w:cs="Arial" w:eastAsia="Arial" w:hAnsi="Arial"/>
          <w:sz w:val="18"/>
          <w:szCs w:val="18"/>
          <w:color w:val="0000FF"/>
        </w:rPr>
        <w:t>www.apog.com</w:t>
      </w:r>
      <w:r>
        <w:rPr>
          <w:rFonts w:ascii="Arial" w:cs="Arial" w:eastAsia="Arial" w:hAnsi="Arial"/>
          <w:sz w:val="18"/>
          <w:szCs w:val="18"/>
          <w:color w:val="auto"/>
        </w:rPr>
        <w:t xml:space="preserve"> by clicking on “Investors,” selecting “Governance” and then selecting the applicable document or information. This information includes:</w:t>
      </w:r>
    </w:p>
    <w:p>
      <w:pPr>
        <w:spacing w:after="0" w:line="15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Board and Committee Composition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Board Committee Charters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Code of Business Ethics and Conduct, including our Code of Conduct Hotline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How to Contact the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Corporate Governance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Restated Articles of Incorporation, as amended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Amended and Restated By-laws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Conflict Minerals Policy and related resources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Information relating to our management team is also available on our website at </w:t>
      </w:r>
      <w:r>
        <w:rPr>
          <w:rFonts w:ascii="Arial" w:cs="Arial" w:eastAsia="Arial" w:hAnsi="Arial"/>
          <w:sz w:val="18"/>
          <w:szCs w:val="18"/>
          <w:color w:val="0000FF"/>
        </w:rPr>
        <w:t>www.apog.com</w:t>
      </w:r>
      <w:r>
        <w:rPr>
          <w:rFonts w:ascii="Arial" w:cs="Arial" w:eastAsia="Arial" w:hAnsi="Arial"/>
          <w:sz w:val="18"/>
          <w:szCs w:val="18"/>
          <w:color w:val="auto"/>
        </w:rPr>
        <w:t xml:space="preserve"> by clicking on “About Us” and then selecting “Leadership.”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Code of Business Ethics and Conduct</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Board of Directors has adopted our Code of Business Ethics and Conduct (our “Code of Conduct”), which is a statement of our high standards for ethical behavior and legal compliance. All employees and members of our Board of Directors are required to comply with our Code of Conduct and receive training and certification on our Code of Conduct each year. For employees suspecting a violation of our Code of Conduct, we maintain an independent hotline available 24/7 that allows both anonymous and confidential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Corporate Governance Guidelines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Corporate Governance Guidelines outline the role, composition, qualifications, operation and other policies applicable to our Board of Directors and are revised as necessary to reflect evolving corporate governance practices.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Communications with Our Board of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stakeholders may communicate directly with our Board of Directors, our Independent Chair or any other specified individual director in writing by (i) sending a letter addressed to Apogee Directors, Apogee Enterprises, Inc., 4400 West 78th Street, Suite 520, Minneapolis, Minnesota 55435, or (ii) sending an email to Directors@apog.com. Substantive communications, such as corporate governance matters or potential issues relating to accounting, internal controls or other auditing matters, are forwarded by our Chief Legal Officer to the relevant director(s) as appropriate. Communications not requiring the substantive attention of our Board, such as employment inquiries, sales solicitations, donation requests, questions about our products, and other such matters, are handled directly by our management team.</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05445E"/>
        </w:rPr>
        <w:t>Director Independence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our Corporate Governance Guidelines, a substantial majority of the directors on our Board, and all members of our Audit, Compensation, and Nominating and Corporate Governance Committees (collectively, the “Committees”) must be independent. Each year, in accordance with Nasdaq rules, our Board of Directors affirmatively determines the independence of each director and nominee for election as a director in accordance with guidelines it has adopted, which include all elements of independence set forth in the Nasdaq listing standards and applicable SEC rules.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Nominating and Corporate Governance Committee reviewed the applicable legal standards for Board member and Committee member independence and reported on its review to our Board of Directors. Based on this review, our Board of Directors has determined that the following non-employee directors are independent and have no material relationship with the Company except serving as a director and holding shares of our common stock: Christina M. Alvord, Frank G. Heard, Lloyd E. Johnson, Elizabeth M. Lilly, Donald A. Nolan, Herbert K. Parker, Mark A. Pompa and Patricia K. Wagner. Our Board of Directors has determined that Ty R. Silberhorn is not independent because he serves as an officer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Board Leadership Structure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Nolan has served as our Independent Chair since January 2020. The Independent Chair of our Board chairs our annual meeting of shareholders, the meetings of our Board of Directors and executive sessions of our independent directors. In addition, the Independent Chair of our Board, in consultation with our Chief Executive Officer, establishes the agenda for each meeting of our Board of Directors. The Independent Chair also attends Committee meetings as an ad hoc member, participates in discussions but does not vote on Committee matters, and serves as the primary liaison between the senior management team and the Board. The Board believes that having an Independent Chair provides independent leadership on the Board and enables our Chief Executive Officer to focus his time and energy on development of strategy, operational improvements and leadership of the management and employee teams. The Board believes that this division of responsibilities serves the Board, the Company, and our shareholders well.</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recognizes that there are circumstances when combining the Independent Chair and Chief Executive Officer roles may be appropriate, such as for an interim period when either leader becomes incapacitated, or in the course of Independent Chair or Chief Executive Officer transitions.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Criteria for Membership on Our Board of Directors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Director candidates should possess the highest personal and professional ethics, integrity and values; be committed to representing the long-term interests of our stakeholders; have an inquisitive and objective perspective, practical wisdom and mature judgment; and be willing to challenge management in a constructive manner. Our Board of Directors strives for membership that is diverse in gender, race, ethnicity, age, geographic location, and business skills and experience at policy-making levels.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Director Time Commitment and Other Board Service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director candidates must be willing to devote sufficient time to carrying out their duties and responsibilities and should be committed to serving on our Board of Directors for an extended period of time. It is the policy of the Board that a non-employee director should not serve on the board of directors of more than four other publicly-held corporation unless approved by the majority of the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Procedure for Evaluating Director Nominees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Nominating and Corporate Governance Committee’s procedure for reviewing the qualifications of all nominees for membership on our Board of Directors includes making a preliminary assessment of each proposed nominee, based upon resume and biographical information, willingness to serve and other background information, business experience and leadership skills. Our Board believes that its membership should reflect a diversity of experience, skills, geography, gender, race and ethnicity, and invites directors to annually self-identify certain diversity characteristics that may inform their perspectives and contributions to the Board. The Committee considers each of these factors when evaluating our Board composition, and it considers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these factors on an ongoing basis as it identifies and evaluates director candidates. All director candidates who continue in the process are then interviewed by members of our Nominating and Corporate Governance Committee and other current directors. Our Nominating and Corporate Governance Committee makes recommendations to our Board of Directors for inclusion in the slate of director nominees at a meeting of shareholders, or for appointment by our Board of Directors to fill a vacancy. Prior to recommending a director to stand for re-election for another term, our Nominating and Corporate Governance Committee applies its director candidate selection criteria, including a director’s past contributions to our Board of Directors, effectiveness as a director, and desire to continue to serve as a director.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Board Refreshment and Retirement Policy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Company has an active board refreshment program. As a mechanism to encourage director refreshment, our Board of Directors has established a policy that no individual may stand for election to our Board after their 72nd birthday, unless otherwise approved by a majority of our directors.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Over 40% of our directors have joined our Board in the last five years: Christina M. Alvord, Frank G. Heard and Elizabeth M. Lilly in fiscal 2020 and Ty R. Silberhorn in fiscal 2021. Following the retirement of Mr. Heard, upon the completion of our 2025 Annual Meeting three of our eight directors will have five or fewer years of tenure on our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Stock Ownership Guidelines for Non-Employee Directors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of Directors has established director stock ownership guidelines that encourage share ownership by our directors of four times an amount equal to the annual Board retainer to be achieved within five years of first being elected as a director. For fiscal 2025, the annual Board retainer was $75,000. In calculating share ownership of our non-employee directors, we include shares of restricted stock, restricted stock units and deferred restricted stock units issued pursuant to our 2009 Director Stock Plan, 2019 Director Stock Plan and phantom stock units issued pursuant to our Deferred Compensation Plan for Non-Employee Directors. Shares are valued based on the average closing price of our common stock for the most recently completed fiscal year. As of February 28, 2025, the last trading day of fiscal 2025, all our non-employee directors exceeded our stock ownership guidelines.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Board Meetings and 2024 Annual Meeting of Shareholders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fiscal 2025, our Board of Directors met nine times and our non-employee directors met in executive session without our Chief Executive Officer or any other members of management being present at each regular meeting. Each of our directors attended more than 75% of the regularly scheduled and special meetings of our Board of Directors and our Committees on which they served during fiscal 2025.</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All members of our Board of Directors are expected to attend our annual meeting of shareholders, and all members of our Board of Directors who continued to serve on our Board after our 2024 Annual Meeting of Shareholders attended such meeting via the virtual meeting platform.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Board Committee Responsibilities, Meetings and Membership</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currently have three standing Committees: Audit, Compensation, and Nominating and Corporate Governance. Each Committee operates under a written charter that is available on our website at </w:t>
      </w:r>
      <w:r>
        <w:rPr>
          <w:rFonts w:ascii="Arial" w:cs="Arial" w:eastAsia="Arial" w:hAnsi="Arial"/>
          <w:sz w:val="18"/>
          <w:szCs w:val="18"/>
          <w:color w:val="0000FF"/>
        </w:rPr>
        <w:t>www.apog.com</w:t>
      </w:r>
      <w:r>
        <w:rPr>
          <w:rFonts w:ascii="Arial" w:cs="Arial" w:eastAsia="Arial" w:hAnsi="Arial"/>
          <w:sz w:val="18"/>
          <w:szCs w:val="18"/>
          <w:color w:val="auto"/>
        </w:rPr>
        <w:t xml:space="preserve"> by clicking on “Investors” and selecting “Governance” and then clicking on the applicable Board Committee. Each Committee member meets the applicable independence and experience requirements of the Nasdaq listing standards and the SEC for the Committees on which they serve. While our Committees are responsible for various aspects of our environmental, social and governance sustainability program, currently our full Board oversees the Company's strategies and material initiatives relating to corporate responsibility, including cybersecurity and climate-related risk.</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5445E"/>
              </w:rPr>
              <w:t>Board Committee</w:t>
            </w:r>
          </w:p>
        </w:tc>
        <w:tc>
          <w:tcPr>
            <w:tcW w:w="23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05445E"/>
              </w:rPr>
              <w:t>Responsibilities</w:t>
            </w:r>
          </w:p>
        </w:tc>
        <w:tc>
          <w:tcPr>
            <w:tcW w:w="1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760" w:type="dxa"/>
            <w:vAlign w:val="bottom"/>
          </w:tcPr>
          <w:p>
            <w:pPr>
              <w:ind w:left="20"/>
              <w:spacing w:after="0"/>
              <w:rPr>
                <w:sz w:val="20"/>
                <w:szCs w:val="20"/>
                <w:color w:val="auto"/>
              </w:rPr>
            </w:pPr>
            <w:r>
              <w:rPr>
                <w:rFonts w:ascii="Arial" w:cs="Arial" w:eastAsia="Arial" w:hAnsi="Arial"/>
                <w:sz w:val="16"/>
                <w:szCs w:val="16"/>
                <w:b w:val="1"/>
                <w:bCs w:val="1"/>
                <w:color w:val="05445E"/>
              </w:rPr>
              <w:t>AUDIT COMMITTEE</w:t>
            </w:r>
          </w:p>
        </w:tc>
        <w:tc>
          <w:tcPr>
            <w:tcW w:w="24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ind w:left="140"/>
              <w:spacing w:after="0"/>
              <w:rPr>
                <w:sz w:val="20"/>
                <w:szCs w:val="20"/>
                <w:color w:val="auto"/>
              </w:rPr>
            </w:pPr>
            <w:r>
              <w:rPr>
                <w:rFonts w:ascii="Arial" w:cs="Arial" w:eastAsia="Arial" w:hAnsi="Arial"/>
                <w:sz w:val="16"/>
                <w:szCs w:val="16"/>
                <w:color w:val="auto"/>
              </w:rPr>
              <w:t>Directly</w:t>
            </w:r>
          </w:p>
        </w:tc>
        <w:tc>
          <w:tcPr>
            <w:tcW w:w="1300" w:type="dxa"/>
            <w:vAlign w:val="bottom"/>
            <w:vMerge w:val="restart"/>
          </w:tcPr>
          <w:p>
            <w:pPr>
              <w:spacing w:after="0"/>
              <w:rPr>
                <w:sz w:val="20"/>
                <w:szCs w:val="20"/>
                <w:color w:val="auto"/>
              </w:rPr>
            </w:pPr>
            <w:r>
              <w:rPr>
                <w:rFonts w:ascii="Arial" w:cs="Arial" w:eastAsia="Arial" w:hAnsi="Arial"/>
                <w:sz w:val="16"/>
                <w:szCs w:val="16"/>
                <w:color w:val="auto"/>
              </w:rPr>
              <w:t>responsible  for</w:t>
            </w:r>
          </w:p>
        </w:tc>
        <w:tc>
          <w:tcPr>
            <w:tcW w:w="1500" w:type="dxa"/>
            <w:vAlign w:val="bottom"/>
            <w:vMerge w:val="restart"/>
          </w:tcPr>
          <w:p>
            <w:pPr>
              <w:ind w:left="60"/>
              <w:spacing w:after="0"/>
              <w:rPr>
                <w:sz w:val="20"/>
                <w:szCs w:val="20"/>
                <w:color w:val="auto"/>
              </w:rPr>
            </w:pPr>
            <w:r>
              <w:rPr>
                <w:rFonts w:ascii="Arial" w:cs="Arial" w:eastAsia="Arial" w:hAnsi="Arial"/>
                <w:sz w:val="16"/>
                <w:szCs w:val="16"/>
                <w:color w:val="auto"/>
              </w:rPr>
              <w:t>the  appointment,</w:t>
            </w:r>
          </w:p>
        </w:tc>
        <w:tc>
          <w:tcPr>
            <w:tcW w:w="1200" w:type="dxa"/>
            <w:vAlign w:val="bottom"/>
            <w:vMerge w:val="restart"/>
          </w:tcPr>
          <w:p>
            <w:pPr>
              <w:ind w:left="60"/>
              <w:spacing w:after="0"/>
              <w:rPr>
                <w:sz w:val="20"/>
                <w:szCs w:val="20"/>
                <w:color w:val="auto"/>
              </w:rPr>
            </w:pPr>
            <w:r>
              <w:rPr>
                <w:rFonts w:ascii="Arial" w:cs="Arial" w:eastAsia="Arial" w:hAnsi="Arial"/>
                <w:sz w:val="16"/>
                <w:szCs w:val="16"/>
                <w:color w:val="auto"/>
              </w:rPr>
              <w:t>compensation,</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retention,</w:t>
            </w:r>
          </w:p>
        </w:tc>
        <w:tc>
          <w:tcPr>
            <w:tcW w:w="0" w:type="dxa"/>
            <w:vAlign w:val="bottom"/>
          </w:tcPr>
          <w:p>
            <w:pPr>
              <w:spacing w:after="0"/>
              <w:rPr>
                <w:sz w:val="1"/>
                <w:szCs w:val="1"/>
                <w:color w:val="auto"/>
              </w:rPr>
            </w:pPr>
          </w:p>
        </w:tc>
      </w:tr>
      <w:tr>
        <w:trPr>
          <w:trHeight w:val="182"/>
        </w:trPr>
        <w:tc>
          <w:tcPr>
            <w:tcW w:w="2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All Members Independent</w:t>
            </w:r>
          </w:p>
        </w:tc>
        <w:tc>
          <w:tcPr>
            <w:tcW w:w="2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20" w:type="dxa"/>
            <w:vAlign w:val="bottom"/>
            <w:gridSpan w:val="5"/>
            <w:vMerge w:val="restart"/>
          </w:tcPr>
          <w:p>
            <w:pPr>
              <w:ind w:left="140"/>
              <w:spacing w:after="0"/>
              <w:rPr>
                <w:sz w:val="20"/>
                <w:szCs w:val="20"/>
                <w:color w:val="auto"/>
              </w:rPr>
            </w:pPr>
            <w:r>
              <w:rPr>
                <w:rFonts w:ascii="Arial" w:cs="Arial" w:eastAsia="Arial" w:hAnsi="Arial"/>
                <w:sz w:val="16"/>
                <w:szCs w:val="16"/>
                <w:color w:val="auto"/>
              </w:rPr>
              <w:t>termination, evaluation and oversight of the work of, and ascertaining the</w:t>
            </w:r>
          </w:p>
        </w:tc>
        <w:tc>
          <w:tcPr>
            <w:tcW w:w="0" w:type="dxa"/>
            <w:vAlign w:val="bottom"/>
          </w:tcPr>
          <w:p>
            <w:pPr>
              <w:spacing w:after="0"/>
              <w:rPr>
                <w:sz w:val="1"/>
                <w:szCs w:val="1"/>
                <w:color w:val="auto"/>
              </w:rPr>
            </w:pPr>
          </w:p>
        </w:tc>
      </w:tr>
      <w:tr>
        <w:trPr>
          <w:trHeight w:val="88"/>
        </w:trPr>
        <w:tc>
          <w:tcPr>
            <w:tcW w:w="2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6"/>
                <w:szCs w:val="16"/>
                <w:color w:val="auto"/>
              </w:rPr>
              <w:t>This Committee has oversight</w:t>
            </w:r>
          </w:p>
        </w:tc>
        <w:tc>
          <w:tcPr>
            <w:tcW w:w="240" w:type="dxa"/>
            <w:vAlign w:val="bottom"/>
          </w:tcPr>
          <w:p>
            <w:pPr>
              <w:spacing w:after="0"/>
              <w:rPr>
                <w:sz w:val="16"/>
                <w:szCs w:val="16"/>
                <w:color w:val="auto"/>
              </w:rPr>
            </w:pPr>
          </w:p>
        </w:tc>
        <w:tc>
          <w:tcPr>
            <w:tcW w:w="5620" w:type="dxa"/>
            <w:vAlign w:val="bottom"/>
            <w:gridSpan w:val="5"/>
          </w:tcPr>
          <w:p>
            <w:pPr>
              <w:ind w:left="140"/>
              <w:spacing w:after="0"/>
              <w:rPr>
                <w:sz w:val="20"/>
                <w:szCs w:val="20"/>
                <w:color w:val="auto"/>
              </w:rPr>
            </w:pPr>
            <w:r>
              <w:rPr>
                <w:rFonts w:ascii="Arial" w:cs="Arial" w:eastAsia="Arial" w:hAnsi="Arial"/>
                <w:sz w:val="16"/>
                <w:szCs w:val="16"/>
                <w:color w:val="auto"/>
              </w:rPr>
              <w:t>independence of, the independent registered public accounting firm.</w:t>
            </w: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rPr>
                <w:sz w:val="20"/>
                <w:szCs w:val="20"/>
                <w:color w:val="auto"/>
              </w:rPr>
            </w:pPr>
            <w:r>
              <w:rPr>
                <w:rFonts w:ascii="Arial" w:cs="Arial" w:eastAsia="Arial" w:hAnsi="Arial"/>
                <w:sz w:val="16"/>
                <w:szCs w:val="16"/>
                <w:color w:val="auto"/>
              </w:rPr>
              <w:t>responsibilities for our independent</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6"/>
                <w:szCs w:val="16"/>
                <w:color w:val="auto"/>
              </w:rPr>
              <w:t>registered public accounting firm.</w:t>
            </w:r>
          </w:p>
        </w:tc>
        <w:tc>
          <w:tcPr>
            <w:tcW w:w="5860" w:type="dxa"/>
            <w:vAlign w:val="bottom"/>
            <w:gridSpan w:val="6"/>
          </w:tcPr>
          <w:p>
            <w:pPr>
              <w:ind w:left="60"/>
              <w:spacing w:after="0"/>
              <w:rPr>
                <w:sz w:val="20"/>
                <w:szCs w:val="20"/>
                <w:color w:val="auto"/>
              </w:rPr>
            </w:pPr>
            <w:r>
              <w:rPr>
                <w:rFonts w:ascii="Arial" w:cs="Arial" w:eastAsia="Arial" w:hAnsi="Arial"/>
                <w:sz w:val="16"/>
                <w:szCs w:val="16"/>
                <w:color w:val="auto"/>
              </w:rPr>
              <w:t>•   Oversees our system of financial controls, internal audit procedures and</w:t>
            </w:r>
          </w:p>
        </w:tc>
        <w:tc>
          <w:tcPr>
            <w:tcW w:w="0" w:type="dxa"/>
            <w:vAlign w:val="bottom"/>
          </w:tcPr>
          <w:p>
            <w:pPr>
              <w:spacing w:after="0"/>
              <w:rPr>
                <w:sz w:val="1"/>
                <w:szCs w:val="1"/>
                <w:color w:val="auto"/>
              </w:rPr>
            </w:pPr>
          </w:p>
        </w:tc>
      </w:tr>
      <w:tr>
        <w:trPr>
          <w:trHeight w:val="215"/>
        </w:trPr>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Messrs. L. Johnson, Heard and</w:t>
            </w:r>
          </w:p>
        </w:tc>
        <w:tc>
          <w:tcPr>
            <w:tcW w:w="240" w:type="dxa"/>
            <w:vAlign w:val="bottom"/>
          </w:tcPr>
          <w:p>
            <w:pPr>
              <w:spacing w:after="0"/>
              <w:rPr>
                <w:sz w:val="18"/>
                <w:szCs w:val="18"/>
                <w:color w:val="auto"/>
              </w:rPr>
            </w:pPr>
          </w:p>
        </w:tc>
        <w:tc>
          <w:tcPr>
            <w:tcW w:w="2140" w:type="dxa"/>
            <w:vAlign w:val="bottom"/>
            <w:gridSpan w:val="2"/>
          </w:tcPr>
          <w:p>
            <w:pPr>
              <w:ind w:left="140"/>
              <w:spacing w:after="0"/>
              <w:rPr>
                <w:sz w:val="20"/>
                <w:szCs w:val="20"/>
                <w:color w:val="auto"/>
              </w:rPr>
            </w:pPr>
            <w:r>
              <w:rPr>
                <w:rFonts w:ascii="Arial" w:cs="Arial" w:eastAsia="Arial" w:hAnsi="Arial"/>
                <w:sz w:val="16"/>
                <w:szCs w:val="16"/>
                <w:color w:val="auto"/>
              </w:rPr>
              <w:t>internal audit function.</w:t>
            </w: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7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760" w:type="dxa"/>
            <w:vAlign w:val="bottom"/>
          </w:tcPr>
          <w:p>
            <w:pPr>
              <w:ind w:left="20"/>
              <w:spacing w:after="0"/>
              <w:rPr>
                <w:sz w:val="20"/>
                <w:szCs w:val="20"/>
                <w:color w:val="auto"/>
              </w:rPr>
            </w:pPr>
            <w:r>
              <w:rPr>
                <w:rFonts w:ascii="Arial" w:cs="Arial" w:eastAsia="Arial" w:hAnsi="Arial"/>
                <w:sz w:val="16"/>
                <w:szCs w:val="16"/>
                <w:color w:val="auto"/>
              </w:rPr>
              <w:t>Pompa are “audit committee financial</w:t>
            </w:r>
          </w:p>
        </w:tc>
        <w:tc>
          <w:tcPr>
            <w:tcW w:w="240" w:type="dxa"/>
            <w:vAlign w:val="bottom"/>
          </w:tcPr>
          <w:p>
            <w:pPr>
              <w:ind w:left="60"/>
              <w:spacing w:after="0"/>
              <w:rPr>
                <w:sz w:val="20"/>
                <w:szCs w:val="20"/>
                <w:color w:val="auto"/>
              </w:rPr>
            </w:pPr>
            <w:r>
              <w:rPr>
                <w:rFonts w:ascii="Arial" w:cs="Arial" w:eastAsia="Arial" w:hAnsi="Arial"/>
                <w:sz w:val="16"/>
                <w:szCs w:val="16"/>
                <w:color w:val="auto"/>
              </w:rPr>
              <w:t>•</w:t>
            </w:r>
          </w:p>
        </w:tc>
        <w:tc>
          <w:tcPr>
            <w:tcW w:w="840" w:type="dxa"/>
            <w:vAlign w:val="bottom"/>
          </w:tcPr>
          <w:p>
            <w:pPr>
              <w:ind w:left="140"/>
              <w:spacing w:after="0"/>
              <w:rPr>
                <w:sz w:val="20"/>
                <w:szCs w:val="20"/>
                <w:color w:val="auto"/>
              </w:rPr>
            </w:pPr>
            <w:r>
              <w:rPr>
                <w:rFonts w:ascii="Arial" w:cs="Arial" w:eastAsia="Arial" w:hAnsi="Arial"/>
                <w:sz w:val="16"/>
                <w:szCs w:val="16"/>
                <w:color w:val="auto"/>
                <w:w w:val="99"/>
              </w:rPr>
              <w:t>Oversees</w:t>
            </w:r>
          </w:p>
        </w:tc>
        <w:tc>
          <w:tcPr>
            <w:tcW w:w="1300" w:type="dxa"/>
            <w:vAlign w:val="bottom"/>
          </w:tcPr>
          <w:p>
            <w:pPr>
              <w:ind w:left="80"/>
              <w:spacing w:after="0"/>
              <w:rPr>
                <w:sz w:val="20"/>
                <w:szCs w:val="20"/>
                <w:color w:val="auto"/>
              </w:rPr>
            </w:pPr>
            <w:r>
              <w:rPr>
                <w:rFonts w:ascii="Arial" w:cs="Arial" w:eastAsia="Arial" w:hAnsi="Arial"/>
                <w:sz w:val="16"/>
                <w:szCs w:val="16"/>
                <w:color w:val="auto"/>
              </w:rPr>
              <w:t>our program to</w:t>
            </w:r>
          </w:p>
        </w:tc>
        <w:tc>
          <w:tcPr>
            <w:tcW w:w="1500" w:type="dxa"/>
            <w:vAlign w:val="bottom"/>
          </w:tcPr>
          <w:p>
            <w:pPr>
              <w:ind w:left="40"/>
              <w:spacing w:after="0"/>
              <w:rPr>
                <w:sz w:val="20"/>
                <w:szCs w:val="20"/>
                <w:color w:val="auto"/>
              </w:rPr>
            </w:pPr>
            <w:r>
              <w:rPr>
                <w:rFonts w:ascii="Arial" w:cs="Arial" w:eastAsia="Arial" w:hAnsi="Arial"/>
                <w:sz w:val="16"/>
                <w:szCs w:val="16"/>
                <w:color w:val="auto"/>
              </w:rPr>
              <w:t>ensure compliance</w:t>
            </w:r>
          </w:p>
        </w:tc>
        <w:tc>
          <w:tcPr>
            <w:tcW w:w="1200" w:type="dxa"/>
            <w:vAlign w:val="bottom"/>
          </w:tcPr>
          <w:p>
            <w:pPr>
              <w:ind w:left="60"/>
              <w:spacing w:after="0"/>
              <w:rPr>
                <w:sz w:val="20"/>
                <w:szCs w:val="20"/>
                <w:color w:val="auto"/>
              </w:rPr>
            </w:pPr>
            <w:r>
              <w:rPr>
                <w:rFonts w:ascii="Arial" w:cs="Arial" w:eastAsia="Arial" w:hAnsi="Arial"/>
                <w:sz w:val="16"/>
                <w:szCs w:val="16"/>
                <w:color w:val="auto"/>
              </w:rPr>
              <w:t>with legal and</w:t>
            </w:r>
          </w:p>
        </w:tc>
        <w:tc>
          <w:tcPr>
            <w:tcW w:w="780" w:type="dxa"/>
            <w:vAlign w:val="bottom"/>
          </w:tcPr>
          <w:p>
            <w:pPr>
              <w:jc w:val="right"/>
              <w:spacing w:after="0"/>
              <w:rPr>
                <w:sz w:val="20"/>
                <w:szCs w:val="20"/>
                <w:color w:val="auto"/>
              </w:rPr>
            </w:pPr>
            <w:r>
              <w:rPr>
                <w:rFonts w:ascii="Arial" w:cs="Arial" w:eastAsia="Arial" w:hAnsi="Arial"/>
                <w:sz w:val="16"/>
                <w:szCs w:val="16"/>
                <w:color w:val="auto"/>
              </w:rPr>
              <w:t>regulatory</w:t>
            </w:r>
          </w:p>
        </w:tc>
        <w:tc>
          <w:tcPr>
            <w:tcW w:w="0" w:type="dxa"/>
            <w:vAlign w:val="bottom"/>
          </w:tcPr>
          <w:p>
            <w:pPr>
              <w:spacing w:after="0"/>
              <w:rPr>
                <w:sz w:val="1"/>
                <w:szCs w:val="1"/>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6"/>
                <w:szCs w:val="16"/>
                <w:color w:val="auto"/>
              </w:rPr>
              <w:t>experts” under the rules of the SEC.</w:t>
            </w:r>
          </w:p>
        </w:tc>
        <w:tc>
          <w:tcPr>
            <w:tcW w:w="240" w:type="dxa"/>
            <w:vAlign w:val="bottom"/>
          </w:tcPr>
          <w:p>
            <w:pPr>
              <w:spacing w:after="0"/>
              <w:rPr>
                <w:sz w:val="16"/>
                <w:szCs w:val="16"/>
                <w:color w:val="auto"/>
              </w:rPr>
            </w:pPr>
          </w:p>
        </w:tc>
        <w:tc>
          <w:tcPr>
            <w:tcW w:w="3640" w:type="dxa"/>
            <w:vAlign w:val="bottom"/>
            <w:gridSpan w:val="3"/>
            <w:vMerge w:val="restart"/>
          </w:tcPr>
          <w:p>
            <w:pPr>
              <w:ind w:left="140"/>
              <w:spacing w:after="0"/>
              <w:rPr>
                <w:sz w:val="20"/>
                <w:szCs w:val="20"/>
                <w:color w:val="auto"/>
              </w:rPr>
            </w:pPr>
            <w:r>
              <w:rPr>
                <w:rFonts w:ascii="Arial" w:cs="Arial" w:eastAsia="Arial" w:hAnsi="Arial"/>
                <w:sz w:val="16"/>
                <w:szCs w:val="16"/>
                <w:color w:val="auto"/>
              </w:rPr>
              <w:t>requirements and ethical business practices.</w:t>
            </w: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2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4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3"/>
        </w:trPr>
        <w:tc>
          <w:tcPr>
            <w:tcW w:w="2760" w:type="dxa"/>
            <w:vAlign w:val="bottom"/>
          </w:tcPr>
          <w:p>
            <w:pPr>
              <w:spacing w:after="0"/>
              <w:rPr>
                <w:sz w:val="24"/>
                <w:szCs w:val="24"/>
                <w:color w:val="auto"/>
              </w:rPr>
            </w:pPr>
          </w:p>
        </w:tc>
        <w:tc>
          <w:tcPr>
            <w:tcW w:w="5860" w:type="dxa"/>
            <w:vAlign w:val="bottom"/>
            <w:gridSpan w:val="6"/>
          </w:tcPr>
          <w:p>
            <w:pPr>
              <w:ind w:left="60"/>
              <w:spacing w:after="0"/>
              <w:rPr>
                <w:sz w:val="20"/>
                <w:szCs w:val="20"/>
                <w:color w:val="auto"/>
              </w:rPr>
            </w:pPr>
            <w:r>
              <w:rPr>
                <w:rFonts w:ascii="Arial" w:cs="Arial" w:eastAsia="Arial" w:hAnsi="Arial"/>
                <w:sz w:val="16"/>
                <w:szCs w:val="16"/>
                <w:color w:val="auto"/>
              </w:rPr>
              <w:t>•   Assesses and establishes policies and procedures to manage our financial</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gridSpan w:val="3"/>
          </w:tcPr>
          <w:p>
            <w:pPr>
              <w:ind w:left="140"/>
              <w:spacing w:after="0"/>
              <w:rPr>
                <w:sz w:val="20"/>
                <w:szCs w:val="20"/>
                <w:color w:val="auto"/>
              </w:rPr>
            </w:pPr>
            <w:r>
              <w:rPr>
                <w:rFonts w:ascii="Arial" w:cs="Arial" w:eastAsia="Arial" w:hAnsi="Arial"/>
                <w:sz w:val="16"/>
                <w:szCs w:val="16"/>
                <w:color w:val="auto"/>
              </w:rPr>
              <w:t>reporting and internal control risk.</w:t>
            </w: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2760" w:type="dxa"/>
            <w:vAlign w:val="bottom"/>
          </w:tcPr>
          <w:p>
            <w:pPr>
              <w:spacing w:after="0"/>
              <w:rPr>
                <w:sz w:val="24"/>
                <w:szCs w:val="24"/>
                <w:color w:val="auto"/>
              </w:rPr>
            </w:pPr>
          </w:p>
        </w:tc>
        <w:tc>
          <w:tcPr>
            <w:tcW w:w="5860" w:type="dxa"/>
            <w:vAlign w:val="bottom"/>
            <w:gridSpan w:val="6"/>
          </w:tcPr>
          <w:p>
            <w:pPr>
              <w:ind w:left="60"/>
              <w:spacing w:after="0"/>
              <w:rPr>
                <w:sz w:val="20"/>
                <w:szCs w:val="20"/>
                <w:color w:val="auto"/>
              </w:rPr>
            </w:pPr>
            <w:r>
              <w:rPr>
                <w:rFonts w:ascii="Arial" w:cs="Arial" w:eastAsia="Arial" w:hAnsi="Arial"/>
                <w:sz w:val="16"/>
                <w:szCs w:val="16"/>
                <w:color w:val="auto"/>
              </w:rPr>
              <w:t>•   Establishes policies and procedures for the pre-approval of all services by</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gridSpan w:val="4"/>
          </w:tcPr>
          <w:p>
            <w:pPr>
              <w:ind w:left="140"/>
              <w:spacing w:after="0"/>
              <w:rPr>
                <w:sz w:val="20"/>
                <w:szCs w:val="20"/>
                <w:color w:val="auto"/>
              </w:rPr>
            </w:pPr>
            <w:r>
              <w:rPr>
                <w:rFonts w:ascii="Arial" w:cs="Arial" w:eastAsia="Arial" w:hAnsi="Arial"/>
                <w:sz w:val="16"/>
                <w:szCs w:val="16"/>
                <w:color w:val="auto"/>
              </w:rPr>
              <w:t>our independent registered public accounting firm.</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2760" w:type="dxa"/>
            <w:vAlign w:val="bottom"/>
          </w:tcPr>
          <w:p>
            <w:pPr>
              <w:spacing w:after="0"/>
              <w:rPr>
                <w:sz w:val="24"/>
                <w:szCs w:val="24"/>
                <w:color w:val="auto"/>
              </w:rPr>
            </w:pPr>
          </w:p>
        </w:tc>
        <w:tc>
          <w:tcPr>
            <w:tcW w:w="5860" w:type="dxa"/>
            <w:vAlign w:val="bottom"/>
            <w:gridSpan w:val="6"/>
          </w:tcPr>
          <w:p>
            <w:pPr>
              <w:ind w:left="60"/>
              <w:spacing w:after="0"/>
              <w:rPr>
                <w:sz w:val="20"/>
                <w:szCs w:val="20"/>
                <w:color w:val="auto"/>
              </w:rPr>
            </w:pPr>
            <w:r>
              <w:rPr>
                <w:rFonts w:ascii="Arial" w:cs="Arial" w:eastAsia="Arial" w:hAnsi="Arial"/>
                <w:sz w:val="16"/>
                <w:szCs w:val="16"/>
                <w:color w:val="auto"/>
              </w:rPr>
              <w:t>•   Establishes  procedures  for  the  receipt,  retention  and  treatment  of</w:t>
            </w:r>
          </w:p>
        </w:tc>
        <w:tc>
          <w:tcPr>
            <w:tcW w:w="0" w:type="dxa"/>
            <w:vAlign w:val="bottom"/>
          </w:tcPr>
          <w:p>
            <w:pPr>
              <w:spacing w:after="0"/>
              <w:rPr>
                <w:sz w:val="1"/>
                <w:szCs w:val="1"/>
                <w:color w:val="auto"/>
              </w:rPr>
            </w:pPr>
          </w:p>
        </w:tc>
      </w:tr>
      <w:tr>
        <w:trPr>
          <w:trHeight w:val="224"/>
        </w:trPr>
        <w:tc>
          <w:tcPr>
            <w:tcW w:w="2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2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color w:val="auto"/>
              </w:rPr>
              <w:t>complaints regarding accounting, internal controls and auditing matters.</w:t>
            </w:r>
          </w:p>
        </w:tc>
        <w:tc>
          <w:tcPr>
            <w:tcW w:w="0" w:type="dxa"/>
            <w:vAlign w:val="bottom"/>
          </w:tcPr>
          <w:p>
            <w:pPr>
              <w:spacing w:after="0"/>
              <w:rPr>
                <w:sz w:val="1"/>
                <w:szCs w:val="1"/>
                <w:color w:val="auto"/>
              </w:rPr>
            </w:pPr>
          </w:p>
        </w:tc>
      </w:tr>
      <w:tr>
        <w:trPr>
          <w:trHeight w:val="296"/>
        </w:trPr>
        <w:tc>
          <w:tcPr>
            <w:tcW w:w="2760" w:type="dxa"/>
            <w:vAlign w:val="bottom"/>
          </w:tcPr>
          <w:p>
            <w:pPr>
              <w:ind w:left="20"/>
              <w:spacing w:after="0"/>
              <w:rPr>
                <w:sz w:val="20"/>
                <w:szCs w:val="20"/>
                <w:color w:val="auto"/>
              </w:rPr>
            </w:pPr>
            <w:r>
              <w:rPr>
                <w:rFonts w:ascii="Arial" w:cs="Arial" w:eastAsia="Arial" w:hAnsi="Arial"/>
                <w:sz w:val="16"/>
                <w:szCs w:val="16"/>
                <w:b w:val="1"/>
                <w:bCs w:val="1"/>
                <w:color w:val="05445E"/>
              </w:rPr>
              <w:t>COMPENSATION</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6"/>
                <w:szCs w:val="16"/>
                <w:b w:val="1"/>
                <w:bCs w:val="1"/>
                <w:color w:val="05445E"/>
              </w:rPr>
              <w:t>COMMITTEE</w:t>
            </w:r>
          </w:p>
        </w:tc>
        <w:tc>
          <w:tcPr>
            <w:tcW w:w="5860" w:type="dxa"/>
            <w:vAlign w:val="bottom"/>
            <w:gridSpan w:val="6"/>
          </w:tcPr>
          <w:p>
            <w:pPr>
              <w:ind w:left="60"/>
              <w:spacing w:after="0"/>
              <w:rPr>
                <w:sz w:val="20"/>
                <w:szCs w:val="20"/>
                <w:color w:val="auto"/>
              </w:rPr>
            </w:pPr>
            <w:r>
              <w:rPr>
                <w:rFonts w:ascii="Arial" w:cs="Arial" w:eastAsia="Arial" w:hAnsi="Arial"/>
                <w:sz w:val="16"/>
                <w:szCs w:val="16"/>
                <w:color w:val="auto"/>
              </w:rPr>
              <w:t>•   Establishes our executive compensation philosophy and compensation</w:t>
            </w:r>
          </w:p>
        </w:tc>
        <w:tc>
          <w:tcPr>
            <w:tcW w:w="0" w:type="dxa"/>
            <w:vAlign w:val="bottom"/>
          </w:tcPr>
          <w:p>
            <w:pPr>
              <w:spacing w:after="0"/>
              <w:rPr>
                <w:sz w:val="1"/>
                <w:szCs w:val="1"/>
                <w:color w:val="auto"/>
              </w:rPr>
            </w:pPr>
          </w:p>
        </w:tc>
      </w:tr>
      <w:tr>
        <w:trPr>
          <w:trHeight w:val="215"/>
        </w:trPr>
        <w:tc>
          <w:tcPr>
            <w:tcW w:w="2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All Members Independent</w:t>
            </w:r>
          </w:p>
        </w:tc>
        <w:tc>
          <w:tcPr>
            <w:tcW w:w="240" w:type="dxa"/>
            <w:vAlign w:val="bottom"/>
          </w:tcPr>
          <w:p>
            <w:pPr>
              <w:spacing w:after="0"/>
              <w:rPr>
                <w:sz w:val="18"/>
                <w:szCs w:val="18"/>
                <w:color w:val="auto"/>
              </w:rPr>
            </w:pPr>
          </w:p>
        </w:tc>
        <w:tc>
          <w:tcPr>
            <w:tcW w:w="3640" w:type="dxa"/>
            <w:vAlign w:val="bottom"/>
            <w:gridSpan w:val="3"/>
          </w:tcPr>
          <w:p>
            <w:pPr>
              <w:ind w:left="140"/>
              <w:spacing w:after="0"/>
              <w:rPr>
                <w:sz w:val="20"/>
                <w:szCs w:val="20"/>
                <w:color w:val="auto"/>
              </w:rPr>
            </w:pPr>
            <w:r>
              <w:rPr>
                <w:rFonts w:ascii="Arial" w:cs="Arial" w:eastAsia="Arial" w:hAnsi="Arial"/>
                <w:sz w:val="16"/>
                <w:szCs w:val="16"/>
                <w:color w:val="auto"/>
              </w:rPr>
              <w:t>programs that comply with this philosophy.</w:t>
            </w: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27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2760" w:type="dxa"/>
            <w:vAlign w:val="bottom"/>
          </w:tcPr>
          <w:p>
            <w:pPr>
              <w:ind w:left="20"/>
              <w:spacing w:after="0"/>
              <w:rPr>
                <w:sz w:val="20"/>
                <w:szCs w:val="20"/>
                <w:color w:val="auto"/>
              </w:rPr>
            </w:pPr>
            <w:r>
              <w:rPr>
                <w:rFonts w:ascii="Arial" w:cs="Arial" w:eastAsia="Arial" w:hAnsi="Arial"/>
                <w:sz w:val="16"/>
                <w:szCs w:val="16"/>
                <w:color w:val="auto"/>
              </w:rPr>
              <w:t>This Committee administers our</w:t>
            </w:r>
          </w:p>
        </w:tc>
        <w:tc>
          <w:tcPr>
            <w:tcW w:w="5860" w:type="dxa"/>
            <w:vAlign w:val="bottom"/>
            <w:gridSpan w:val="6"/>
          </w:tcPr>
          <w:p>
            <w:pPr>
              <w:ind w:left="60"/>
              <w:spacing w:after="0"/>
              <w:rPr>
                <w:sz w:val="20"/>
                <w:szCs w:val="20"/>
                <w:color w:val="auto"/>
              </w:rPr>
            </w:pPr>
            <w:r>
              <w:rPr>
                <w:rFonts w:ascii="Arial" w:cs="Arial" w:eastAsia="Arial" w:hAnsi="Arial"/>
                <w:sz w:val="16"/>
                <w:szCs w:val="16"/>
                <w:color w:val="auto"/>
              </w:rPr>
              <w:t>•   Evaluates the Chief Executive Officer’s performance in light of approved</w:t>
            </w:r>
          </w:p>
        </w:tc>
        <w:tc>
          <w:tcPr>
            <w:tcW w:w="0" w:type="dxa"/>
            <w:vAlign w:val="bottom"/>
          </w:tcPr>
          <w:p>
            <w:pPr>
              <w:spacing w:after="0"/>
              <w:rPr>
                <w:sz w:val="1"/>
                <w:szCs w:val="1"/>
                <w:color w:val="auto"/>
              </w:rPr>
            </w:pPr>
          </w:p>
        </w:tc>
      </w:tr>
      <w:tr>
        <w:trPr>
          <w:trHeight w:val="228"/>
        </w:trPr>
        <w:tc>
          <w:tcPr>
            <w:tcW w:w="2760" w:type="dxa"/>
            <w:vAlign w:val="bottom"/>
          </w:tcPr>
          <w:p>
            <w:pPr>
              <w:ind w:left="20"/>
              <w:spacing w:after="0"/>
              <w:rPr>
                <w:sz w:val="20"/>
                <w:szCs w:val="20"/>
                <w:color w:val="auto"/>
              </w:rPr>
            </w:pPr>
            <w:r>
              <w:rPr>
                <w:rFonts w:ascii="Arial" w:cs="Arial" w:eastAsia="Arial" w:hAnsi="Arial"/>
                <w:sz w:val="16"/>
                <w:szCs w:val="16"/>
                <w:color w:val="auto"/>
              </w:rPr>
              <w:t>executive compensation program.</w:t>
            </w:r>
          </w:p>
        </w:tc>
        <w:tc>
          <w:tcPr>
            <w:tcW w:w="240" w:type="dxa"/>
            <w:vAlign w:val="bottom"/>
          </w:tcPr>
          <w:p>
            <w:pPr>
              <w:spacing w:after="0"/>
              <w:rPr>
                <w:sz w:val="19"/>
                <w:szCs w:val="19"/>
                <w:color w:val="auto"/>
              </w:rPr>
            </w:pPr>
          </w:p>
        </w:tc>
        <w:tc>
          <w:tcPr>
            <w:tcW w:w="5620" w:type="dxa"/>
            <w:vAlign w:val="bottom"/>
            <w:gridSpan w:val="5"/>
          </w:tcPr>
          <w:p>
            <w:pPr>
              <w:ind w:left="140"/>
              <w:spacing w:after="0"/>
              <w:rPr>
                <w:sz w:val="20"/>
                <w:szCs w:val="20"/>
                <w:color w:val="auto"/>
              </w:rPr>
            </w:pPr>
            <w:r>
              <w:rPr>
                <w:rFonts w:ascii="Arial" w:cs="Arial" w:eastAsia="Arial" w:hAnsi="Arial"/>
                <w:sz w:val="16"/>
                <w:szCs w:val="16"/>
                <w:color w:val="auto"/>
              </w:rPr>
              <w:t>goals and objectives and recommends to the Board for its approval the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720" w:type="dxa"/>
            <w:vAlign w:val="bottom"/>
            <w:vMerge w:val="restart"/>
          </w:tcPr>
          <w:p>
            <w:pPr>
              <w:ind w:left="20"/>
              <w:spacing w:after="0"/>
              <w:rPr>
                <w:sz w:val="20"/>
                <w:szCs w:val="20"/>
                <w:color w:val="auto"/>
              </w:rPr>
            </w:pPr>
            <w:r>
              <w:rPr>
                <w:rFonts w:ascii="Arial" w:cs="Arial" w:eastAsia="Arial" w:hAnsi="Arial"/>
                <w:sz w:val="16"/>
                <w:szCs w:val="16"/>
                <w:color w:val="auto"/>
              </w:rPr>
              <w:t>Each member is a “non-employee”</w:t>
            </w:r>
          </w:p>
        </w:tc>
        <w:tc>
          <w:tcPr>
            <w:tcW w:w="5900" w:type="dxa"/>
            <w:vAlign w:val="bottom"/>
          </w:tcPr>
          <w:p>
            <w:pPr>
              <w:ind w:left="420"/>
              <w:spacing w:after="0" w:line="177" w:lineRule="exact"/>
              <w:rPr>
                <w:sz w:val="20"/>
                <w:szCs w:val="20"/>
                <w:color w:val="auto"/>
              </w:rPr>
            </w:pPr>
            <w:r>
              <w:rPr>
                <w:rFonts w:ascii="Arial" w:cs="Arial" w:eastAsia="Arial" w:hAnsi="Arial"/>
                <w:sz w:val="16"/>
                <w:szCs w:val="16"/>
                <w:color w:val="auto"/>
              </w:rPr>
              <w:t>Chief Executive Officer’s compensation, including base salary, annual</w:t>
            </w:r>
          </w:p>
        </w:tc>
        <w:tc>
          <w:tcPr>
            <w:tcW w:w="0" w:type="dxa"/>
            <w:vAlign w:val="bottom"/>
          </w:tcPr>
          <w:p>
            <w:pPr>
              <w:spacing w:after="0"/>
              <w:rPr>
                <w:sz w:val="1"/>
                <w:szCs w:val="1"/>
                <w:color w:val="auto"/>
              </w:rPr>
            </w:pPr>
          </w:p>
        </w:tc>
      </w:tr>
      <w:tr>
        <w:trPr>
          <w:trHeight w:val="81"/>
        </w:trPr>
        <w:tc>
          <w:tcPr>
            <w:tcW w:w="2720" w:type="dxa"/>
            <w:vAlign w:val="bottom"/>
            <w:vMerge w:val="continue"/>
          </w:tcPr>
          <w:p>
            <w:pPr>
              <w:spacing w:after="0"/>
              <w:rPr>
                <w:sz w:val="7"/>
                <w:szCs w:val="7"/>
                <w:color w:val="auto"/>
              </w:rPr>
            </w:pPr>
          </w:p>
        </w:tc>
        <w:tc>
          <w:tcPr>
            <w:tcW w:w="5900" w:type="dxa"/>
            <w:vAlign w:val="bottom"/>
            <w:vMerge w:val="restart"/>
          </w:tcPr>
          <w:p>
            <w:pPr>
              <w:ind w:left="420"/>
              <w:spacing w:after="0"/>
              <w:rPr>
                <w:sz w:val="20"/>
                <w:szCs w:val="20"/>
                <w:color w:val="auto"/>
              </w:rPr>
            </w:pPr>
            <w:r>
              <w:rPr>
                <w:rFonts w:ascii="Arial" w:cs="Arial" w:eastAsia="Arial" w:hAnsi="Arial"/>
                <w:sz w:val="16"/>
                <w:szCs w:val="16"/>
                <w:color w:val="auto"/>
              </w:rPr>
              <w:t>incentive compensation and long-term incentive compensation.</w:t>
            </w:r>
          </w:p>
        </w:tc>
        <w:tc>
          <w:tcPr>
            <w:tcW w:w="0" w:type="dxa"/>
            <w:vAlign w:val="bottom"/>
          </w:tcPr>
          <w:p>
            <w:pPr>
              <w:spacing w:after="0"/>
              <w:rPr>
                <w:sz w:val="1"/>
                <w:szCs w:val="1"/>
                <w:color w:val="auto"/>
              </w:rPr>
            </w:pPr>
          </w:p>
        </w:tc>
      </w:tr>
      <w:tr>
        <w:trPr>
          <w:trHeight w:val="134"/>
        </w:trPr>
        <w:tc>
          <w:tcPr>
            <w:tcW w:w="2720" w:type="dxa"/>
            <w:vAlign w:val="bottom"/>
            <w:vMerge w:val="restart"/>
          </w:tcPr>
          <w:p>
            <w:pPr>
              <w:ind w:left="20"/>
              <w:spacing w:after="0"/>
              <w:rPr>
                <w:sz w:val="20"/>
                <w:szCs w:val="20"/>
                <w:color w:val="auto"/>
              </w:rPr>
            </w:pPr>
            <w:r>
              <w:rPr>
                <w:rFonts w:ascii="Arial" w:cs="Arial" w:eastAsia="Arial" w:hAnsi="Arial"/>
                <w:sz w:val="16"/>
                <w:szCs w:val="16"/>
                <w:color w:val="auto"/>
              </w:rPr>
              <w:t>director, as defined in the Exchange</w:t>
            </w:r>
          </w:p>
        </w:tc>
        <w:tc>
          <w:tcPr>
            <w:tcW w:w="5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720" w:type="dxa"/>
            <w:vAlign w:val="bottom"/>
            <w:vMerge w:val="continue"/>
          </w:tcPr>
          <w:p>
            <w:pPr>
              <w:spacing w:after="0"/>
              <w:rPr>
                <w:sz w:val="5"/>
                <w:szCs w:val="5"/>
                <w:color w:val="auto"/>
              </w:rPr>
            </w:pPr>
          </w:p>
        </w:tc>
        <w:tc>
          <w:tcPr>
            <w:tcW w:w="5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720" w:type="dxa"/>
            <w:vAlign w:val="bottom"/>
          </w:tcPr>
          <w:p>
            <w:pPr>
              <w:ind w:left="20"/>
              <w:spacing w:after="0"/>
              <w:rPr>
                <w:sz w:val="20"/>
                <w:szCs w:val="20"/>
                <w:color w:val="auto"/>
              </w:rPr>
            </w:pPr>
            <w:r>
              <w:rPr>
                <w:rFonts w:ascii="Arial" w:cs="Arial" w:eastAsia="Arial" w:hAnsi="Arial"/>
                <w:sz w:val="16"/>
                <w:szCs w:val="16"/>
                <w:color w:val="auto"/>
              </w:rPr>
              <w:t>Act.</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   Determines the compensation of our executive officers (other than the Chief</w:t>
            </w:r>
          </w:p>
        </w:tc>
        <w:tc>
          <w:tcPr>
            <w:tcW w:w="0" w:type="dxa"/>
            <w:vAlign w:val="bottom"/>
          </w:tcPr>
          <w:p>
            <w:pPr>
              <w:spacing w:after="0"/>
              <w:rPr>
                <w:sz w:val="1"/>
                <w:szCs w:val="1"/>
                <w:color w:val="auto"/>
              </w:rPr>
            </w:pPr>
          </w:p>
        </w:tc>
      </w:tr>
      <w:tr>
        <w:trPr>
          <w:trHeight w:val="109"/>
        </w:trPr>
        <w:tc>
          <w:tcPr>
            <w:tcW w:w="2720" w:type="dxa"/>
            <w:vAlign w:val="bottom"/>
          </w:tcPr>
          <w:p>
            <w:pPr>
              <w:spacing w:after="0"/>
              <w:rPr>
                <w:sz w:val="9"/>
                <w:szCs w:val="9"/>
                <w:color w:val="auto"/>
              </w:rPr>
            </w:pPr>
          </w:p>
        </w:tc>
        <w:tc>
          <w:tcPr>
            <w:tcW w:w="5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7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6"/>
                <w:szCs w:val="16"/>
                <w:color w:val="auto"/>
              </w:rPr>
              <w:t>Executive Officer) and other members of senior management.</w:t>
            </w:r>
          </w:p>
        </w:tc>
        <w:tc>
          <w:tcPr>
            <w:tcW w:w="0" w:type="dxa"/>
            <w:vAlign w:val="bottom"/>
          </w:tcPr>
          <w:p>
            <w:pPr>
              <w:spacing w:after="0"/>
              <w:rPr>
                <w:sz w:val="1"/>
                <w:szCs w:val="1"/>
                <w:color w:val="auto"/>
              </w:rPr>
            </w:pPr>
          </w:p>
        </w:tc>
      </w:tr>
      <w:tr>
        <w:trPr>
          <w:trHeight w:val="393"/>
        </w:trPr>
        <w:tc>
          <w:tcPr>
            <w:tcW w:w="2720" w:type="dxa"/>
            <w:vAlign w:val="bottom"/>
          </w:tcPr>
          <w:p>
            <w:pPr>
              <w:spacing w:after="0"/>
              <w:rPr>
                <w:sz w:val="24"/>
                <w:szCs w:val="24"/>
                <w:color w:val="auto"/>
              </w:rPr>
            </w:pPr>
          </w:p>
        </w:tc>
        <w:tc>
          <w:tcPr>
            <w:tcW w:w="5900" w:type="dxa"/>
            <w:vAlign w:val="bottom"/>
          </w:tcPr>
          <w:p>
            <w:pPr>
              <w:ind w:left="100"/>
              <w:spacing w:after="0"/>
              <w:rPr>
                <w:sz w:val="20"/>
                <w:szCs w:val="20"/>
                <w:color w:val="auto"/>
              </w:rPr>
            </w:pPr>
            <w:r>
              <w:rPr>
                <w:rFonts w:ascii="Arial" w:cs="Arial" w:eastAsia="Arial" w:hAnsi="Arial"/>
                <w:sz w:val="16"/>
                <w:szCs w:val="16"/>
                <w:color w:val="auto"/>
              </w:rPr>
              <w:t>•   Responsible for annual assessment of the risk associated with our</w:t>
            </w:r>
          </w:p>
        </w:tc>
        <w:tc>
          <w:tcPr>
            <w:tcW w:w="0" w:type="dxa"/>
            <w:vAlign w:val="bottom"/>
          </w:tcPr>
          <w:p>
            <w:pPr>
              <w:spacing w:after="0"/>
              <w:rPr>
                <w:sz w:val="1"/>
                <w:szCs w:val="1"/>
                <w:color w:val="auto"/>
              </w:rPr>
            </w:pPr>
          </w:p>
        </w:tc>
      </w:tr>
      <w:tr>
        <w:trPr>
          <w:trHeight w:val="215"/>
        </w:trPr>
        <w:tc>
          <w:tcPr>
            <w:tcW w:w="27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6"/>
                <w:szCs w:val="16"/>
                <w:color w:val="auto"/>
              </w:rPr>
              <w:t>compensation programs, policies and practices.</w:t>
            </w:r>
          </w:p>
        </w:tc>
        <w:tc>
          <w:tcPr>
            <w:tcW w:w="0" w:type="dxa"/>
            <w:vAlign w:val="bottom"/>
          </w:tcPr>
          <w:p>
            <w:pPr>
              <w:spacing w:after="0"/>
              <w:rPr>
                <w:sz w:val="1"/>
                <w:szCs w:val="1"/>
                <w:color w:val="auto"/>
              </w:rPr>
            </w:pPr>
          </w:p>
        </w:tc>
      </w:tr>
      <w:tr>
        <w:trPr>
          <w:trHeight w:val="379"/>
        </w:trPr>
        <w:tc>
          <w:tcPr>
            <w:tcW w:w="2720" w:type="dxa"/>
            <w:vAlign w:val="bottom"/>
          </w:tcPr>
          <w:p>
            <w:pPr>
              <w:spacing w:after="0"/>
              <w:rPr>
                <w:sz w:val="24"/>
                <w:szCs w:val="24"/>
                <w:color w:val="auto"/>
              </w:rPr>
            </w:pPr>
          </w:p>
        </w:tc>
        <w:tc>
          <w:tcPr>
            <w:tcW w:w="5900" w:type="dxa"/>
            <w:vAlign w:val="bottom"/>
          </w:tcPr>
          <w:p>
            <w:pPr>
              <w:ind w:left="100"/>
              <w:spacing w:after="0"/>
              <w:rPr>
                <w:sz w:val="20"/>
                <w:szCs w:val="20"/>
                <w:color w:val="auto"/>
              </w:rPr>
            </w:pPr>
            <w:r>
              <w:rPr>
                <w:rFonts w:ascii="Arial" w:cs="Arial" w:eastAsia="Arial" w:hAnsi="Arial"/>
                <w:sz w:val="16"/>
                <w:szCs w:val="16"/>
                <w:color w:val="auto"/>
              </w:rPr>
              <w:t>•   Administers our 2019 Stock Incentive Plan in which our employees</w:t>
            </w:r>
          </w:p>
        </w:tc>
        <w:tc>
          <w:tcPr>
            <w:tcW w:w="0" w:type="dxa"/>
            <w:vAlign w:val="bottom"/>
          </w:tcPr>
          <w:p>
            <w:pPr>
              <w:spacing w:after="0"/>
              <w:rPr>
                <w:sz w:val="1"/>
                <w:szCs w:val="1"/>
                <w:color w:val="auto"/>
              </w:rPr>
            </w:pPr>
          </w:p>
        </w:tc>
      </w:tr>
      <w:tr>
        <w:trPr>
          <w:trHeight w:val="215"/>
        </w:trPr>
        <w:tc>
          <w:tcPr>
            <w:tcW w:w="27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6"/>
                <w:szCs w:val="16"/>
                <w:color w:val="auto"/>
              </w:rPr>
              <w:t>participate.</w:t>
            </w:r>
          </w:p>
        </w:tc>
        <w:tc>
          <w:tcPr>
            <w:tcW w:w="0" w:type="dxa"/>
            <w:vAlign w:val="bottom"/>
          </w:tcPr>
          <w:p>
            <w:pPr>
              <w:spacing w:after="0"/>
              <w:rPr>
                <w:sz w:val="1"/>
                <w:szCs w:val="1"/>
                <w:color w:val="auto"/>
              </w:rPr>
            </w:pPr>
          </w:p>
        </w:tc>
      </w:tr>
      <w:tr>
        <w:trPr>
          <w:trHeight w:val="393"/>
        </w:trPr>
        <w:tc>
          <w:tcPr>
            <w:tcW w:w="2720" w:type="dxa"/>
            <w:vAlign w:val="bottom"/>
          </w:tcPr>
          <w:p>
            <w:pPr>
              <w:spacing w:after="0"/>
              <w:rPr>
                <w:sz w:val="24"/>
                <w:szCs w:val="24"/>
                <w:color w:val="auto"/>
              </w:rPr>
            </w:pPr>
          </w:p>
        </w:tc>
        <w:tc>
          <w:tcPr>
            <w:tcW w:w="5900" w:type="dxa"/>
            <w:vAlign w:val="bottom"/>
          </w:tcPr>
          <w:p>
            <w:pPr>
              <w:ind w:left="100"/>
              <w:spacing w:after="0"/>
              <w:rPr>
                <w:sz w:val="20"/>
                <w:szCs w:val="20"/>
                <w:color w:val="auto"/>
              </w:rPr>
            </w:pPr>
            <w:r>
              <w:rPr>
                <w:rFonts w:ascii="Arial" w:cs="Arial" w:eastAsia="Arial" w:hAnsi="Arial"/>
                <w:sz w:val="16"/>
                <w:szCs w:val="16"/>
                <w:color w:val="auto"/>
              </w:rPr>
              <w:t>•   Administers our annual cash and long-term incentive plans for executive</w:t>
            </w:r>
          </w:p>
        </w:tc>
        <w:tc>
          <w:tcPr>
            <w:tcW w:w="0" w:type="dxa"/>
            <w:vAlign w:val="bottom"/>
          </w:tcPr>
          <w:p>
            <w:pPr>
              <w:spacing w:after="0"/>
              <w:rPr>
                <w:sz w:val="1"/>
                <w:szCs w:val="1"/>
                <w:color w:val="auto"/>
              </w:rPr>
            </w:pPr>
          </w:p>
        </w:tc>
      </w:tr>
      <w:tr>
        <w:trPr>
          <w:trHeight w:val="215"/>
        </w:trPr>
        <w:tc>
          <w:tcPr>
            <w:tcW w:w="27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6"/>
                <w:szCs w:val="16"/>
                <w:color w:val="auto"/>
              </w:rPr>
              <w:t>officers and other members of senior management.</w:t>
            </w:r>
          </w:p>
        </w:tc>
        <w:tc>
          <w:tcPr>
            <w:tcW w:w="0" w:type="dxa"/>
            <w:vAlign w:val="bottom"/>
          </w:tcPr>
          <w:p>
            <w:pPr>
              <w:spacing w:after="0"/>
              <w:rPr>
                <w:sz w:val="1"/>
                <w:szCs w:val="1"/>
                <w:color w:val="auto"/>
              </w:rPr>
            </w:pPr>
          </w:p>
        </w:tc>
      </w:tr>
      <w:tr>
        <w:trPr>
          <w:trHeight w:val="405"/>
        </w:trPr>
        <w:tc>
          <w:tcPr>
            <w:tcW w:w="2720" w:type="dxa"/>
            <w:vAlign w:val="bottom"/>
          </w:tcPr>
          <w:p>
            <w:pPr>
              <w:spacing w:after="0"/>
              <w:rPr>
                <w:sz w:val="24"/>
                <w:szCs w:val="24"/>
                <w:color w:val="auto"/>
              </w:rPr>
            </w:pPr>
          </w:p>
        </w:tc>
        <w:tc>
          <w:tcPr>
            <w:tcW w:w="5900" w:type="dxa"/>
            <w:vAlign w:val="bottom"/>
          </w:tcPr>
          <w:p>
            <w:pPr>
              <w:ind w:left="100"/>
              <w:spacing w:after="0"/>
              <w:rPr>
                <w:sz w:val="20"/>
                <w:szCs w:val="20"/>
                <w:color w:val="auto"/>
              </w:rPr>
            </w:pPr>
            <w:r>
              <w:rPr>
                <w:rFonts w:ascii="Arial" w:cs="Arial" w:eastAsia="Arial" w:hAnsi="Arial"/>
                <w:sz w:val="16"/>
                <w:szCs w:val="16"/>
                <w:color w:val="auto"/>
              </w:rPr>
              <w:t>•   Administers our clawback policies.</w:t>
            </w:r>
          </w:p>
        </w:tc>
        <w:tc>
          <w:tcPr>
            <w:tcW w:w="0" w:type="dxa"/>
            <w:vAlign w:val="bottom"/>
          </w:tcPr>
          <w:p>
            <w:pPr>
              <w:spacing w:after="0"/>
              <w:rPr>
                <w:sz w:val="1"/>
                <w:szCs w:val="1"/>
                <w:color w:val="auto"/>
              </w:rPr>
            </w:pPr>
          </w:p>
        </w:tc>
      </w:tr>
      <w:tr>
        <w:trPr>
          <w:trHeight w:val="393"/>
        </w:trPr>
        <w:tc>
          <w:tcPr>
            <w:tcW w:w="2720" w:type="dxa"/>
            <w:vAlign w:val="bottom"/>
          </w:tcPr>
          <w:p>
            <w:pPr>
              <w:spacing w:after="0"/>
              <w:rPr>
                <w:sz w:val="24"/>
                <w:szCs w:val="24"/>
                <w:color w:val="auto"/>
              </w:rPr>
            </w:pPr>
          </w:p>
        </w:tc>
        <w:tc>
          <w:tcPr>
            <w:tcW w:w="5900" w:type="dxa"/>
            <w:vAlign w:val="bottom"/>
          </w:tcPr>
          <w:p>
            <w:pPr>
              <w:ind w:left="100"/>
              <w:spacing w:after="0"/>
              <w:rPr>
                <w:sz w:val="20"/>
                <w:szCs w:val="20"/>
                <w:color w:val="auto"/>
              </w:rPr>
            </w:pPr>
            <w:r>
              <w:rPr>
                <w:rFonts w:ascii="Arial" w:cs="Arial" w:eastAsia="Arial" w:hAnsi="Arial"/>
                <w:sz w:val="16"/>
                <w:szCs w:val="16"/>
                <w:color w:val="auto"/>
              </w:rPr>
              <w:t>•   Directly responsible for the appointment, compensation, retention and</w:t>
            </w:r>
          </w:p>
        </w:tc>
        <w:tc>
          <w:tcPr>
            <w:tcW w:w="0" w:type="dxa"/>
            <w:vAlign w:val="bottom"/>
          </w:tcPr>
          <w:p>
            <w:pPr>
              <w:spacing w:after="0"/>
              <w:rPr>
                <w:sz w:val="1"/>
                <w:szCs w:val="1"/>
                <w:color w:val="auto"/>
              </w:rPr>
            </w:pPr>
          </w:p>
        </w:tc>
      </w:tr>
      <w:tr>
        <w:trPr>
          <w:trHeight w:val="215"/>
        </w:trPr>
        <w:tc>
          <w:tcPr>
            <w:tcW w:w="27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6"/>
                <w:szCs w:val="16"/>
                <w:color w:val="auto"/>
              </w:rPr>
              <w:t>oversight of the independent compensation consultant.</w:t>
            </w:r>
          </w:p>
        </w:tc>
        <w:tc>
          <w:tcPr>
            <w:tcW w:w="0" w:type="dxa"/>
            <w:vAlign w:val="bottom"/>
          </w:tcPr>
          <w:p>
            <w:pPr>
              <w:spacing w:after="0"/>
              <w:rPr>
                <w:sz w:val="1"/>
                <w:szCs w:val="1"/>
                <w:color w:val="auto"/>
              </w:rPr>
            </w:pPr>
          </w:p>
        </w:tc>
      </w:tr>
      <w:tr>
        <w:trPr>
          <w:trHeight w:val="393"/>
        </w:trPr>
        <w:tc>
          <w:tcPr>
            <w:tcW w:w="2720" w:type="dxa"/>
            <w:vAlign w:val="bottom"/>
          </w:tcPr>
          <w:p>
            <w:pPr>
              <w:spacing w:after="0"/>
              <w:rPr>
                <w:sz w:val="24"/>
                <w:szCs w:val="24"/>
                <w:color w:val="auto"/>
              </w:rPr>
            </w:pPr>
          </w:p>
        </w:tc>
        <w:tc>
          <w:tcPr>
            <w:tcW w:w="5900" w:type="dxa"/>
            <w:vAlign w:val="bottom"/>
          </w:tcPr>
          <w:p>
            <w:pPr>
              <w:ind w:left="100"/>
              <w:spacing w:after="0"/>
              <w:rPr>
                <w:sz w:val="20"/>
                <w:szCs w:val="20"/>
                <w:color w:val="auto"/>
              </w:rPr>
            </w:pPr>
            <w:r>
              <w:rPr>
                <w:rFonts w:ascii="Arial" w:cs="Arial" w:eastAsia="Arial" w:hAnsi="Arial"/>
                <w:sz w:val="16"/>
                <w:szCs w:val="16"/>
                <w:color w:val="auto"/>
              </w:rPr>
              <w:t>•   Reviews and reports to the Board on the Company's initiatives with respect</w:t>
            </w:r>
          </w:p>
        </w:tc>
        <w:tc>
          <w:tcPr>
            <w:tcW w:w="0" w:type="dxa"/>
            <w:vAlign w:val="bottom"/>
          </w:tcPr>
          <w:p>
            <w:pPr>
              <w:spacing w:after="0"/>
              <w:rPr>
                <w:sz w:val="1"/>
                <w:szCs w:val="1"/>
                <w:color w:val="auto"/>
              </w:rPr>
            </w:pPr>
          </w:p>
        </w:tc>
      </w:tr>
      <w:tr>
        <w:trPr>
          <w:trHeight w:val="215"/>
        </w:trPr>
        <w:tc>
          <w:tcPr>
            <w:tcW w:w="27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6"/>
                <w:szCs w:val="16"/>
                <w:color w:val="auto"/>
              </w:rPr>
              <w:t>to, and the risks associated with human capital management matters.</w:t>
            </w:r>
          </w:p>
        </w:tc>
        <w:tc>
          <w:tcPr>
            <w:tcW w:w="0" w:type="dxa"/>
            <w:vAlign w:val="bottom"/>
          </w:tcPr>
          <w:p>
            <w:pPr>
              <w:spacing w:after="0"/>
              <w:rPr>
                <w:sz w:val="1"/>
                <w:szCs w:val="1"/>
                <w:color w:val="auto"/>
              </w:rPr>
            </w:pPr>
          </w:p>
        </w:tc>
      </w:tr>
      <w:tr>
        <w:trPr>
          <w:trHeight w:val="475"/>
        </w:trPr>
        <w:tc>
          <w:tcPr>
            <w:tcW w:w="272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3"/>
        </w:trPr>
        <w:tc>
          <w:tcPr>
            <w:tcW w:w="2520" w:type="dxa"/>
            <w:vAlign w:val="bottom"/>
          </w:tcPr>
          <w:p>
            <w:pPr>
              <w:ind w:left="20"/>
              <w:spacing w:after="0"/>
              <w:rPr>
                <w:sz w:val="20"/>
                <w:szCs w:val="20"/>
                <w:color w:val="auto"/>
              </w:rPr>
            </w:pPr>
            <w:r>
              <w:rPr>
                <w:rFonts w:ascii="Arial" w:cs="Arial" w:eastAsia="Arial" w:hAnsi="Arial"/>
                <w:sz w:val="16"/>
                <w:szCs w:val="16"/>
                <w:b w:val="1"/>
                <w:bCs w:val="1"/>
                <w:color w:val="05445E"/>
              </w:rPr>
              <w:t>Board Committee</w:t>
            </w:r>
          </w:p>
        </w:tc>
        <w:tc>
          <w:tcPr>
            <w:tcW w:w="6100" w:type="dxa"/>
            <w:vAlign w:val="bottom"/>
          </w:tcPr>
          <w:p>
            <w:pPr>
              <w:jc w:val="right"/>
              <w:ind w:right="4479"/>
              <w:spacing w:after="0"/>
              <w:rPr>
                <w:sz w:val="20"/>
                <w:szCs w:val="20"/>
                <w:color w:val="auto"/>
              </w:rPr>
            </w:pPr>
            <w:r>
              <w:rPr>
                <w:rFonts w:ascii="Arial" w:cs="Arial" w:eastAsia="Arial" w:hAnsi="Arial"/>
                <w:sz w:val="16"/>
                <w:szCs w:val="16"/>
                <w:b w:val="1"/>
                <w:bCs w:val="1"/>
                <w:color w:val="05445E"/>
              </w:rPr>
              <w:t>Responsibilities</w:t>
            </w:r>
          </w:p>
        </w:tc>
        <w:tc>
          <w:tcPr>
            <w:tcW w:w="0" w:type="dxa"/>
            <w:vAlign w:val="bottom"/>
          </w:tcPr>
          <w:p>
            <w:pPr>
              <w:spacing w:after="0"/>
              <w:rPr>
                <w:sz w:val="1"/>
                <w:szCs w:val="1"/>
                <w:color w:val="auto"/>
              </w:rPr>
            </w:pPr>
          </w:p>
        </w:tc>
      </w:tr>
      <w:tr>
        <w:trPr>
          <w:trHeight w:val="62"/>
        </w:trPr>
        <w:tc>
          <w:tcPr>
            <w:tcW w:w="2520" w:type="dxa"/>
            <w:vAlign w:val="bottom"/>
            <w:tcBorders>
              <w:bottom w:val="single" w:sz="8" w:color="494949"/>
            </w:tcBorders>
          </w:tcPr>
          <w:p>
            <w:pPr>
              <w:spacing w:after="0"/>
              <w:rPr>
                <w:sz w:val="5"/>
                <w:szCs w:val="5"/>
                <w:color w:val="auto"/>
              </w:rPr>
            </w:pPr>
          </w:p>
        </w:tc>
        <w:tc>
          <w:tcPr>
            <w:tcW w:w="6100" w:type="dxa"/>
            <w:vAlign w:val="bottom"/>
            <w:tcBorders>
              <w:bottom w:val="single" w:sz="8" w:color="494949"/>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520" w:type="dxa"/>
            <w:vAlign w:val="bottom"/>
          </w:tcPr>
          <w:p>
            <w:pPr>
              <w:ind w:left="20"/>
              <w:spacing w:after="0"/>
              <w:rPr>
                <w:sz w:val="20"/>
                <w:szCs w:val="20"/>
                <w:color w:val="auto"/>
              </w:rPr>
            </w:pPr>
            <w:r>
              <w:rPr>
                <w:rFonts w:ascii="Arial" w:cs="Arial" w:eastAsia="Arial" w:hAnsi="Arial"/>
                <w:sz w:val="16"/>
                <w:szCs w:val="16"/>
                <w:b w:val="1"/>
                <w:bCs w:val="1"/>
                <w:color w:val="05445E"/>
              </w:rPr>
              <w:t>NOMINATING AND</w:t>
            </w:r>
          </w:p>
        </w:tc>
        <w:tc>
          <w:tcPr>
            <w:tcW w:w="6100" w:type="dxa"/>
            <w:vAlign w:val="bottom"/>
            <w:vMerge w:val="restart"/>
          </w:tcPr>
          <w:p>
            <w:pPr>
              <w:jc w:val="right"/>
              <w:spacing w:after="0"/>
              <w:rPr>
                <w:sz w:val="20"/>
                <w:szCs w:val="20"/>
                <w:color w:val="auto"/>
              </w:rPr>
            </w:pPr>
            <w:r>
              <w:rPr>
                <w:rFonts w:ascii="Arial" w:cs="Arial" w:eastAsia="Arial" w:hAnsi="Arial"/>
                <w:sz w:val="16"/>
                <w:szCs w:val="16"/>
                <w:color w:val="auto"/>
              </w:rPr>
              <w:t>•   Develops  a  Board  succession  plan  and  establishes  and  implements</w:t>
            </w:r>
          </w:p>
        </w:tc>
        <w:tc>
          <w:tcPr>
            <w:tcW w:w="0" w:type="dxa"/>
            <w:vAlign w:val="bottom"/>
          </w:tcPr>
          <w:p>
            <w:pPr>
              <w:spacing w:after="0"/>
              <w:rPr>
                <w:sz w:val="1"/>
                <w:szCs w:val="1"/>
                <w:color w:val="auto"/>
              </w:rPr>
            </w:pPr>
          </w:p>
        </w:tc>
      </w:tr>
      <w:tr>
        <w:trPr>
          <w:trHeight w:val="163"/>
        </w:trPr>
        <w:tc>
          <w:tcPr>
            <w:tcW w:w="2520" w:type="dxa"/>
            <w:vAlign w:val="bottom"/>
          </w:tcPr>
          <w:p>
            <w:pPr>
              <w:ind w:left="20"/>
              <w:spacing w:after="0" w:line="163" w:lineRule="exact"/>
              <w:rPr>
                <w:sz w:val="20"/>
                <w:szCs w:val="20"/>
                <w:color w:val="auto"/>
              </w:rPr>
            </w:pPr>
            <w:r>
              <w:rPr>
                <w:rFonts w:ascii="Arial" w:cs="Arial" w:eastAsia="Arial" w:hAnsi="Arial"/>
                <w:sz w:val="16"/>
                <w:szCs w:val="16"/>
                <w:b w:val="1"/>
                <w:bCs w:val="1"/>
                <w:color w:val="05445E"/>
              </w:rPr>
              <w:t>CORPORATE</w:t>
            </w:r>
          </w:p>
        </w:tc>
        <w:tc>
          <w:tcPr>
            <w:tcW w:w="6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
              <w:spacing w:after="0"/>
              <w:rPr>
                <w:sz w:val="20"/>
                <w:szCs w:val="20"/>
                <w:color w:val="auto"/>
              </w:rPr>
            </w:pPr>
            <w:r>
              <w:rPr>
                <w:rFonts w:ascii="Arial" w:cs="Arial" w:eastAsia="Arial" w:hAnsi="Arial"/>
                <w:sz w:val="16"/>
                <w:szCs w:val="16"/>
                <w:b w:val="1"/>
                <w:bCs w:val="1"/>
                <w:color w:val="05445E"/>
              </w:rPr>
              <w:t>GOVERNANCE COMMITTEE</w:t>
            </w:r>
          </w:p>
        </w:tc>
        <w:tc>
          <w:tcPr>
            <w:tcW w:w="6100" w:type="dxa"/>
            <w:vAlign w:val="bottom"/>
          </w:tcPr>
          <w:p>
            <w:pPr>
              <w:jc w:val="right"/>
              <w:spacing w:after="0"/>
              <w:rPr>
                <w:sz w:val="20"/>
                <w:szCs w:val="20"/>
                <w:color w:val="auto"/>
              </w:rPr>
            </w:pPr>
            <w:r>
              <w:rPr>
                <w:rFonts w:ascii="Arial" w:cs="Arial" w:eastAsia="Arial" w:hAnsi="Arial"/>
                <w:sz w:val="16"/>
                <w:szCs w:val="16"/>
                <w:color w:val="auto"/>
              </w:rPr>
              <w:t>procedures to review the qualifications for membership on our Board of</w:t>
            </w:r>
          </w:p>
        </w:tc>
        <w:tc>
          <w:tcPr>
            <w:tcW w:w="0" w:type="dxa"/>
            <w:vAlign w:val="bottom"/>
          </w:tcPr>
          <w:p>
            <w:pPr>
              <w:spacing w:after="0"/>
              <w:rPr>
                <w:sz w:val="1"/>
                <w:szCs w:val="1"/>
                <w:color w:val="auto"/>
              </w:rPr>
            </w:pPr>
          </w:p>
        </w:tc>
      </w:tr>
      <w:tr>
        <w:trPr>
          <w:trHeight w:val="215"/>
        </w:trPr>
        <w:tc>
          <w:tcPr>
            <w:tcW w:w="2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All Members Independent</w:t>
            </w:r>
          </w:p>
        </w:tc>
        <w:tc>
          <w:tcPr>
            <w:tcW w:w="6100" w:type="dxa"/>
            <w:vAlign w:val="bottom"/>
          </w:tcPr>
          <w:p>
            <w:pPr>
              <w:jc w:val="right"/>
              <w:ind w:right="939"/>
              <w:spacing w:after="0"/>
              <w:rPr>
                <w:sz w:val="20"/>
                <w:szCs w:val="20"/>
                <w:color w:val="auto"/>
              </w:rPr>
            </w:pPr>
            <w:r>
              <w:rPr>
                <w:rFonts w:ascii="Arial" w:cs="Arial" w:eastAsia="Arial" w:hAnsi="Arial"/>
                <w:sz w:val="16"/>
                <w:szCs w:val="16"/>
                <w:color w:val="auto"/>
              </w:rPr>
              <w:t>Directors, including nominees recommended by shareholders.</w:t>
            </w:r>
          </w:p>
        </w:tc>
        <w:tc>
          <w:tcPr>
            <w:tcW w:w="0" w:type="dxa"/>
            <w:vAlign w:val="bottom"/>
          </w:tcPr>
          <w:p>
            <w:pPr>
              <w:spacing w:after="0"/>
              <w:rPr>
                <w:sz w:val="1"/>
                <w:szCs w:val="1"/>
                <w:color w:val="auto"/>
              </w:rPr>
            </w:pPr>
          </w:p>
        </w:tc>
      </w:tr>
      <w:tr>
        <w:trPr>
          <w:trHeight w:val="142"/>
        </w:trPr>
        <w:tc>
          <w:tcPr>
            <w:tcW w:w="2520" w:type="dxa"/>
            <w:vAlign w:val="bottom"/>
            <w:vMerge w:val="continue"/>
          </w:tcPr>
          <w:p>
            <w:pPr>
              <w:spacing w:after="0"/>
              <w:rPr>
                <w:sz w:val="12"/>
                <w:szCs w:val="12"/>
                <w:color w:val="auto"/>
              </w:rPr>
            </w:pPr>
          </w:p>
        </w:tc>
        <w:tc>
          <w:tcPr>
            <w:tcW w:w="6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sectPr>
          <w:pgSz w:w="11900" w:h="16838" w:orient="portrait"/>
          <w:cols w:equalWidth="0" w:num="1">
            <w:col w:w="11240"/>
          </w:cols>
          <w:pgMar w:left="320" w:top="1205" w:right="339" w:bottom="1440" w:gutter="0" w:footer="0" w:header="0"/>
        </w:sectPr>
      </w:pPr>
    </w:p>
    <w:p>
      <w:pPr>
        <w:spacing w:after="0" w:line="41" w:lineRule="exact"/>
        <w:rPr>
          <w:sz w:val="20"/>
          <w:szCs w:val="20"/>
          <w:color w:val="auto"/>
        </w:rPr>
      </w:pPr>
    </w:p>
    <w:p>
      <w:pPr>
        <w:ind w:left="20"/>
        <w:spacing w:after="0" w:line="265" w:lineRule="auto"/>
        <w:rPr>
          <w:sz w:val="20"/>
          <w:szCs w:val="20"/>
          <w:color w:val="auto"/>
        </w:rPr>
      </w:pPr>
      <w:r>
        <w:rPr>
          <w:rFonts w:ascii="Arial" w:cs="Arial" w:eastAsia="Arial" w:hAnsi="Arial"/>
          <w:sz w:val="16"/>
          <w:szCs w:val="16"/>
          <w:color w:val="auto"/>
        </w:rPr>
        <w:t>This Committee identifies and evaluates Board candidates and oversees our corporate governance practices.</w:t>
      </w:r>
    </w:p>
    <w:p>
      <w:pPr>
        <w:spacing w:after="0" w:line="20" w:lineRule="exact"/>
        <w:rPr>
          <w:sz w:val="20"/>
          <w:szCs w:val="20"/>
          <w:color w:val="auto"/>
        </w:rPr>
      </w:pPr>
      <w:r>
        <w:rPr>
          <w:sz w:val="20"/>
          <w:szCs w:val="20"/>
          <w:color w:val="auto"/>
        </w:rPr>
        <w:br w:type="column"/>
      </w:r>
    </w:p>
    <w:p>
      <w:pPr>
        <w:ind w:left="320" w:hanging="320"/>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Assesses our compliance with our Corporate Governance Guidelines.</w:t>
      </w:r>
    </w:p>
    <w:p>
      <w:pPr>
        <w:spacing w:after="0" w:line="234" w:lineRule="exact"/>
        <w:rPr>
          <w:rFonts w:ascii="Arial" w:cs="Arial" w:eastAsia="Arial" w:hAnsi="Arial"/>
          <w:sz w:val="16"/>
          <w:szCs w:val="16"/>
          <w:color w:val="auto"/>
        </w:rPr>
      </w:pPr>
    </w:p>
    <w:p>
      <w:pPr>
        <w:ind w:left="320" w:right="2640" w:hanging="320"/>
        <w:spacing w:after="0" w:line="286" w:lineRule="auto"/>
        <w:tabs>
          <w:tab w:leader="none" w:pos="309"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Reviews our organizational structure and senior management succession plans.</w:t>
      </w:r>
    </w:p>
    <w:p>
      <w:pPr>
        <w:spacing w:after="0" w:line="155" w:lineRule="exact"/>
        <w:rPr>
          <w:rFonts w:ascii="Arial" w:cs="Arial" w:eastAsia="Arial" w:hAnsi="Arial"/>
          <w:sz w:val="16"/>
          <w:szCs w:val="16"/>
          <w:color w:val="auto"/>
        </w:rPr>
      </w:pPr>
    </w:p>
    <w:p>
      <w:pPr>
        <w:jc w:val="both"/>
        <w:ind w:left="320" w:right="2640" w:hanging="320"/>
        <w:spacing w:after="0" w:line="287" w:lineRule="auto"/>
        <w:tabs>
          <w:tab w:leader="none" w:pos="309"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Makes recommendations to our Board of Directors regarding the composition and responsibilities of our Committees and compensation for directors.</w:t>
      </w:r>
    </w:p>
    <w:p>
      <w:pPr>
        <w:spacing w:after="0" w:line="200" w:lineRule="exact"/>
        <w:rPr>
          <w:sz w:val="20"/>
          <w:szCs w:val="20"/>
          <w:color w:val="auto"/>
        </w:rPr>
      </w:pPr>
    </w:p>
    <w:p>
      <w:pPr>
        <w:sectPr>
          <w:pgSz w:w="11900" w:h="16838" w:orient="portrait"/>
          <w:cols w:equalWidth="0" w:num="2">
            <w:col w:w="2580" w:space="240"/>
            <w:col w:w="8420"/>
          </w:cols>
          <w:pgMar w:left="320" w:top="1205" w:right="339" w:bottom="1440" w:gutter="0" w:footer="0" w:header="0"/>
          <w:type w:val="continuous"/>
        </w:sectPr>
      </w:pPr>
    </w:p>
    <w:p>
      <w:pPr>
        <w:spacing w:after="0" w:line="170" w:lineRule="exact"/>
        <w:rPr>
          <w:sz w:val="20"/>
          <w:szCs w:val="20"/>
          <w:color w:val="auto"/>
        </w:rPr>
      </w:pPr>
    </w:p>
    <w:p>
      <w:pPr>
        <w:ind w:left="3140" w:right="2640" w:hanging="320"/>
        <w:spacing w:after="0" w:line="286" w:lineRule="auto"/>
        <w:tabs>
          <w:tab w:leader="none" w:pos="31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Administers an annual performance review of our Committees, Board of Directors as a whole and our directors whose terms are expiring.</w:t>
      </w:r>
    </w:p>
    <w:p>
      <w:pPr>
        <w:spacing w:after="0" w:line="155" w:lineRule="exact"/>
        <w:rPr>
          <w:rFonts w:ascii="Arial" w:cs="Arial" w:eastAsia="Arial" w:hAnsi="Arial"/>
          <w:sz w:val="16"/>
          <w:szCs w:val="16"/>
          <w:color w:val="auto"/>
        </w:rPr>
      </w:pPr>
    </w:p>
    <w:p>
      <w:pPr>
        <w:jc w:val="both"/>
        <w:ind w:left="3140" w:right="2640" w:hanging="320"/>
        <w:spacing w:after="0" w:line="275" w:lineRule="auto"/>
        <w:tabs>
          <w:tab w:leader="none" w:pos="31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Administers an annual review of the performance of our Chief Executive Officer, which includes soliciting assessments from all non-employee directors.</w:t>
      </w:r>
    </w:p>
    <w:p>
      <w:pPr>
        <w:spacing w:after="0" w:line="164" w:lineRule="exact"/>
        <w:rPr>
          <w:rFonts w:ascii="Arial" w:cs="Arial" w:eastAsia="Arial" w:hAnsi="Arial"/>
          <w:sz w:val="16"/>
          <w:szCs w:val="16"/>
          <w:color w:val="auto"/>
        </w:rPr>
      </w:pPr>
    </w:p>
    <w:p>
      <w:pPr>
        <w:jc w:val="both"/>
        <w:ind w:left="3140" w:right="2640" w:hanging="320"/>
        <w:spacing w:after="0" w:line="271" w:lineRule="auto"/>
        <w:tabs>
          <w:tab w:leader="none" w:pos="312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Administers our 2009 Director Stock Plan, 2019 Director Stock Plan, Deferred Compensation Plan for Non-Employee Directors, and 2021 Deferred Compensation Plan for Non-Employee Directors in which our non-employee directors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469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69255" cy="825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current membership and fiscal 2025 meeting information for each of our Committees.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05445E"/>
                <w:w w:val="99"/>
              </w:rPr>
              <w:t>Nominating and</w:t>
            </w:r>
          </w:p>
        </w:tc>
      </w:t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05445E"/>
                <w:w w:val="99"/>
              </w:rPr>
              <w:t>Corporate</w:t>
            </w:r>
          </w:p>
        </w:tc>
      </w:tr>
      <w:tr>
        <w:trPr>
          <w:trHeight w:val="216"/>
        </w:trPr>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05445E"/>
                <w:w w:val="99"/>
              </w:rPr>
              <w:t>Audit</w:t>
            </w:r>
          </w:p>
        </w:tc>
        <w:tc>
          <w:tcPr>
            <w:tcW w:w="2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05445E"/>
              </w:rPr>
              <w:t>Compensation</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05445E"/>
                <w:w w:val="99"/>
              </w:rPr>
              <w:t>Governance</w:t>
            </w:r>
          </w:p>
        </w:tc>
      </w:tr>
      <w:tr>
        <w:trPr>
          <w:trHeight w:val="25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5445E"/>
              </w:rPr>
              <w:t>Name</w:t>
            </w:r>
          </w:p>
        </w:tc>
        <w:tc>
          <w:tcPr>
            <w:tcW w:w="100" w:type="dxa"/>
            <w:vAlign w:val="bottom"/>
            <w:tcBorders>
              <w:bottom w:val="single" w:sz="8" w:color="D9D9D9"/>
            </w:tcBorders>
          </w:tcPr>
          <w:p>
            <w:pPr>
              <w:spacing w:after="0"/>
              <w:rPr>
                <w:sz w:val="22"/>
                <w:szCs w:val="22"/>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rPr>
              <w:t>Committee</w:t>
            </w:r>
          </w:p>
        </w:tc>
        <w:tc>
          <w:tcPr>
            <w:tcW w:w="100" w:type="dxa"/>
            <w:vAlign w:val="bottom"/>
            <w:tcBorders>
              <w:bottom w:val="single" w:sz="8" w:color="D9D9D9"/>
            </w:tcBorders>
          </w:tcPr>
          <w:p>
            <w:pPr>
              <w:spacing w:after="0"/>
              <w:rPr>
                <w:sz w:val="22"/>
                <w:szCs w:val="22"/>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8"/>
              </w:rPr>
              <w:t>Committee</w:t>
            </w:r>
          </w:p>
        </w:tc>
        <w:tc>
          <w:tcPr>
            <w:tcW w:w="100" w:type="dxa"/>
            <w:vAlign w:val="bottom"/>
            <w:tcBorders>
              <w:bottom w:val="single" w:sz="8" w:color="D9D9D9"/>
            </w:tcBorders>
          </w:tcPr>
          <w:p>
            <w:pPr>
              <w:spacing w:after="0"/>
              <w:rPr>
                <w:sz w:val="22"/>
                <w:szCs w:val="22"/>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rPr>
              <w:t>Committee</w:t>
            </w:r>
          </w:p>
        </w:tc>
      </w:tr>
      <w:tr>
        <w:trPr>
          <w:trHeight w:val="250"/>
        </w:trPr>
        <w:tc>
          <w:tcPr>
            <w:tcW w:w="358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Christina M. Alvord</w:t>
            </w:r>
          </w:p>
        </w:tc>
        <w:tc>
          <w:tcPr>
            <w:tcW w:w="2580" w:type="dxa"/>
            <w:vAlign w:val="bottom"/>
            <w:tcBorders>
              <w:bottom w:val="single" w:sz="8" w:color="D9D9D9"/>
            </w:tcBorders>
            <w:gridSpan w:val="2"/>
            <w:shd w:val="clear" w:color="auto" w:fill="D9D9D9"/>
          </w:tcPr>
          <w:p>
            <w:pPr>
              <w:jc w:val="center"/>
              <w:ind w:right="120"/>
              <w:spacing w:after="0"/>
              <w:rPr>
                <w:sz w:val="20"/>
                <w:szCs w:val="20"/>
                <w:color w:val="auto"/>
              </w:rPr>
            </w:pPr>
            <w:r>
              <w:rPr>
                <w:rFonts w:ascii="Arial" w:cs="Arial" w:eastAsia="Arial" w:hAnsi="Arial"/>
                <w:sz w:val="18"/>
                <w:szCs w:val="18"/>
                <w:color w:val="auto"/>
                <w:w w:val="93"/>
              </w:rPr>
              <w:t>M</w:t>
            </w:r>
          </w:p>
        </w:tc>
        <w:tc>
          <w:tcPr>
            <w:tcW w:w="2480" w:type="dxa"/>
            <w:vAlign w:val="bottom"/>
            <w:tcBorders>
              <w:bottom w:val="single" w:sz="8" w:color="D9D9D9"/>
            </w:tcBorders>
            <w:shd w:val="clear" w:color="auto" w:fill="D9D9D9"/>
          </w:tcPr>
          <w:p>
            <w:pPr>
              <w:spacing w:after="0"/>
              <w:rPr>
                <w:sz w:val="21"/>
                <w:szCs w:val="21"/>
                <w:color w:val="auto"/>
              </w:rPr>
            </w:pPr>
          </w:p>
        </w:tc>
        <w:tc>
          <w:tcPr>
            <w:tcW w:w="100" w:type="dxa"/>
            <w:vAlign w:val="bottom"/>
            <w:tcBorders>
              <w:bottom w:val="single" w:sz="8" w:color="D9D9D9"/>
            </w:tcBorders>
            <w:shd w:val="clear" w:color="auto" w:fill="D9D9D9"/>
          </w:tcPr>
          <w:p>
            <w:pPr>
              <w:spacing w:after="0"/>
              <w:rPr>
                <w:sz w:val="21"/>
                <w:szCs w:val="21"/>
                <w:color w:val="auto"/>
              </w:rPr>
            </w:pPr>
          </w:p>
        </w:tc>
        <w:tc>
          <w:tcPr>
            <w:tcW w:w="25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3"/>
              </w:rPr>
              <w:t>M</w:t>
            </w:r>
          </w:p>
        </w:tc>
      </w:tr>
      <w:tr>
        <w:trPr>
          <w:trHeight w:val="247"/>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Frank G. Heard</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M/FE</w:t>
            </w:r>
          </w:p>
        </w:tc>
        <w:tc>
          <w:tcPr>
            <w:tcW w:w="2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M</w:t>
            </w: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358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Lloyd E. Johnson</w:t>
            </w:r>
          </w:p>
        </w:tc>
        <w:tc>
          <w:tcPr>
            <w:tcW w:w="2580" w:type="dxa"/>
            <w:vAlign w:val="bottom"/>
            <w:tcBorders>
              <w:bottom w:val="single" w:sz="8" w:color="D9D9D9"/>
            </w:tcBorders>
            <w:gridSpan w:val="2"/>
            <w:shd w:val="clear" w:color="auto" w:fill="D9D9D9"/>
          </w:tcPr>
          <w:p>
            <w:pPr>
              <w:jc w:val="center"/>
              <w:ind w:right="120"/>
              <w:spacing w:after="0"/>
              <w:rPr>
                <w:sz w:val="20"/>
                <w:szCs w:val="20"/>
                <w:color w:val="auto"/>
              </w:rPr>
            </w:pPr>
            <w:r>
              <w:rPr>
                <w:rFonts w:ascii="Arial" w:cs="Arial" w:eastAsia="Arial" w:hAnsi="Arial"/>
                <w:sz w:val="18"/>
                <w:szCs w:val="18"/>
                <w:color w:val="auto"/>
                <w:w w:val="97"/>
              </w:rPr>
              <w:t>M/FE</w:t>
            </w:r>
          </w:p>
        </w:tc>
        <w:tc>
          <w:tcPr>
            <w:tcW w:w="2580" w:type="dxa"/>
            <w:vAlign w:val="bottom"/>
            <w:tcBorders>
              <w:bottom w:val="single" w:sz="8" w:color="D9D9D9"/>
            </w:tcBorders>
            <w:gridSpan w:val="2"/>
            <w:shd w:val="clear" w:color="auto" w:fill="D9D9D9"/>
          </w:tcPr>
          <w:p>
            <w:pPr>
              <w:jc w:val="center"/>
              <w:ind w:right="100"/>
              <w:spacing w:after="0"/>
              <w:rPr>
                <w:sz w:val="20"/>
                <w:szCs w:val="20"/>
                <w:color w:val="auto"/>
              </w:rPr>
            </w:pPr>
            <w:r>
              <w:rPr>
                <w:rFonts w:ascii="Arial" w:cs="Arial" w:eastAsia="Arial" w:hAnsi="Arial"/>
                <w:sz w:val="18"/>
                <w:szCs w:val="18"/>
                <w:color w:val="auto"/>
              </w:rPr>
              <w:t>M</w:t>
            </w:r>
          </w:p>
        </w:tc>
        <w:tc>
          <w:tcPr>
            <w:tcW w:w="2500" w:type="dxa"/>
            <w:vAlign w:val="bottom"/>
            <w:tcBorders>
              <w:bottom w:val="single" w:sz="8" w:color="D9D9D9"/>
            </w:tcBorders>
            <w:shd w:val="clear" w:color="auto" w:fill="D9D9D9"/>
          </w:tcPr>
          <w:p>
            <w:pPr>
              <w:spacing w:after="0"/>
              <w:rPr>
                <w:sz w:val="21"/>
                <w:szCs w:val="21"/>
                <w:color w:val="auto"/>
              </w:rPr>
            </w:pPr>
          </w:p>
        </w:tc>
      </w:tr>
      <w:tr>
        <w:trPr>
          <w:trHeight w:val="247"/>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Elizabeth M. Lilly</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rPr>
              <w:t>M</w:t>
            </w:r>
          </w:p>
        </w:tc>
        <w:tc>
          <w:tcPr>
            <w:tcW w:w="2500" w:type="dxa"/>
            <w:vAlign w:val="bottom"/>
          </w:tcPr>
          <w:p>
            <w:pPr>
              <w:spacing w:after="0"/>
              <w:rPr>
                <w:sz w:val="21"/>
                <w:szCs w:val="2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358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Donald A. Nolan</w:t>
            </w:r>
          </w:p>
        </w:tc>
        <w:tc>
          <w:tcPr>
            <w:tcW w:w="2580" w:type="dxa"/>
            <w:vAlign w:val="bottom"/>
            <w:tcBorders>
              <w:bottom w:val="single" w:sz="8" w:color="D9D9D9"/>
            </w:tcBorders>
            <w:gridSpan w:val="2"/>
            <w:shd w:val="clear" w:color="auto" w:fill="D9D9D9"/>
          </w:tcPr>
          <w:p>
            <w:pPr>
              <w:jc w:val="center"/>
              <w:ind w:right="100"/>
              <w:spacing w:after="0"/>
              <w:rPr>
                <w:sz w:val="20"/>
                <w:szCs w:val="20"/>
                <w:color w:val="auto"/>
              </w:rPr>
            </w:pPr>
            <w:r>
              <w:rPr>
                <w:rFonts w:ascii="Arial" w:cs="Arial" w:eastAsia="Arial" w:hAnsi="Arial"/>
                <w:sz w:val="18"/>
                <w:szCs w:val="18"/>
                <w:color w:val="auto"/>
                <w:w w:val="99"/>
              </w:rPr>
              <w:t>Ad hoc</w:t>
            </w:r>
          </w:p>
        </w:tc>
        <w:tc>
          <w:tcPr>
            <w:tcW w:w="2580" w:type="dxa"/>
            <w:vAlign w:val="bottom"/>
            <w:tcBorders>
              <w:bottom w:val="single" w:sz="8" w:color="D9D9D9"/>
            </w:tcBorders>
            <w:gridSpan w:val="2"/>
            <w:shd w:val="clear" w:color="auto" w:fill="D9D9D9"/>
          </w:tcPr>
          <w:p>
            <w:pPr>
              <w:jc w:val="center"/>
              <w:ind w:right="100"/>
              <w:spacing w:after="0"/>
              <w:rPr>
                <w:sz w:val="20"/>
                <w:szCs w:val="20"/>
                <w:color w:val="auto"/>
              </w:rPr>
            </w:pPr>
            <w:r>
              <w:rPr>
                <w:rFonts w:ascii="Arial" w:cs="Arial" w:eastAsia="Arial" w:hAnsi="Arial"/>
                <w:sz w:val="18"/>
                <w:szCs w:val="18"/>
                <w:color w:val="auto"/>
                <w:w w:val="99"/>
              </w:rPr>
              <w:t>Ad hoc</w:t>
            </w:r>
          </w:p>
        </w:tc>
        <w:tc>
          <w:tcPr>
            <w:tcW w:w="25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9"/>
              </w:rPr>
              <w:t>Ad hoc</w:t>
            </w:r>
          </w:p>
        </w:tc>
      </w:tr>
      <w:tr>
        <w:trPr>
          <w:trHeight w:val="247"/>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Herbert K. Parker</w:t>
            </w:r>
          </w:p>
        </w:tc>
        <w:tc>
          <w:tcPr>
            <w:tcW w:w="2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rPr>
              <w:t>M</w:t>
            </w:r>
          </w:p>
        </w:tc>
        <w:tc>
          <w:tcPr>
            <w:tcW w:w="2500" w:type="dxa"/>
            <w:vAlign w:val="bottom"/>
          </w:tcPr>
          <w:p>
            <w:pPr>
              <w:jc w:val="center"/>
              <w:spacing w:after="0"/>
              <w:rPr>
                <w:sz w:val="20"/>
                <w:szCs w:val="20"/>
                <w:color w:val="auto"/>
              </w:rPr>
            </w:pPr>
            <w:r>
              <w:rPr>
                <w:rFonts w:ascii="Arial" w:cs="Arial" w:eastAsia="Arial" w:hAnsi="Arial"/>
                <w:sz w:val="18"/>
                <w:szCs w:val="18"/>
                <w:color w:val="auto"/>
              </w:rPr>
              <w:t>C</w:t>
            </w: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358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Mark A. Pompa</w:t>
            </w:r>
          </w:p>
        </w:tc>
        <w:tc>
          <w:tcPr>
            <w:tcW w:w="2580" w:type="dxa"/>
            <w:vAlign w:val="bottom"/>
            <w:tcBorders>
              <w:bottom w:val="single" w:sz="8" w:color="D9D9D9"/>
            </w:tcBorders>
            <w:gridSpan w:val="2"/>
            <w:shd w:val="clear" w:color="auto" w:fill="D9D9D9"/>
          </w:tcPr>
          <w:p>
            <w:pPr>
              <w:jc w:val="center"/>
              <w:ind w:right="120"/>
              <w:spacing w:after="0"/>
              <w:rPr>
                <w:sz w:val="20"/>
                <w:szCs w:val="20"/>
                <w:color w:val="auto"/>
              </w:rPr>
            </w:pPr>
            <w:r>
              <w:rPr>
                <w:rFonts w:ascii="Arial" w:cs="Arial" w:eastAsia="Arial" w:hAnsi="Arial"/>
                <w:sz w:val="18"/>
                <w:szCs w:val="18"/>
                <w:color w:val="auto"/>
              </w:rPr>
              <w:t>C/FE</w:t>
            </w:r>
          </w:p>
        </w:tc>
        <w:tc>
          <w:tcPr>
            <w:tcW w:w="2580" w:type="dxa"/>
            <w:vAlign w:val="bottom"/>
            <w:tcBorders>
              <w:bottom w:val="single" w:sz="8" w:color="D9D9D9"/>
            </w:tcBorders>
            <w:gridSpan w:val="2"/>
            <w:shd w:val="clear" w:color="auto" w:fill="D9D9D9"/>
          </w:tcPr>
          <w:p>
            <w:pPr>
              <w:jc w:val="center"/>
              <w:ind w:right="100"/>
              <w:spacing w:after="0"/>
              <w:rPr>
                <w:sz w:val="20"/>
                <w:szCs w:val="20"/>
                <w:color w:val="auto"/>
              </w:rPr>
            </w:pPr>
            <w:r>
              <w:rPr>
                <w:rFonts w:ascii="Arial" w:cs="Arial" w:eastAsia="Arial" w:hAnsi="Arial"/>
                <w:sz w:val="18"/>
                <w:szCs w:val="18"/>
                <w:color w:val="auto"/>
              </w:rPr>
              <w:t>M</w:t>
            </w:r>
          </w:p>
        </w:tc>
        <w:tc>
          <w:tcPr>
            <w:tcW w:w="2500" w:type="dxa"/>
            <w:vAlign w:val="bottom"/>
            <w:tcBorders>
              <w:bottom w:val="single" w:sz="8" w:color="D9D9D9"/>
            </w:tcBorders>
            <w:shd w:val="clear" w:color="auto" w:fill="D9D9D9"/>
          </w:tcPr>
          <w:p>
            <w:pPr>
              <w:spacing w:after="0"/>
              <w:rPr>
                <w:sz w:val="21"/>
                <w:szCs w:val="21"/>
                <w:color w:val="auto"/>
              </w:rPr>
            </w:pPr>
          </w:p>
        </w:tc>
      </w:tr>
      <w:tr>
        <w:trPr>
          <w:trHeight w:val="26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Patricia K. Wagner</w:t>
            </w:r>
          </w:p>
        </w:tc>
        <w:tc>
          <w:tcPr>
            <w:tcW w:w="2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M</w:t>
            </w:r>
          </w:p>
        </w:tc>
      </w:tr>
      <w:tr>
        <w:trPr>
          <w:trHeight w:val="23"/>
        </w:trPr>
        <w:tc>
          <w:tcPr>
            <w:tcW w:w="3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8"/>
        </w:trPr>
        <w:tc>
          <w:tcPr>
            <w:tcW w:w="358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2025 Meetings</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5</w:t>
            </w: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 Committee Chair</w:t>
      </w:r>
      <w:r>
        <w:rPr>
          <w:rFonts w:ascii="Arial" w:cs="Arial" w:eastAsia="Arial" w:hAnsi="Arial"/>
          <w:sz w:val="18"/>
          <w:szCs w:val="18"/>
          <w:b w:val="1"/>
          <w:bCs w:val="1"/>
          <w:color w:val="auto"/>
        </w:rPr>
        <w:t xml:space="preserve"> M </w:t>
      </w:r>
      <w:r>
        <w:rPr>
          <w:rFonts w:ascii="Arial" w:cs="Arial" w:eastAsia="Arial" w:hAnsi="Arial"/>
          <w:sz w:val="18"/>
          <w:szCs w:val="18"/>
          <w:color w:val="auto"/>
        </w:rPr>
        <w:t>= Committee Member</w:t>
      </w:r>
      <w:r>
        <w:rPr>
          <w:rFonts w:ascii="Arial" w:cs="Arial" w:eastAsia="Arial" w:hAnsi="Arial"/>
          <w:sz w:val="18"/>
          <w:szCs w:val="18"/>
          <w:b w:val="1"/>
          <w:bCs w:val="1"/>
          <w:color w:val="auto"/>
        </w:rPr>
        <w:t xml:space="preserve"> FE </w:t>
      </w:r>
      <w:r>
        <w:rPr>
          <w:rFonts w:ascii="Arial" w:cs="Arial" w:eastAsia="Arial" w:hAnsi="Arial"/>
          <w:sz w:val="18"/>
          <w:szCs w:val="18"/>
          <w:color w:val="auto"/>
        </w:rPr>
        <w:t>= Audit Committee Financial Expert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Risk Oversight by Our Board of Directors and Management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Committee Roles in Risk Management</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oversees our enterprise risk management processes, focusing on our business, strategic, financial, operational, information technology, cybersecurity, climate-related and overall enterprise risk. Our Board determined that oversight of our Company’s strategy and overall enterprise risk management program is more effective when performed by the full Board, utilizing the skills and experiences of all directors. In addition, our Board of Directors executes its overall responsibility for risk management through its Committees as follows:</w:t>
      </w:r>
    </w:p>
    <w:p>
      <w:pPr>
        <w:spacing w:after="0" w:line="179" w:lineRule="exact"/>
        <w:rPr>
          <w:sz w:val="20"/>
          <w:szCs w:val="20"/>
          <w:color w:val="auto"/>
        </w:rPr>
      </w:pPr>
    </w:p>
    <w:p>
      <w:pPr>
        <w:ind w:left="660" w:right="2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Audit Committee has primary responsibility for risk management relating to the reliability of our financial reporting processes, system of internal controls and corporate compliance program. Our Audit</w:t>
      </w:r>
    </w:p>
    <w:p>
      <w:pPr>
        <w:sectPr>
          <w:pgSz w:w="11900" w:h="16838" w:orient="portrait"/>
          <w:cols w:equalWidth="0" w:num="1">
            <w:col w:w="11240"/>
          </w:cols>
          <w:pgMar w:left="320" w:top="1205" w:right="33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27" w:name="page28"/>
    <w:bookmarkEnd w:id="27"/>
    <w:p>
      <w:pPr>
        <w:jc w:val="both"/>
        <w:ind w:left="660"/>
        <w:spacing w:after="0" w:line="268" w:lineRule="auto"/>
        <w:rPr>
          <w:sz w:val="20"/>
          <w:szCs w:val="20"/>
          <w:color w:val="auto"/>
        </w:rPr>
      </w:pPr>
      <w:r>
        <w:rPr>
          <w:rFonts w:ascii="Arial" w:cs="Arial" w:eastAsia="Arial" w:hAnsi="Arial"/>
          <w:sz w:val="18"/>
          <w:szCs w:val="18"/>
          <w:color w:val="auto"/>
        </w:rPr>
        <w:t>Committee receives quarterly reports from management, our independent registered public accounting firm and the Company's internal audit function regarding our financial reporting processes, internal controls and public filings. It also receives quarterly updates from management regarding Code of Conduct matters, litigation and legal claims, and other compliance matters.</w:t>
      </w:r>
    </w:p>
    <w:p>
      <w:pPr>
        <w:spacing w:after="0" w:line="171" w:lineRule="exact"/>
        <w:rPr>
          <w:sz w:val="20"/>
          <w:szCs w:val="20"/>
          <w:color w:val="auto"/>
        </w:rPr>
      </w:pPr>
    </w:p>
    <w:p>
      <w:pPr>
        <w:jc w:val="both"/>
        <w:ind w:left="660" w:hanging="328"/>
        <w:spacing w:after="0" w:line="26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Compensation Committee, with assistance from its independent compensation consultant, oversees risk management associated with our compensation programs, policies and practices with respect to both executive compensation and compensation in general, and reviews human capital management matters including diversity, equity and inclusion.</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Nominating and Corporate Governance Committee oversees risk management associated with succession planning, non-employee director compensation, overall Board of Directors and Board Committee performance, and corporate governance practices.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Management's Role in Risk Management</w:t>
      </w:r>
    </w:p>
    <w:p>
      <w:pPr>
        <w:spacing w:after="0" w:line="22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Company's Enterprise Risk Management committee, or ERM, assists us in achieving our business objectives by creating a systematic approach to anticipate, analyze and review material risks. The ERM committee meets with the Company's executives and senior leaders, and presents to the Board at least twice per year on the probability, potential impact and timeframe of impact of the identified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Sustainability and Human Capital Resources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At Apogee, our Core Values are the foundation of our culture, and they are reflected in our commitment to sustainability and to developing our employees to their full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-27305</wp:posOffset>
            </wp:positionV>
            <wp:extent cx="4286250" cy="2082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8625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Additional information related to our sustainability efforts, human capital management and environmental responsibility efforts is available on our website at </w:t>
      </w:r>
      <w:r>
        <w:rPr>
          <w:rFonts w:ascii="Arial" w:cs="Arial" w:eastAsia="Arial" w:hAnsi="Arial"/>
          <w:sz w:val="18"/>
          <w:szCs w:val="18"/>
          <w:color w:val="0000FF"/>
        </w:rPr>
        <w:t>www.apog.com</w:t>
      </w:r>
      <w:r>
        <w:rPr>
          <w:rFonts w:ascii="Arial" w:cs="Arial" w:eastAsia="Arial" w:hAnsi="Arial"/>
          <w:sz w:val="18"/>
          <w:szCs w:val="18"/>
          <w:color w:val="auto"/>
        </w:rPr>
        <w:t xml:space="preserve"> by clicking “Sustainability.”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Sustainability Focus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leading provider of architectural products and services, we are committed to integrating sustainable business practices and environmental stewardship throughout our business. Our company-wide commitment to sustainable business practices is focused on delivering long-term profitable growth, while carefully stewarding the resources entrusted to us and delivering products and services that address our customers’ increasing focus on energy efficiency, reducing their greenhouse gas emissions, and other performance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auto"/>
        </w:rPr>
        <w:t>Our Sustainability Strategy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key areas of focus for Apogee's Sustainability Strategy 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Environment</w:t>
      </w:r>
    </w:p>
    <w:p>
      <w:pPr>
        <w:spacing w:after="0" w:line="11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understand our responsibility to protect the environment and be responsible stewards of the resources entrusted to us. Through our Apogee Management System we will continue to focus on incorporating environmentally sustainable manufacturing processes, eliminating waste, and minimizing our resource consumption. To further our efforts, in fiscal 2024, we calculated and publicly disclosed our baseline Scope 1 and Scope 2 greenhouse gas emissions, along with data on enterprise-wide energy consumption. We plan to use this data to evaluate new opportunities for reducing our emissions and energy use.</w:t>
      </w:r>
    </w:p>
    <w:p>
      <w:pPr>
        <w:spacing w:after="0" w:line="71"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Our architectural products and services are key enablers of green building and sustainable design. We have long been at the forefront of developing innovative products and services that conserve resources and help architects and building owners achieve their sustainability goals, such as attaining Leadership in Energy and Environmental Design ("LEED") certifications. Our high-performance thermal framing systems, energy-efficient architectural glass, and other products are designed to help improve building energy efficiency, reduce greenhouse gas emissions, and increase security and comfort for building occupants. Our products are made primarily with glass and aluminum components, which are recyclable at the end of their useful lives. In addition, many of our framing products can be specified with recycled aluminum content.</w:t>
      </w:r>
    </w:p>
    <w:p>
      <w:pPr>
        <w:spacing w:after="0" w:line="7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Our commitment to sustainable business practices and environmental stewardship also extends to our own operations, including incorporating environmentally sustainable manufacturing processes, eliminating waste, and minimizing our resource consumption. We have adopted an enterprise-wide Environmental, Health, and Safety policy that serves as a guide for our employees to conduct business in a manner that protects the environment and ensures compliance with applicable environmental laws and regulations.</w:t>
      </w:r>
    </w:p>
    <w:p>
      <w:pPr>
        <w:spacing w:after="0" w:line="6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have waste reduction and recycling programs in place across our locations that will divert hundreds of tons of materials from the waste stream each year. We recycle numerous types of materials, including aluminum scrap, glass cullet, packaging, crating materials and cardboard, paper waste, solvent, and waste oil. Our facility and operations teams will continually seek innovative ways to reduce our environmental impact, including installing energy-efficient LED lighting, reducing resource consumption and waste, and utilizing reusable shipping containers.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People</w:t>
      </w:r>
    </w:p>
    <w:p>
      <w:pPr>
        <w:spacing w:after="0" w:line="22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At Apogee, we understand that our Company is only as strong as our people. We continually focus on strengthening our team, ensuring we have the talent and skills across our organization to consistently deliver the innovative products, technical expertise, and dependable customer service that sets us apart. For additional information on our health, wellness, safety, diversity and equal opportunity initiatives see our "Human Capital Resources" section below.</w:t>
      </w:r>
    </w:p>
    <w:p>
      <w:pPr>
        <w:spacing w:after="0" w:line="6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We also strive to make a difference in the communities where we operate. Apogee has a long legacy of giving back to the communities where we do business through volunteerism, donations, and financial support. We will continue to work to strengthen the communities where we operate by investing in our business and creating good jobs.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Governance</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recognize that sound oversight is critical to our ability to effectively plan and execute our long-term goals. As outlined in our Corporate Governance Guidelines, our Board of Directors, directly and through its Committees, has overall responsibility for the Company's risk oversight as well as corporate responsibility, including environmental, social, and governance matters and climate-related risk. The Board's Compensation Committee provides oversight of our human capital management resources. The full Board of Directors is updated on our sustainability initiatives and strategy at least two times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auto"/>
        </w:rPr>
        <w:t>Human Capital Resources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commitment to sustainability begins with our people. We continually focus on strengthening our team to ensure that we have the capabilities in place to consistently deliver for our customers. Apogee has an enterprise-wide talent management program in place to hire, train, and develop a diverse team of employees and leaders. We are also committed to our employees’ safety and wellness, with a robust workplace safety program, comprehensive benefit packages, and wellness initiatives to promote healthy lifestyles.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Competition for qualified employees in the markets and industries in which we operate is significant, and the success of our Company depends on our ability to attract, select, develop, and retain a productive and engaged workforce. Investing in our employees and their well-being, offering competitive compensation and benefits, promoting diversity and inclusion, and adopting positive human capital management practices are critical components of our corporate strategy.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Health, Wellness and Safety</w:t>
      </w:r>
    </w:p>
    <w:p>
      <w:pPr>
        <w:spacing w:after="0" w:line="22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safety of our employees is integral to our Company. Providing a safe and secure work environment is one of our highest priorities and we devote significant time and resources to workplace safety. Our safety programs are designed to comply with stringent regulatory requirements and to meet or exceed best practices in our industry. This commitment requires focus and dedication to fundamental aspects of our business to minimize the risk of accidents, injury, and exposure to health hazards.</w:t>
      </w:r>
    </w:p>
    <w:p>
      <w:pPr>
        <w:spacing w:after="0" w:line="68"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In fiscal 2025, we continued to improve our enterprise-wide health and safety program which centralizes oversight of workplace safety and actively shares best practices across our business. Our Apogee Safety Council, which manages our enterprise-wide health and safety program, met regularly to review facility-level performance, maintain policies, and provide short- and long-term plans to achieve our ambition of achieving an accident incident rate of zero.</w:t>
      </w:r>
    </w:p>
    <w:p>
      <w:pPr>
        <w:spacing w:after="0" w:line="6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utilize a safety culture assessment process along with safety compliance audits to monitor safety programs within our businesses. These annual assessments and audits provide suggestions for continuous improvement in safety programs and measure employee engagement. In addition, the programs encourage the development of a proactive, interdependent safety culture in which leadership and employees interact to ensure safety is viewed as everyone’s responsibility. Our leadership team and Board of Directors are briefed regularly on our safety performance metrics.</w:t>
      </w:r>
    </w:p>
    <w:p>
      <w:pPr>
        <w:spacing w:after="0" w:line="7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offer comprehensive health and wellness programs for our employees. In addition to standard health programs including medical insurance and preventive care, we have a variety of resources available to employees relating to physical and mental wellness. We also conduct employee engagement surveys at the site level annually to hear directly from our employees with respect to what we are doing well, in addition to areas where they may need additional support.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Equal Opportunity</w:t>
      </w:r>
    </w:p>
    <w:p>
      <w:pPr>
        <w:spacing w:after="0" w:line="22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We strive to promote a workplace where each employee’s abilities are recognized, respected, and utilized to further our goals. Our aim is to create an environment where people feel included as a part of a team because of their diversity of outlooks, perspectives, and characteristics and have an equal opportunity to add value to our Company. We work to create a culture of inclusion, reduce bias in our talent practices, and invest in and engage with our communities. We conduct diversity and Code of Conduct trainings with employees and managers annually to define our expectations on creating an inclusive and diverse workplace, where all individuals feel respected and part of a team regardless of their race, national origin, ethnicity, gender, age, religion, disability, sexual orientation or gender identity.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Talent Management and Development</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Our talent management program is focused on developing employees and leaders to meet the Company’s evolving needs. Employees are able to track and manage their growth through a performance management system and managers actively engage with their employees to provide coaching and feedback, identify training and development opportunities to improve performance in the employee’s current role, and to position the employee for future growth. Training and development opportunities include new-hire training, job specific training, stretch assignments, and safety training.</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30" w:name="page31"/>
    <w:bookmarkEnd w:id="30"/>
    <w:p>
      <w:pPr>
        <w:jc w:val="both"/>
        <w:ind w:left="660"/>
        <w:spacing w:after="0" w:line="259" w:lineRule="auto"/>
        <w:rPr>
          <w:sz w:val="20"/>
          <w:szCs w:val="20"/>
          <w:color w:val="auto"/>
        </w:rPr>
      </w:pPr>
      <w:r>
        <w:rPr>
          <w:rFonts w:ascii="Arial" w:cs="Arial" w:eastAsia="Arial" w:hAnsi="Arial"/>
          <w:sz w:val="18"/>
          <w:szCs w:val="18"/>
          <w:color w:val="auto"/>
        </w:rPr>
        <w:t>We also offer leadership development opportunities, such as our Apogee Leadership and Apogee Senior Leadership Programs, along with technical training for engineers, designers and sales staff. In addition, we offer an education assistance program in which certain eligible employees receive tuition reimbursement to help defray the costs associated with their continuing education. Our executive leadership and Human Resources teams regularly conduct talent reviews and succession planning to assist with meeting critical talent and leadership needs.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Certain Relationships and Related Transactions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written policies and procedures (the “Related Person Transactions Policy”) to assist us in reviewing transactions in excess of $120,000 involving our Company and our subsidiaries and Related Persons (“Related Persons Transactions”). A Related Person includes our Company’s directors, director nominees, executive officers and beneficial owners of 5% or more of our Company’s common stock and their respective Immediate Family Members (as defined in our Related Person Transactions Policy). Our Related Person Transactions Policy supplements our Code of Business Ethics and Conduct Conflict of Interest Policy, which applies to all of our employees and directors.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Related Person Transactions Policy requires any Related Person Transaction to be promptly reported to the Chair of our Nominating and Corporate Governance Committee. In approving, ratifying or rejecting a Related Person Transaction, our Nominating and Corporate Governance Committee will consider such information as it deems important to determine if the Related Person Transaction is fair to our Company. Our Conflict of Interest Policy requires our employees and directors to report to our Chief Legal Officer any potential conflict of interest situation involving any employee or director, or their Immediate Family Members. During fiscal 2025, there were no Related Party Transactions involving a Related Person, as defined in the policy.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Insider Trading and Tipping and Hedging Policy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 Insider Trading and Tipping and Hedging Policy (“Insider Trading Policy”) that governs the purchase, sale, or other disposition of the Company's securities by our Company's directors, Section 16 officers, employees and related parties. Our Insider Trading Policy was reasonably designed to comply with applicable insider trading laws, rules and regulations, and listing requirements. Our Insider Trading Policy prohibits our Company's directors, Section 16 officers and employees from trading in the Company's securities while aware of material non-public information subject to certain exceptions, including pre-arranged trading programs pursuant to Rule 10b5-1 under the Securities Exchange Act of 1934. Directors and Section 16 officers are required to seek pre-clearance and approval of their transactions in the Company's securities by our Chief Legal Officer, and to comply with the Company's prescribed trading window. Our Insider Trading Policy also, among other things, prohibits tipping or disclosing material non-public information to others, and prohibits our Company's directors, Section 16 officers and employees from short selling, hedging and pledging the Company's stock. In addition, with regard to the Company's trading in its own securities, it is the Company's policy to comply with the federal securities laws and the applicable exchange listing requirements. A copy of our Insider Trading Policy can be found as Exhibit 19 to our most recent Annual Report on Form 10-K.</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ind w:left="3320"/>
        <w:spacing w:after="0"/>
        <w:rPr>
          <w:sz w:val="20"/>
          <w:szCs w:val="20"/>
          <w:color w:val="auto"/>
        </w:rPr>
      </w:pPr>
      <w:r>
        <w:rPr>
          <w:rFonts w:ascii="Arial" w:cs="Arial" w:eastAsia="Arial" w:hAnsi="Arial"/>
          <w:sz w:val="25"/>
          <w:szCs w:val="25"/>
          <w:b w:val="1"/>
          <w:bCs w:val="1"/>
          <w:color w:val="auto"/>
        </w:rPr>
        <w:t>Non-Employee Director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Non-Employee Director Compensation Arrangements During Fiscal 2025</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structure director compensation to attract and retain qualified non-employee directors and to further align the interests of directors with the interests of our shareholders.</w:t>
      </w:r>
    </w:p>
    <w:p>
      <w:pPr>
        <w:spacing w:after="0" w:line="15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Board of Directors approves the compensation for members of our Board of Directors and Committees based on the recommendations of our Nominating and Corporate Governance Committee. We target compensation for service on our Board of Directors and Committees generally at the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for board service at companies in our peer group of companies, using the same peer group used for executive compensation purposes. Generally, our Nominating and Corporate Governance Committee reviews and discusses the compensation data and analysis provided by management with assistance from the Company's independent compensation consultant. Our Chief Executive Officer participates in the discussions on compensation for members of our Board of Directors. Directors who are employees receive no additional compensation for serving on our Board of Directors.</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describes the compensation arrangements with our non-employee directors as of the end of fiscal 2025. During fiscal 2025, we increased annual cash retainers for Board members from $65,000 to $75,000, following the foregoing analysis, in order to maintain a market-competitive compensation package for our non-employee directors.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5445E"/>
              </w:rPr>
              <w:t>Compensation</w:t>
            </w:r>
          </w:p>
        </w:tc>
        <w:tc>
          <w:tcPr>
            <w:tcW w:w="80" w:type="dxa"/>
            <w:vAlign w:val="bottom"/>
            <w:tcBorders>
              <w:bottom w:val="single" w:sz="8" w:color="D9D9D9"/>
            </w:tcBorders>
          </w:tcPr>
          <w:p>
            <w:pPr>
              <w:spacing w:after="0"/>
              <w:rPr>
                <w:sz w:val="22"/>
                <w:szCs w:val="22"/>
                <w:color w:val="auto"/>
              </w:rPr>
            </w:pP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5445E"/>
              </w:rPr>
              <w:t>Fiscal 2025</w:t>
            </w:r>
          </w:p>
        </w:tc>
        <w:tc>
          <w:tcPr>
            <w:tcW w:w="1820" w:type="dxa"/>
            <w:vAlign w:val="bottom"/>
            <w:tcBorders>
              <w:bottom w:val="single" w:sz="8" w:color="auto"/>
            </w:tcBorders>
          </w:tcPr>
          <w:p>
            <w:pPr>
              <w:spacing w:after="0"/>
              <w:rPr>
                <w:sz w:val="22"/>
                <w:szCs w:val="22"/>
                <w:color w:val="auto"/>
              </w:rPr>
            </w:pPr>
          </w:p>
        </w:tc>
      </w:tr>
      <w:tr>
        <w:trPr>
          <w:trHeight w:val="270"/>
        </w:trPr>
        <w:tc>
          <w:tcPr>
            <w:tcW w:w="6520" w:type="dxa"/>
            <w:vAlign w:val="bottom"/>
            <w:gridSpan w:val="2"/>
            <w:shd w:val="clear" w:color="auto" w:fill="D9D9D9"/>
          </w:tcPr>
          <w:p>
            <w:pPr>
              <w:ind w:left="20"/>
              <w:spacing w:after="0"/>
              <w:rPr>
                <w:sz w:val="20"/>
                <w:szCs w:val="20"/>
                <w:color w:val="auto"/>
              </w:rPr>
            </w:pPr>
            <w:r>
              <w:rPr>
                <w:rFonts w:ascii="Arial" w:cs="Arial" w:eastAsia="Arial" w:hAnsi="Arial"/>
                <w:sz w:val="18"/>
                <w:szCs w:val="18"/>
                <w:b w:val="1"/>
                <w:bCs w:val="1"/>
                <w:color w:val="05445E"/>
              </w:rPr>
              <w:t>Annual Cash Retainers:</w:t>
            </w:r>
          </w:p>
        </w:tc>
        <w:tc>
          <w:tcPr>
            <w:tcW w:w="2900" w:type="dxa"/>
            <w:vAlign w:val="bottom"/>
            <w:shd w:val="clear" w:color="auto" w:fill="D9D9D9"/>
          </w:tcPr>
          <w:p>
            <w:pPr>
              <w:spacing w:after="0"/>
              <w:rPr>
                <w:sz w:val="23"/>
                <w:szCs w:val="23"/>
                <w:color w:val="auto"/>
              </w:rPr>
            </w:pPr>
          </w:p>
        </w:tc>
        <w:tc>
          <w:tcPr>
            <w:tcW w:w="1820" w:type="dxa"/>
            <w:vAlign w:val="bottom"/>
            <w:shd w:val="clear" w:color="auto" w:fill="D9D9D9"/>
          </w:tcPr>
          <w:p>
            <w:pPr>
              <w:spacing w:after="0"/>
              <w:rPr>
                <w:sz w:val="23"/>
                <w:szCs w:val="23"/>
                <w:color w:val="auto"/>
              </w:rPr>
            </w:pPr>
          </w:p>
        </w:tc>
      </w:tr>
      <w:tr>
        <w:trPr>
          <w:trHeight w:val="247"/>
        </w:trPr>
        <w:tc>
          <w:tcPr>
            <w:tcW w:w="6520" w:type="dxa"/>
            <w:vAlign w:val="bottom"/>
            <w:gridSpan w:val="2"/>
          </w:tcPr>
          <w:p>
            <w:pPr>
              <w:ind w:left="260"/>
              <w:spacing w:after="0"/>
              <w:rPr>
                <w:sz w:val="20"/>
                <w:szCs w:val="20"/>
                <w:color w:val="auto"/>
              </w:rPr>
            </w:pPr>
            <w:r>
              <w:rPr>
                <w:rFonts w:ascii="Arial" w:cs="Arial" w:eastAsia="Arial" w:hAnsi="Arial"/>
                <w:sz w:val="18"/>
                <w:szCs w:val="18"/>
                <w:color w:val="auto"/>
              </w:rPr>
              <w:t>Independent Chair of the Board</w:t>
            </w:r>
          </w:p>
        </w:tc>
        <w:tc>
          <w:tcPr>
            <w:tcW w:w="2900" w:type="dxa"/>
            <w:vAlign w:val="bottom"/>
          </w:tcPr>
          <w:p>
            <w:pPr>
              <w:jc w:val="right"/>
              <w:spacing w:after="0"/>
              <w:rPr>
                <w:sz w:val="20"/>
                <w:szCs w:val="20"/>
                <w:color w:val="auto"/>
              </w:rPr>
            </w:pPr>
            <w:r>
              <w:rPr>
                <w:rFonts w:ascii="Arial" w:cs="Arial" w:eastAsia="Arial" w:hAnsi="Arial"/>
                <w:sz w:val="18"/>
                <w:szCs w:val="18"/>
                <w:color w:val="auto"/>
              </w:rPr>
              <w:t>$135,000</w:t>
            </w:r>
          </w:p>
        </w:tc>
        <w:tc>
          <w:tcPr>
            <w:tcW w:w="1820" w:type="dxa"/>
            <w:vAlign w:val="bottom"/>
          </w:tcPr>
          <w:p>
            <w:pPr>
              <w:spacing w:after="0"/>
              <w:rPr>
                <w:sz w:val="21"/>
                <w:szCs w:val="21"/>
                <w:color w:val="auto"/>
              </w:rPr>
            </w:pPr>
          </w:p>
        </w:tc>
      </w:tr>
      <w:tr>
        <w:trPr>
          <w:trHeight w:val="23"/>
        </w:trPr>
        <w:tc>
          <w:tcPr>
            <w:tcW w:w="6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520" w:type="dxa"/>
            <w:vAlign w:val="bottom"/>
            <w:tcBorders>
              <w:bottom w:val="single" w:sz="8" w:color="D9D9D9"/>
            </w:tcBorders>
            <w:gridSpan w:val="2"/>
            <w:shd w:val="clear" w:color="auto" w:fill="D9D9D9"/>
          </w:tcPr>
          <w:p>
            <w:pPr>
              <w:ind w:left="260"/>
              <w:spacing w:after="0"/>
              <w:rPr>
                <w:sz w:val="20"/>
                <w:szCs w:val="20"/>
                <w:color w:val="auto"/>
              </w:rPr>
            </w:pPr>
            <w:r>
              <w:rPr>
                <w:rFonts w:ascii="Arial" w:cs="Arial" w:eastAsia="Arial" w:hAnsi="Arial"/>
                <w:sz w:val="18"/>
                <w:szCs w:val="18"/>
                <w:color w:val="auto"/>
              </w:rPr>
              <w:t>Board Member</w:t>
            </w:r>
          </w:p>
        </w:tc>
        <w:tc>
          <w:tcPr>
            <w:tcW w:w="290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75,000</w:t>
            </w:r>
          </w:p>
        </w:tc>
        <w:tc>
          <w:tcPr>
            <w:tcW w:w="1820" w:type="dxa"/>
            <w:vAlign w:val="bottom"/>
            <w:tcBorders>
              <w:bottom w:val="single" w:sz="8" w:color="D9D9D9"/>
            </w:tcBorders>
            <w:shd w:val="clear" w:color="auto" w:fill="D9D9D9"/>
          </w:tcPr>
          <w:p>
            <w:pPr>
              <w:spacing w:after="0"/>
              <w:rPr>
                <w:sz w:val="21"/>
                <w:szCs w:val="21"/>
                <w:color w:val="auto"/>
              </w:rPr>
            </w:pPr>
          </w:p>
        </w:tc>
      </w:tr>
      <w:tr>
        <w:trPr>
          <w:trHeight w:val="247"/>
        </w:trPr>
        <w:tc>
          <w:tcPr>
            <w:tcW w:w="6520" w:type="dxa"/>
            <w:vAlign w:val="bottom"/>
            <w:gridSpan w:val="2"/>
          </w:tcPr>
          <w:p>
            <w:pPr>
              <w:ind w:left="260"/>
              <w:spacing w:after="0"/>
              <w:rPr>
                <w:sz w:val="20"/>
                <w:szCs w:val="20"/>
                <w:color w:val="auto"/>
              </w:rPr>
            </w:pPr>
            <w:r>
              <w:rPr>
                <w:rFonts w:ascii="Arial" w:cs="Arial" w:eastAsia="Arial" w:hAnsi="Arial"/>
                <w:sz w:val="18"/>
                <w:szCs w:val="18"/>
                <w:color w:val="auto"/>
              </w:rPr>
              <w:t>Audit Committee Chair</w:t>
            </w:r>
          </w:p>
        </w:tc>
        <w:tc>
          <w:tcPr>
            <w:tcW w:w="2900" w:type="dxa"/>
            <w:vAlign w:val="bottom"/>
          </w:tcPr>
          <w:p>
            <w:pPr>
              <w:jc w:val="right"/>
              <w:spacing w:after="0"/>
              <w:rPr>
                <w:sz w:val="20"/>
                <w:szCs w:val="20"/>
                <w:color w:val="auto"/>
              </w:rPr>
            </w:pPr>
            <w:r>
              <w:rPr>
                <w:rFonts w:ascii="Arial" w:cs="Arial" w:eastAsia="Arial" w:hAnsi="Arial"/>
                <w:sz w:val="18"/>
                <w:szCs w:val="18"/>
                <w:color w:val="auto"/>
              </w:rPr>
              <w:t>30,000</w:t>
            </w:r>
          </w:p>
        </w:tc>
        <w:tc>
          <w:tcPr>
            <w:tcW w:w="1820" w:type="dxa"/>
            <w:vAlign w:val="bottom"/>
          </w:tcPr>
          <w:p>
            <w:pPr>
              <w:spacing w:after="0"/>
              <w:rPr>
                <w:sz w:val="21"/>
                <w:szCs w:val="21"/>
                <w:color w:val="auto"/>
              </w:rPr>
            </w:pPr>
          </w:p>
        </w:tc>
      </w:tr>
      <w:tr>
        <w:trPr>
          <w:trHeight w:val="23"/>
        </w:trPr>
        <w:tc>
          <w:tcPr>
            <w:tcW w:w="6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520" w:type="dxa"/>
            <w:vAlign w:val="bottom"/>
            <w:tcBorders>
              <w:bottom w:val="single" w:sz="8" w:color="D9D9D9"/>
            </w:tcBorders>
            <w:gridSpan w:val="2"/>
            <w:shd w:val="clear" w:color="auto" w:fill="D9D9D9"/>
          </w:tcPr>
          <w:p>
            <w:pPr>
              <w:ind w:left="260"/>
              <w:spacing w:after="0"/>
              <w:rPr>
                <w:sz w:val="20"/>
                <w:szCs w:val="20"/>
                <w:color w:val="auto"/>
              </w:rPr>
            </w:pPr>
            <w:r>
              <w:rPr>
                <w:rFonts w:ascii="Arial" w:cs="Arial" w:eastAsia="Arial" w:hAnsi="Arial"/>
                <w:sz w:val="18"/>
                <w:szCs w:val="18"/>
                <w:color w:val="auto"/>
              </w:rPr>
              <w:t>Audit Committee Member</w:t>
            </w:r>
          </w:p>
        </w:tc>
        <w:tc>
          <w:tcPr>
            <w:tcW w:w="290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15,000</w:t>
            </w:r>
          </w:p>
        </w:tc>
        <w:tc>
          <w:tcPr>
            <w:tcW w:w="1820" w:type="dxa"/>
            <w:vAlign w:val="bottom"/>
            <w:tcBorders>
              <w:bottom w:val="single" w:sz="8" w:color="D9D9D9"/>
            </w:tcBorders>
            <w:shd w:val="clear" w:color="auto" w:fill="D9D9D9"/>
          </w:tcPr>
          <w:p>
            <w:pPr>
              <w:spacing w:after="0"/>
              <w:rPr>
                <w:sz w:val="21"/>
                <w:szCs w:val="21"/>
                <w:color w:val="auto"/>
              </w:rPr>
            </w:pPr>
          </w:p>
        </w:tc>
      </w:tr>
      <w:tr>
        <w:trPr>
          <w:trHeight w:val="247"/>
        </w:trPr>
        <w:tc>
          <w:tcPr>
            <w:tcW w:w="6520" w:type="dxa"/>
            <w:vAlign w:val="bottom"/>
            <w:gridSpan w:val="2"/>
          </w:tcPr>
          <w:p>
            <w:pPr>
              <w:ind w:left="260"/>
              <w:spacing w:after="0"/>
              <w:rPr>
                <w:sz w:val="20"/>
                <w:szCs w:val="20"/>
                <w:color w:val="auto"/>
              </w:rPr>
            </w:pPr>
            <w:r>
              <w:rPr>
                <w:rFonts w:ascii="Arial" w:cs="Arial" w:eastAsia="Arial" w:hAnsi="Arial"/>
                <w:sz w:val="18"/>
                <w:szCs w:val="18"/>
                <w:color w:val="auto"/>
              </w:rPr>
              <w:t>Compensation Committee Chair</w:t>
            </w:r>
          </w:p>
        </w:tc>
        <w:tc>
          <w:tcPr>
            <w:tcW w:w="2900" w:type="dxa"/>
            <w:vAlign w:val="bottom"/>
          </w:tcPr>
          <w:p>
            <w:pPr>
              <w:jc w:val="right"/>
              <w:spacing w:after="0"/>
              <w:rPr>
                <w:sz w:val="20"/>
                <w:szCs w:val="20"/>
                <w:color w:val="auto"/>
              </w:rPr>
            </w:pPr>
            <w:r>
              <w:rPr>
                <w:rFonts w:ascii="Arial" w:cs="Arial" w:eastAsia="Arial" w:hAnsi="Arial"/>
                <w:sz w:val="18"/>
                <w:szCs w:val="18"/>
                <w:color w:val="auto"/>
              </w:rPr>
              <w:t>25,000</w:t>
            </w:r>
          </w:p>
        </w:tc>
        <w:tc>
          <w:tcPr>
            <w:tcW w:w="1820" w:type="dxa"/>
            <w:vAlign w:val="bottom"/>
          </w:tcPr>
          <w:p>
            <w:pPr>
              <w:spacing w:after="0"/>
              <w:rPr>
                <w:sz w:val="21"/>
                <w:szCs w:val="21"/>
                <w:color w:val="auto"/>
              </w:rPr>
            </w:pPr>
          </w:p>
        </w:tc>
      </w:tr>
      <w:tr>
        <w:trPr>
          <w:trHeight w:val="23"/>
        </w:trPr>
        <w:tc>
          <w:tcPr>
            <w:tcW w:w="6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520" w:type="dxa"/>
            <w:vAlign w:val="bottom"/>
            <w:tcBorders>
              <w:bottom w:val="single" w:sz="8" w:color="D9D9D9"/>
            </w:tcBorders>
            <w:gridSpan w:val="2"/>
            <w:shd w:val="clear" w:color="auto" w:fill="D9D9D9"/>
          </w:tcPr>
          <w:p>
            <w:pPr>
              <w:ind w:left="260"/>
              <w:spacing w:after="0"/>
              <w:rPr>
                <w:sz w:val="20"/>
                <w:szCs w:val="20"/>
                <w:color w:val="auto"/>
              </w:rPr>
            </w:pPr>
            <w:r>
              <w:rPr>
                <w:rFonts w:ascii="Arial" w:cs="Arial" w:eastAsia="Arial" w:hAnsi="Arial"/>
                <w:sz w:val="18"/>
                <w:szCs w:val="18"/>
                <w:color w:val="auto"/>
              </w:rPr>
              <w:t>Compensation Committee Member</w:t>
            </w:r>
          </w:p>
        </w:tc>
        <w:tc>
          <w:tcPr>
            <w:tcW w:w="290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10,000</w:t>
            </w:r>
          </w:p>
        </w:tc>
        <w:tc>
          <w:tcPr>
            <w:tcW w:w="1820" w:type="dxa"/>
            <w:vAlign w:val="bottom"/>
            <w:tcBorders>
              <w:bottom w:val="single" w:sz="8" w:color="D9D9D9"/>
            </w:tcBorders>
            <w:shd w:val="clear" w:color="auto" w:fill="D9D9D9"/>
          </w:tcPr>
          <w:p>
            <w:pPr>
              <w:spacing w:after="0"/>
              <w:rPr>
                <w:sz w:val="21"/>
                <w:szCs w:val="21"/>
                <w:color w:val="auto"/>
              </w:rPr>
            </w:pPr>
          </w:p>
        </w:tc>
      </w:tr>
      <w:tr>
        <w:trPr>
          <w:trHeight w:val="247"/>
        </w:trPr>
        <w:tc>
          <w:tcPr>
            <w:tcW w:w="6520" w:type="dxa"/>
            <w:vAlign w:val="bottom"/>
            <w:gridSpan w:val="2"/>
          </w:tcPr>
          <w:p>
            <w:pPr>
              <w:ind w:left="260"/>
              <w:spacing w:after="0"/>
              <w:rPr>
                <w:sz w:val="20"/>
                <w:szCs w:val="20"/>
                <w:color w:val="auto"/>
              </w:rPr>
            </w:pPr>
            <w:r>
              <w:rPr>
                <w:rFonts w:ascii="Arial" w:cs="Arial" w:eastAsia="Arial" w:hAnsi="Arial"/>
                <w:sz w:val="18"/>
                <w:szCs w:val="18"/>
                <w:color w:val="auto"/>
              </w:rPr>
              <w:t>Nominating and Corporate Governance Committee Chair</w:t>
            </w:r>
          </w:p>
        </w:tc>
        <w:tc>
          <w:tcPr>
            <w:tcW w:w="2900" w:type="dxa"/>
            <w:vAlign w:val="bottom"/>
          </w:tcPr>
          <w:p>
            <w:pPr>
              <w:jc w:val="right"/>
              <w:spacing w:after="0"/>
              <w:rPr>
                <w:sz w:val="20"/>
                <w:szCs w:val="20"/>
                <w:color w:val="auto"/>
              </w:rPr>
            </w:pPr>
            <w:r>
              <w:rPr>
                <w:rFonts w:ascii="Arial" w:cs="Arial" w:eastAsia="Arial" w:hAnsi="Arial"/>
                <w:sz w:val="18"/>
                <w:szCs w:val="18"/>
                <w:color w:val="auto"/>
              </w:rPr>
              <w:t>25,000</w:t>
            </w:r>
          </w:p>
        </w:tc>
        <w:tc>
          <w:tcPr>
            <w:tcW w:w="1820" w:type="dxa"/>
            <w:vAlign w:val="bottom"/>
          </w:tcPr>
          <w:p>
            <w:pPr>
              <w:spacing w:after="0"/>
              <w:rPr>
                <w:sz w:val="21"/>
                <w:szCs w:val="21"/>
                <w:color w:val="auto"/>
              </w:rPr>
            </w:pPr>
          </w:p>
        </w:tc>
      </w:tr>
      <w:tr>
        <w:trPr>
          <w:trHeight w:val="23"/>
        </w:trPr>
        <w:tc>
          <w:tcPr>
            <w:tcW w:w="6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520" w:type="dxa"/>
            <w:vAlign w:val="bottom"/>
            <w:tcBorders>
              <w:bottom w:val="single" w:sz="8" w:color="D9D9D9"/>
            </w:tcBorders>
            <w:gridSpan w:val="2"/>
            <w:shd w:val="clear" w:color="auto" w:fill="D9D9D9"/>
          </w:tcPr>
          <w:p>
            <w:pPr>
              <w:ind w:left="260"/>
              <w:spacing w:after="0"/>
              <w:rPr>
                <w:sz w:val="20"/>
                <w:szCs w:val="20"/>
                <w:color w:val="auto"/>
              </w:rPr>
            </w:pPr>
            <w:r>
              <w:rPr>
                <w:rFonts w:ascii="Arial" w:cs="Arial" w:eastAsia="Arial" w:hAnsi="Arial"/>
                <w:sz w:val="18"/>
                <w:szCs w:val="18"/>
                <w:color w:val="auto"/>
              </w:rPr>
              <w:t>Nominating and Corporate Governance Committee Member</w:t>
            </w:r>
          </w:p>
        </w:tc>
        <w:tc>
          <w:tcPr>
            <w:tcW w:w="290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8"/>
                <w:szCs w:val="18"/>
                <w:color w:val="auto"/>
              </w:rPr>
              <w:t>10,000</w:t>
            </w:r>
          </w:p>
        </w:tc>
        <w:tc>
          <w:tcPr>
            <w:tcW w:w="1820" w:type="dxa"/>
            <w:vAlign w:val="bottom"/>
            <w:tcBorders>
              <w:bottom w:val="single" w:sz="8" w:color="D9D9D9"/>
            </w:tcBorders>
            <w:shd w:val="clear" w:color="auto" w:fill="D9D9D9"/>
          </w:tcPr>
          <w:p>
            <w:pPr>
              <w:spacing w:after="0"/>
              <w:rPr>
                <w:sz w:val="21"/>
                <w:szCs w:val="21"/>
                <w:color w:val="auto"/>
              </w:rPr>
            </w:pPr>
          </w:p>
        </w:tc>
      </w:tr>
      <w:tr>
        <w:trPr>
          <w:trHeight w:val="263"/>
        </w:trPr>
        <w:tc>
          <w:tcPr>
            <w:tcW w:w="6520" w:type="dxa"/>
            <w:vAlign w:val="bottom"/>
            <w:gridSpan w:val="2"/>
          </w:tcPr>
          <w:p>
            <w:pPr>
              <w:ind w:left="20"/>
              <w:spacing w:after="0"/>
              <w:rPr>
                <w:sz w:val="20"/>
                <w:szCs w:val="20"/>
                <w:color w:val="auto"/>
              </w:rPr>
            </w:pPr>
            <w:r>
              <w:rPr>
                <w:rFonts w:ascii="Arial" w:cs="Arial" w:eastAsia="Arial" w:hAnsi="Arial"/>
                <w:sz w:val="18"/>
                <w:szCs w:val="18"/>
                <w:b w:val="1"/>
                <w:bCs w:val="1"/>
                <w:color w:val="05445E"/>
              </w:rPr>
              <w:t>Annual Equity Grant Board of Directors Chair</w:t>
            </w:r>
          </w:p>
        </w:tc>
        <w:tc>
          <w:tcPr>
            <w:tcW w:w="2900" w:type="dxa"/>
            <w:vAlign w:val="bottom"/>
          </w:tcPr>
          <w:p>
            <w:pPr>
              <w:jc w:val="right"/>
              <w:spacing w:after="0"/>
              <w:rPr>
                <w:sz w:val="20"/>
                <w:szCs w:val="20"/>
                <w:color w:val="auto"/>
              </w:rPr>
            </w:pPr>
            <w:r>
              <w:rPr>
                <w:rFonts w:ascii="Arial" w:cs="Arial" w:eastAsia="Arial" w:hAnsi="Arial"/>
                <w:sz w:val="18"/>
                <w:szCs w:val="18"/>
                <w:color w:val="auto"/>
              </w:rPr>
              <w:t>135,000</w:t>
            </w:r>
          </w:p>
        </w:tc>
        <w:tc>
          <w:tcPr>
            <w:tcW w:w="1820" w:type="dxa"/>
            <w:vAlign w:val="bottom"/>
          </w:tcPr>
          <w:p>
            <w:pPr>
              <w:jc w:val="center"/>
              <w:ind w:right="1542"/>
              <w:spacing w:after="0"/>
              <w:rPr>
                <w:sz w:val="20"/>
                <w:szCs w:val="20"/>
                <w:color w:val="auto"/>
              </w:rPr>
            </w:pPr>
            <w:r>
              <w:rPr>
                <w:rFonts w:ascii="Arial" w:cs="Arial" w:eastAsia="Arial" w:hAnsi="Arial"/>
                <w:sz w:val="12"/>
                <w:szCs w:val="12"/>
                <w:color w:val="auto"/>
                <w:w w:val="95"/>
              </w:rPr>
              <w:t>(1)</w:t>
            </w:r>
          </w:p>
        </w:tc>
      </w:tr>
      <w:tr>
        <w:trPr>
          <w:trHeight w:val="278"/>
        </w:trPr>
        <w:tc>
          <w:tcPr>
            <w:tcW w:w="6520" w:type="dxa"/>
            <w:vAlign w:val="bottom"/>
            <w:gridSpan w:val="2"/>
            <w:shd w:val="clear" w:color="auto" w:fill="D9D9D9"/>
          </w:tcPr>
          <w:p>
            <w:pPr>
              <w:ind w:left="20"/>
              <w:spacing w:after="0"/>
              <w:rPr>
                <w:sz w:val="20"/>
                <w:szCs w:val="20"/>
                <w:color w:val="auto"/>
              </w:rPr>
            </w:pPr>
            <w:r>
              <w:rPr>
                <w:rFonts w:ascii="Arial" w:cs="Arial" w:eastAsia="Arial" w:hAnsi="Arial"/>
                <w:sz w:val="18"/>
                <w:szCs w:val="18"/>
                <w:b w:val="1"/>
                <w:bCs w:val="1"/>
                <w:color w:val="05445E"/>
              </w:rPr>
              <w:t>Annual Equity Grant</w:t>
            </w:r>
          </w:p>
        </w:tc>
        <w:tc>
          <w:tcPr>
            <w:tcW w:w="29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115,000</w:t>
            </w:r>
          </w:p>
        </w:tc>
        <w:tc>
          <w:tcPr>
            <w:tcW w:w="1820" w:type="dxa"/>
            <w:vAlign w:val="bottom"/>
            <w:shd w:val="clear" w:color="auto" w:fill="D9D9D9"/>
          </w:tcPr>
          <w:p>
            <w:pPr>
              <w:jc w:val="center"/>
              <w:ind w:right="1542"/>
              <w:spacing w:after="0"/>
              <w:rPr>
                <w:sz w:val="20"/>
                <w:szCs w:val="20"/>
                <w:color w:val="auto"/>
              </w:rPr>
            </w:pPr>
            <w:r>
              <w:rPr>
                <w:rFonts w:ascii="Arial" w:cs="Arial" w:eastAsia="Arial" w:hAnsi="Arial"/>
                <w:sz w:val="12"/>
                <w:szCs w:val="12"/>
                <w:color w:val="auto"/>
                <w:w w:val="95"/>
              </w:rPr>
              <w:t>(1)</w:t>
            </w:r>
          </w:p>
        </w:tc>
      </w:tr>
      <w:tr>
        <w:trPr>
          <w:trHeight w:val="255"/>
        </w:trPr>
        <w:tc>
          <w:tcPr>
            <w:tcW w:w="6520" w:type="dxa"/>
            <w:vAlign w:val="bottom"/>
            <w:gridSpan w:val="2"/>
          </w:tcPr>
          <w:p>
            <w:pPr>
              <w:ind w:left="20"/>
              <w:spacing w:after="0"/>
              <w:rPr>
                <w:sz w:val="20"/>
                <w:szCs w:val="20"/>
                <w:color w:val="auto"/>
              </w:rPr>
            </w:pPr>
            <w:r>
              <w:rPr>
                <w:rFonts w:ascii="Arial" w:cs="Arial" w:eastAsia="Arial" w:hAnsi="Arial"/>
                <w:sz w:val="18"/>
                <w:szCs w:val="18"/>
                <w:b w:val="1"/>
                <w:bCs w:val="1"/>
                <w:color w:val="05445E"/>
              </w:rPr>
              <w:t>Charitable Matching Contributions Program</w:t>
            </w:r>
          </w:p>
        </w:tc>
        <w:tc>
          <w:tcPr>
            <w:tcW w:w="4720" w:type="dxa"/>
            <w:vAlign w:val="bottom"/>
            <w:gridSpan w:val="2"/>
          </w:tcPr>
          <w:p>
            <w:pPr>
              <w:jc w:val="center"/>
              <w:ind w:left="1230"/>
              <w:spacing w:after="0"/>
              <w:rPr>
                <w:sz w:val="20"/>
                <w:szCs w:val="20"/>
                <w:color w:val="auto"/>
              </w:rPr>
            </w:pPr>
            <w:r>
              <w:rPr>
                <w:rFonts w:ascii="Arial" w:cs="Arial" w:eastAsia="Arial" w:hAnsi="Arial"/>
                <w:sz w:val="18"/>
                <w:szCs w:val="18"/>
                <w:color w:val="auto"/>
                <w:w w:val="99"/>
              </w:rPr>
              <w:t>$2,000 maximum aggregate annual match</w:t>
            </w:r>
          </w:p>
        </w:tc>
      </w:tr>
      <w:tr>
        <w:trPr>
          <w:trHeight w:val="330"/>
        </w:trPr>
        <w:tc>
          <w:tcPr>
            <w:tcW w:w="6440" w:type="dxa"/>
            <w:vAlign w:val="bottom"/>
          </w:tcPr>
          <w:p>
            <w:pPr>
              <w:spacing w:after="0"/>
              <w:rPr>
                <w:sz w:val="20"/>
                <w:szCs w:val="20"/>
                <w:color w:val="auto"/>
              </w:rPr>
            </w:pPr>
            <w:r>
              <w:rPr>
                <w:rFonts w:ascii="Arial" w:cs="Arial" w:eastAsia="Arial" w:hAnsi="Arial"/>
                <w:sz w:val="18"/>
                <w:szCs w:val="18"/>
                <w:color w:val="auto"/>
              </w:rPr>
              <w:t>_________________</w:t>
            </w:r>
          </w:p>
        </w:tc>
        <w:tc>
          <w:tcPr>
            <w:tcW w:w="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85" w:lineRule="exact"/>
        <w:rPr>
          <w:sz w:val="20"/>
          <w:szCs w:val="20"/>
          <w:color w:val="auto"/>
        </w:rPr>
      </w:pPr>
    </w:p>
    <w:p>
      <w:pPr>
        <w:jc w:val="both"/>
        <w:ind w:left="500" w:hanging="492"/>
        <w:spacing w:after="0" w:line="262" w:lineRule="auto"/>
        <w:tabs>
          <w:tab w:leader="none" w:pos="4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On June 20, 2024, we granted a restricted stock award of 2,223 shares to Mr. Nolan, having a value of approximately $135,000 on the date of grant, and restricted stock awards of 1,893 shares to each other non-employee director having a value of approximately $115,000 on the date of grant. The awards vest over three years in equal annual installments on the anniversaries of the grant date. See “Fiscal 2025 Non-Employee Director Compensation Table” beginning on page </w:t>
      </w:r>
      <w:r>
        <w:rPr>
          <w:rFonts w:ascii="Arial" w:cs="Arial" w:eastAsia="Arial" w:hAnsi="Arial"/>
          <w:sz w:val="18"/>
          <w:szCs w:val="18"/>
          <w:u w:val="single" w:color="auto"/>
          <w:color w:val="0000FF"/>
        </w:rPr>
        <w:t>30</w:t>
      </w:r>
      <w:r>
        <w:rPr>
          <w:rFonts w:ascii="Arial" w:cs="Arial" w:eastAsia="Arial" w:hAnsi="Arial"/>
          <w:sz w:val="18"/>
          <w:szCs w:val="18"/>
          <w:color w:val="auto"/>
        </w:rPr>
        <w:t xml:space="preserve"> for additional details.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Annual Equity Awards</w:t>
      </w:r>
    </w:p>
    <w:p>
      <w:pPr>
        <w:spacing w:after="0" w:line="22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Annual equity awards to non-employee directors, which may be restricted stock or restricted stock units, are issued pursuant to our 2019 Director Stock Plan. Each non-employee director receives a prorated award on or about the date they are first elected to our Board and annually on or about the date of our annual meeting of shareholders if their term continues after such meeting. The dollar value of the award is determined by our Board of Directors in June of each year, after recommendation by our Nominating and Corporate Governance Committee and in consideration of various factors, including market data and trends. We target the equity-based compensation received by non-employee directors at approximately the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our peer group of companies. Equity awards generally vest in three equal annual installments over a three-year vesting period. Upon issuance of restricted stock, each holder is entitled to the rights of a shareholder, including the right to vote the shares of restricted stock. Generally, we issue restricted stock unit awards (instead of restricted stock</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awards) to our non-employee directors who are not residents of the United States. For restricted stock awards made pursuant to our 2019 Director Stock Plan, dividends or other distributions (whether cash, stock or otherwise) will accrue during the vesting period and will be paid only upon vesting. Awards will be forfeited upon the termination of a director’s service, unless the director is terminated by the Company due to retirement, death or disability, in which case restricted stock will accelerate and vest. If a change in control (as defined in the 2019 Director Stock Plan) occurs, any award shall vest immediately.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Director Deferred Compensation Arrangements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Deferral of Equity Awards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lieu of receiving a restricted stock award, non-employee directors have the option to receive a deferred restricted stock unit award, pursuant to the Restricted Stock Deferral Program adopted by our Board under our 2019 Director Stock Plan. By electing to receive a deferred restricted stock unit award, a director can defer receipt of all or a portion of any award. Each non-employee director who receives a deferred restricted stock unit award in lieu of an award receives a credit of shares of our common stock in an amount equal to the number of shares or units they would have received pursuant to the award. The account is also credited, as of the crediting date, with an amount equal to the dividend paid on one share of our common stock multiplied by the number of shares or units credited to each account. Non-employee directors receiving a deferred restricted stock unit award may elect to receive the amounts credited to their account at a fixed date, at age 70, or following death or retirement from our Board of Directors. The deferred restricted stock unit awards and related accumulated dividends are paid out in the form of shares of our common stock (plus cash in lieu of fractional shares) either in a lump sum or in installments, at the participating director’s election. This is an unfunded book-entry plan and no trust or other vehicle has been established to hold any shares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Deferral of Cash Retainers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our prior Deferred Compensation Plan for Non-Employee Directors, which was in effect through December 31, 2021, participants could elect to defer all or a portion of their annual cash retainer into deferred stock accounts. There was no Company match on amounts deferred by our non-employee directors under such plan. Each participating director received a credit of shares of our common stock in an amount equal to the amount of annual cash retainer deferred divided by the fair market value of one share of our common stock as of the crediting date. These accounts also were credited, as of the crediting date, with an amount equal to the dividend paid on one share of our common stock multiplied by the number of shares credited to each account. Participating directors may elect to receive the amounts credited to their accounts at a fixed date, at age 70, or following death or retirement from our Board of Directors. The deferred amounts are paid out in the form of shares of our common stock (plus cash in lieu of fractional shares) either in a lump sum or in installments, at the participating director’s election. This plan is an unfunded, book-entry, “phantom stock unit” plan, as no trust or other vehicle has been established to hold any shares of our common stock.</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as of January 1, 2022, non-employee directors could elect to defer all or a portion of their annual cash retainer into the 2021 Deferred Compensation Plan for Non-Employee Directors. Under this plan, we credit a participant’s plan account with earnings based on the participant’s investment allocation among a menu of hypothetical investment fund options. An Apogee common stock fund is not one of the investment options available under this plan. Participants may elect to receive the amounts credited to their accounts at a fixed date or following retirement from our Board of Directors. Like the prior plan, all amounts paid under this plan are paid from our general assets and are subject to the claims of our creditors. The material terms of this plan are otherwise comparable to those of the prior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Charitable Matching Contributions Program for Non-Employee Directors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our Charitable Matching Contributions Program for Non-Employee Directors, we match cash or publicly-traded stock contributions made by our non-employee directors to approved charitable organizations that are exempt from federal income tax up to a maximum aggregate amount of $2,000 per eligible non-employee director per calendar year.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7"/>
        </w:trPr>
        <w:tc>
          <w:tcPr>
            <w:tcW w:w="4980" w:type="dxa"/>
            <w:vAlign w:val="bottom"/>
            <w:gridSpan w:val="4"/>
          </w:tcPr>
          <w:p>
            <w:pPr>
              <w:spacing w:after="0"/>
              <w:rPr>
                <w:sz w:val="20"/>
                <w:szCs w:val="20"/>
                <w:color w:val="auto"/>
              </w:rPr>
            </w:pPr>
            <w:r>
              <w:rPr>
                <w:rFonts w:ascii="Arial" w:cs="Arial" w:eastAsia="Arial" w:hAnsi="Arial"/>
                <w:sz w:val="18"/>
                <w:szCs w:val="18"/>
                <w:b w:val="1"/>
                <w:bCs w:val="1"/>
                <w:color w:val="05445E"/>
              </w:rPr>
              <w:t>Fiscal 2025 Non-Employee Director Compensation Table</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424"/>
        </w:trPr>
        <w:tc>
          <w:tcPr>
            <w:tcW w:w="9320" w:type="dxa"/>
            <w:vAlign w:val="bottom"/>
            <w:gridSpan w:val="8"/>
          </w:tcPr>
          <w:p>
            <w:pPr>
              <w:spacing w:after="0"/>
              <w:rPr>
                <w:sz w:val="20"/>
                <w:szCs w:val="20"/>
                <w:color w:val="auto"/>
              </w:rPr>
            </w:pPr>
            <w:r>
              <w:rPr>
                <w:rFonts w:ascii="Arial" w:cs="Arial" w:eastAsia="Arial" w:hAnsi="Arial"/>
                <w:sz w:val="18"/>
                <w:szCs w:val="18"/>
                <w:color w:val="auto"/>
              </w:rPr>
              <w:t>The following table shows the compensation paid to our non-employee directors for fiscal 2025.</w:t>
            </w:r>
          </w:p>
        </w:tc>
        <w:tc>
          <w:tcPr>
            <w:tcW w:w="1920" w:type="dxa"/>
            <w:vAlign w:val="bottom"/>
          </w:tcPr>
          <w:p>
            <w:pPr>
              <w:spacing w:after="0"/>
              <w:rPr>
                <w:sz w:val="24"/>
                <w:szCs w:val="24"/>
                <w:color w:val="auto"/>
              </w:rPr>
            </w:pPr>
          </w:p>
        </w:tc>
      </w:tr>
      <w:tr>
        <w:trPr>
          <w:trHeight w:val="463"/>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Fees Earned or</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rPr>
              <w:t>Stock</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All Other</w:t>
            </w:r>
          </w:p>
        </w:tc>
        <w:tc>
          <w:tcPr>
            <w:tcW w:w="1920" w:type="dxa"/>
            <w:vAlign w:val="bottom"/>
          </w:tcPr>
          <w:p>
            <w:pPr>
              <w:spacing w:after="0"/>
              <w:rPr>
                <w:sz w:val="24"/>
                <w:szCs w:val="24"/>
                <w:color w:val="auto"/>
              </w:rPr>
            </w:pPr>
          </w:p>
        </w:tc>
      </w:tr>
      <w:tr>
        <w:trPr>
          <w:trHeight w:val="212"/>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Paid in Cash</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rPr>
              <w:t>Awards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Compensation</w:t>
            </w:r>
          </w:p>
        </w:tc>
        <w:tc>
          <w:tcPr>
            <w:tcW w:w="1920" w:type="dxa"/>
            <w:vAlign w:val="bottom"/>
          </w:tcPr>
          <w:p>
            <w:pPr>
              <w:ind w:left="760"/>
              <w:spacing w:after="0"/>
              <w:rPr>
                <w:sz w:val="20"/>
                <w:szCs w:val="20"/>
                <w:color w:val="auto"/>
              </w:rPr>
            </w:pPr>
            <w:r>
              <w:rPr>
                <w:rFonts w:ascii="Arial" w:cs="Arial" w:eastAsia="Arial" w:hAnsi="Arial"/>
                <w:sz w:val="18"/>
                <w:szCs w:val="18"/>
                <w:b w:val="1"/>
                <w:bCs w:val="1"/>
                <w:color w:val="05445E"/>
              </w:rPr>
              <w:t>Total</w:t>
            </w:r>
          </w:p>
        </w:tc>
      </w:tr>
      <w:tr>
        <w:trPr>
          <w:trHeight w:val="266"/>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5445E"/>
              </w:rPr>
              <w:t>Name</w:t>
            </w:r>
          </w:p>
        </w:tc>
        <w:tc>
          <w:tcPr>
            <w:tcW w:w="100" w:type="dxa"/>
            <w:vAlign w:val="bottom"/>
            <w:tcBorders>
              <w:bottom w:val="single" w:sz="8" w:color="DBDBDB"/>
            </w:tcBorders>
          </w:tcPr>
          <w:p>
            <w:pPr>
              <w:spacing w:after="0"/>
              <w:rPr>
                <w:sz w:val="23"/>
                <w:szCs w:val="23"/>
                <w:color w:val="auto"/>
              </w:rPr>
            </w:pPr>
          </w:p>
        </w:tc>
        <w:tc>
          <w:tcPr>
            <w:tcW w:w="200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30"/>
                <w:szCs w:val="30"/>
                <w:b w:val="1"/>
                <w:bCs w:val="1"/>
                <w:color w:val="05445E"/>
                <w:w w:val="94"/>
                <w:vertAlign w:val="subscript"/>
              </w:rPr>
              <w:t>($)</w:t>
            </w:r>
            <w:r>
              <w:rPr>
                <w:rFonts w:ascii="Arial" w:cs="Arial" w:eastAsia="Arial" w:hAnsi="Arial"/>
                <w:sz w:val="11"/>
                <w:szCs w:val="11"/>
                <w:b w:val="1"/>
                <w:bCs w:val="1"/>
                <w:color w:val="05445E"/>
                <w:w w:val="94"/>
              </w:rPr>
              <w:t>(1)</w:t>
            </w:r>
          </w:p>
        </w:tc>
        <w:tc>
          <w:tcPr>
            <w:tcW w:w="100" w:type="dxa"/>
            <w:vAlign w:val="bottom"/>
            <w:tcBorders>
              <w:bottom w:val="single" w:sz="8" w:color="DBDBDB"/>
            </w:tcBorders>
          </w:tcPr>
          <w:p>
            <w:pPr>
              <w:spacing w:after="0"/>
              <w:rPr>
                <w:sz w:val="23"/>
                <w:szCs w:val="23"/>
                <w:color w:val="auto"/>
              </w:rPr>
            </w:pPr>
          </w:p>
        </w:tc>
        <w:tc>
          <w:tcPr>
            <w:tcW w:w="190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30"/>
                <w:szCs w:val="30"/>
                <w:b w:val="1"/>
                <w:bCs w:val="1"/>
                <w:color w:val="05445E"/>
                <w:w w:val="94"/>
                <w:vertAlign w:val="subscript"/>
              </w:rPr>
              <w:t>($)</w:t>
            </w:r>
            <w:r>
              <w:rPr>
                <w:rFonts w:ascii="Arial" w:cs="Arial" w:eastAsia="Arial" w:hAnsi="Arial"/>
                <w:sz w:val="11"/>
                <w:szCs w:val="11"/>
                <w:b w:val="1"/>
                <w:bCs w:val="1"/>
                <w:color w:val="05445E"/>
                <w:w w:val="94"/>
              </w:rPr>
              <w:t>(2)</w:t>
            </w:r>
          </w:p>
        </w:tc>
        <w:tc>
          <w:tcPr>
            <w:tcW w:w="100" w:type="dxa"/>
            <w:vAlign w:val="bottom"/>
            <w:tcBorders>
              <w:bottom w:val="single" w:sz="8" w:color="DBDBDB"/>
            </w:tcBorders>
          </w:tcPr>
          <w:p>
            <w:pPr>
              <w:spacing w:after="0"/>
              <w:rPr>
                <w:sz w:val="23"/>
                <w:szCs w:val="23"/>
                <w:color w:val="auto"/>
              </w:rPr>
            </w:pPr>
          </w:p>
        </w:tc>
        <w:tc>
          <w:tcPr>
            <w:tcW w:w="224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30"/>
                <w:szCs w:val="30"/>
                <w:b w:val="1"/>
                <w:bCs w:val="1"/>
                <w:color w:val="05445E"/>
                <w:w w:val="94"/>
                <w:vertAlign w:val="subscript"/>
              </w:rPr>
              <w:t>($)</w:t>
            </w:r>
            <w:r>
              <w:rPr>
                <w:rFonts w:ascii="Arial" w:cs="Arial" w:eastAsia="Arial" w:hAnsi="Arial"/>
                <w:sz w:val="11"/>
                <w:szCs w:val="11"/>
                <w:b w:val="1"/>
                <w:bCs w:val="1"/>
                <w:color w:val="05445E"/>
                <w:w w:val="94"/>
              </w:rPr>
              <w:t>(3)</w:t>
            </w:r>
          </w:p>
        </w:tc>
        <w:tc>
          <w:tcPr>
            <w:tcW w:w="100" w:type="dxa"/>
            <w:vAlign w:val="bottom"/>
            <w:tcBorders>
              <w:bottom w:val="single" w:sz="8" w:color="DBDBDB"/>
            </w:tcBorders>
          </w:tcPr>
          <w:p>
            <w:pPr>
              <w:spacing w:after="0"/>
              <w:rPr>
                <w:sz w:val="23"/>
                <w:szCs w:val="23"/>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r>
      <w:tr>
        <w:trPr>
          <w:trHeight w:val="243"/>
        </w:trPr>
        <w:tc>
          <w:tcPr>
            <w:tcW w:w="28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Christina M. Alvord</w:t>
            </w:r>
          </w:p>
        </w:tc>
        <w:tc>
          <w:tcPr>
            <w:tcW w:w="20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8"/>
              </w:rPr>
              <w:t>100,000</w:t>
            </w:r>
          </w:p>
        </w:tc>
        <w:tc>
          <w:tcPr>
            <w:tcW w:w="100" w:type="dxa"/>
            <w:vAlign w:val="bottom"/>
            <w:tcBorders>
              <w:bottom w:val="single" w:sz="8" w:color="DBDBDB"/>
            </w:tcBorders>
            <w:shd w:val="clear" w:color="auto" w:fill="DBDBDB"/>
          </w:tcPr>
          <w:p>
            <w:pPr>
              <w:spacing w:after="0"/>
              <w:rPr>
                <w:sz w:val="21"/>
                <w:szCs w:val="21"/>
                <w:color w:val="auto"/>
              </w:rPr>
            </w:pPr>
          </w:p>
        </w:tc>
        <w:tc>
          <w:tcPr>
            <w:tcW w:w="19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8"/>
              </w:rPr>
              <w:t>114,981</w:t>
            </w:r>
          </w:p>
        </w:tc>
        <w:tc>
          <w:tcPr>
            <w:tcW w:w="100" w:type="dxa"/>
            <w:vAlign w:val="bottom"/>
            <w:tcBorders>
              <w:bottom w:val="single" w:sz="8" w:color="DBDBDB"/>
            </w:tcBorders>
            <w:shd w:val="clear" w:color="auto" w:fill="DBDBDB"/>
          </w:tcPr>
          <w:p>
            <w:pPr>
              <w:spacing w:after="0"/>
              <w:rPr>
                <w:sz w:val="21"/>
                <w:szCs w:val="21"/>
                <w:color w:val="auto"/>
              </w:rPr>
            </w:pPr>
          </w:p>
        </w:tc>
        <w:tc>
          <w:tcPr>
            <w:tcW w:w="2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4"/>
              </w:rPr>
              <w:t>11,327</w:t>
            </w:r>
          </w:p>
        </w:tc>
        <w:tc>
          <w:tcPr>
            <w:tcW w:w="10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8"/>
              </w:rPr>
              <w:t>226,308</w:t>
            </w:r>
          </w:p>
        </w:tc>
      </w:tr>
      <w:tr>
        <w:trPr>
          <w:trHeight w:val="27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Frank G. Heard</w:t>
            </w:r>
            <w:r>
              <w:rPr>
                <w:rFonts w:ascii="Arial" w:cs="Arial" w:eastAsia="Arial" w:hAnsi="Arial"/>
                <w:sz w:val="23"/>
                <w:szCs w:val="23"/>
                <w:color w:val="auto"/>
                <w:vertAlign w:val="superscript"/>
              </w:rPr>
              <w:t>(4)</w:t>
            </w: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100,000</w:t>
            </w:r>
          </w:p>
        </w:tc>
        <w:tc>
          <w:tcPr>
            <w:tcW w:w="10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8"/>
              </w:rPr>
              <w:t>114,981</w:t>
            </w:r>
          </w:p>
        </w:tc>
        <w:tc>
          <w:tcPr>
            <w:tcW w:w="100" w:type="dxa"/>
            <w:vAlign w:val="bottom"/>
          </w:tcPr>
          <w:p>
            <w:pPr>
              <w:spacing w:after="0"/>
              <w:rPr>
                <w:sz w:val="23"/>
                <w:szCs w:val="23"/>
                <w:color w:val="auto"/>
              </w:rPr>
            </w:pPr>
          </w:p>
        </w:tc>
        <w:tc>
          <w:tcPr>
            <w:tcW w:w="23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214,981</w:t>
            </w:r>
          </w:p>
        </w:tc>
      </w:tr>
      <w:tr>
        <w:trPr>
          <w:trHeight w:val="250"/>
        </w:trPr>
        <w:tc>
          <w:tcPr>
            <w:tcW w:w="28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Lloyd E. Johnson</w:t>
            </w:r>
          </w:p>
        </w:tc>
        <w:tc>
          <w:tcPr>
            <w:tcW w:w="20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8"/>
              </w:rPr>
              <w:t>105,000</w:t>
            </w:r>
          </w:p>
        </w:tc>
        <w:tc>
          <w:tcPr>
            <w:tcW w:w="100" w:type="dxa"/>
            <w:vAlign w:val="bottom"/>
            <w:tcBorders>
              <w:bottom w:val="single" w:sz="8" w:color="DBDBDB"/>
            </w:tcBorders>
            <w:shd w:val="clear" w:color="auto" w:fill="DBDBDB"/>
          </w:tcPr>
          <w:p>
            <w:pPr>
              <w:spacing w:after="0"/>
              <w:rPr>
                <w:sz w:val="21"/>
                <w:szCs w:val="21"/>
                <w:color w:val="auto"/>
              </w:rPr>
            </w:pPr>
          </w:p>
        </w:tc>
        <w:tc>
          <w:tcPr>
            <w:tcW w:w="19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8"/>
              </w:rPr>
              <w:t>114,981</w:t>
            </w:r>
          </w:p>
        </w:tc>
        <w:tc>
          <w:tcPr>
            <w:tcW w:w="100" w:type="dxa"/>
            <w:vAlign w:val="bottom"/>
            <w:tcBorders>
              <w:bottom w:val="single" w:sz="8" w:color="DBDBDB"/>
            </w:tcBorders>
            <w:shd w:val="clear" w:color="auto" w:fill="DBDBDB"/>
          </w:tcPr>
          <w:p>
            <w:pPr>
              <w:spacing w:after="0"/>
              <w:rPr>
                <w:sz w:val="21"/>
                <w:szCs w:val="21"/>
                <w:color w:val="auto"/>
              </w:rPr>
            </w:pPr>
          </w:p>
        </w:tc>
        <w:tc>
          <w:tcPr>
            <w:tcW w:w="2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22,242</w:t>
            </w:r>
          </w:p>
        </w:tc>
        <w:tc>
          <w:tcPr>
            <w:tcW w:w="10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8"/>
              </w:rPr>
              <w:t>242,223</w:t>
            </w:r>
          </w:p>
        </w:tc>
      </w:tr>
      <w:tr>
        <w:trPr>
          <w:trHeight w:val="247"/>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Elizabeth M. Lilly</w:t>
            </w: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100,000</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8"/>
              </w:rPr>
              <w:t>114,981</w:t>
            </w: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7,745</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222,726</w:t>
            </w:r>
          </w:p>
        </w:tc>
      </w:tr>
      <w:tr>
        <w:trPr>
          <w:trHeight w:val="2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8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Donald A. Nolan</w:t>
            </w:r>
          </w:p>
        </w:tc>
        <w:tc>
          <w:tcPr>
            <w:tcW w:w="20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8"/>
              </w:rPr>
              <w:t>135,000</w:t>
            </w:r>
          </w:p>
        </w:tc>
        <w:tc>
          <w:tcPr>
            <w:tcW w:w="100" w:type="dxa"/>
            <w:vAlign w:val="bottom"/>
            <w:tcBorders>
              <w:bottom w:val="single" w:sz="8" w:color="DBDBDB"/>
            </w:tcBorders>
            <w:shd w:val="clear" w:color="auto" w:fill="DBDBDB"/>
          </w:tcPr>
          <w:p>
            <w:pPr>
              <w:spacing w:after="0"/>
              <w:rPr>
                <w:sz w:val="21"/>
                <w:szCs w:val="21"/>
                <w:color w:val="auto"/>
              </w:rPr>
            </w:pPr>
          </w:p>
        </w:tc>
        <w:tc>
          <w:tcPr>
            <w:tcW w:w="19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135,025</w:t>
            </w:r>
          </w:p>
        </w:tc>
        <w:tc>
          <w:tcPr>
            <w:tcW w:w="100" w:type="dxa"/>
            <w:vAlign w:val="bottom"/>
            <w:tcBorders>
              <w:bottom w:val="single" w:sz="8" w:color="DBDBDB"/>
            </w:tcBorders>
            <w:shd w:val="clear" w:color="auto" w:fill="DBDBDB"/>
          </w:tcPr>
          <w:p>
            <w:pPr>
              <w:spacing w:after="0"/>
              <w:rPr>
                <w:sz w:val="21"/>
                <w:szCs w:val="21"/>
                <w:color w:val="auto"/>
              </w:rPr>
            </w:pPr>
          </w:p>
        </w:tc>
        <w:tc>
          <w:tcPr>
            <w:tcW w:w="2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40,605</w:t>
            </w:r>
          </w:p>
        </w:tc>
        <w:tc>
          <w:tcPr>
            <w:tcW w:w="10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8"/>
              </w:rPr>
              <w:t>310,630</w:t>
            </w:r>
          </w:p>
        </w:tc>
      </w:tr>
      <w:tr>
        <w:trPr>
          <w:trHeight w:val="247"/>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Herbert K. Parker</w:t>
            </w: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110,000</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8"/>
              </w:rPr>
              <w:t>114,981</w:t>
            </w: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5,030</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230,011</w:t>
            </w:r>
          </w:p>
        </w:tc>
      </w:tr>
      <w:tr>
        <w:trPr>
          <w:trHeight w:val="2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8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Mark A. Pompa</w:t>
            </w:r>
          </w:p>
        </w:tc>
        <w:tc>
          <w:tcPr>
            <w:tcW w:w="20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8"/>
              </w:rPr>
              <w:t>110,000</w:t>
            </w:r>
          </w:p>
        </w:tc>
        <w:tc>
          <w:tcPr>
            <w:tcW w:w="100" w:type="dxa"/>
            <w:vAlign w:val="bottom"/>
            <w:tcBorders>
              <w:bottom w:val="single" w:sz="8" w:color="DBDBDB"/>
            </w:tcBorders>
            <w:shd w:val="clear" w:color="auto" w:fill="DBDBDB"/>
          </w:tcPr>
          <w:p>
            <w:pPr>
              <w:spacing w:after="0"/>
              <w:rPr>
                <w:sz w:val="21"/>
                <w:szCs w:val="21"/>
                <w:color w:val="auto"/>
              </w:rPr>
            </w:pPr>
          </w:p>
        </w:tc>
        <w:tc>
          <w:tcPr>
            <w:tcW w:w="19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8"/>
              </w:rPr>
              <w:t>114,981</w:t>
            </w:r>
          </w:p>
        </w:tc>
        <w:tc>
          <w:tcPr>
            <w:tcW w:w="100" w:type="dxa"/>
            <w:vAlign w:val="bottom"/>
            <w:tcBorders>
              <w:bottom w:val="single" w:sz="8" w:color="DBDBDB"/>
            </w:tcBorders>
            <w:shd w:val="clear" w:color="auto" w:fill="DBDBDB"/>
          </w:tcPr>
          <w:p>
            <w:pPr>
              <w:spacing w:after="0"/>
              <w:rPr>
                <w:sz w:val="21"/>
                <w:szCs w:val="21"/>
                <w:color w:val="auto"/>
              </w:rPr>
            </w:pPr>
          </w:p>
        </w:tc>
        <w:tc>
          <w:tcPr>
            <w:tcW w:w="2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30,537</w:t>
            </w:r>
          </w:p>
        </w:tc>
        <w:tc>
          <w:tcPr>
            <w:tcW w:w="10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8"/>
              </w:rPr>
              <w:t>255,518</w:t>
            </w:r>
          </w:p>
        </w:tc>
      </w:tr>
      <w:tr>
        <w:trPr>
          <w:trHeight w:val="247"/>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Patricia K. Wagner</w:t>
            </w: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110,000</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8"/>
              </w:rPr>
              <w:t>114,981</w:t>
            </w: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5,030</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8"/>
              </w:rPr>
              <w:t>230,011</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97" w:lineRule="exact"/>
        <w:rPr>
          <w:sz w:val="20"/>
          <w:szCs w:val="20"/>
          <w:color w:val="auto"/>
        </w:rPr>
      </w:pPr>
    </w:p>
    <w:p>
      <w:pPr>
        <w:jc w:val="both"/>
        <w:ind w:left="500" w:hanging="492"/>
        <w:spacing w:after="0" w:line="268" w:lineRule="auto"/>
        <w:tabs>
          <w:tab w:leader="none" w:pos="4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cash retainers, including any retainers deferred by non-employee directors under our 2021 Deferred Compensation Plan for Non-Employee Directors. During fiscal 2025, Messrs. Nolan and Pompa were our only non-employee directors to defer all or a portion of their annual cash retainer pursuant to our 2021 Deferred Compensation Plan for Non-Employee Directors.</w:t>
      </w:r>
    </w:p>
    <w:p>
      <w:pPr>
        <w:spacing w:after="0" w:line="62" w:lineRule="exact"/>
        <w:rPr>
          <w:rFonts w:ascii="Arial" w:cs="Arial" w:eastAsia="Arial" w:hAnsi="Arial"/>
          <w:sz w:val="18"/>
          <w:szCs w:val="18"/>
          <w:color w:val="auto"/>
        </w:rPr>
      </w:pPr>
    </w:p>
    <w:p>
      <w:pPr>
        <w:jc w:val="both"/>
        <w:ind w:left="500" w:hanging="492"/>
        <w:spacing w:after="0" w:line="255" w:lineRule="auto"/>
        <w:tabs>
          <w:tab w:leader="none" w:pos="4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in this column are calculated based on the fair market value of our common stock on the date the award was made in accordance with Financial Accounting Standards Board Accounting Standards Codification Topic 718 (“FASB ASC Topic 718”). On June 20, 2024, Mr. Nolan and each of our non-employee directors received a restricted stock award or restricted stock unit award or, if a director elected to defer receipt of all or a portion of their restricted stock award, a deferred restricted stock unit award, of 2,223 shares in the case of Mr. Nolan, and 1,893 shares to all other non-employee directors. The closing price of our common stock on the Nasdaq Global Select Market on June 20, 2024, the date of grant, was $60.74. The table below sets forth certain information with respect to the aggregate number of shares of unvested restricted stock, deferred restricted stock units, restricted stock units, and deferred phantom stock units including shares from dividends credited to the account, held by our non-employee directors as of March 1, 2025, the last day of fiscal 2025.</w:t>
      </w:r>
    </w:p>
    <w:p>
      <w:pPr>
        <w:spacing w:after="0" w:line="23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05445E"/>
                <w:w w:val="99"/>
              </w:rPr>
              <w:t>Aggregate Number</w:t>
            </w:r>
          </w:p>
        </w:tc>
      </w:tr>
      <w:tr>
        <w:trPr>
          <w:trHeight w:val="216"/>
        </w:trPr>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8"/>
              </w:rPr>
              <w:t>Aggregate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05445E"/>
                <w:w w:val="99"/>
              </w:rPr>
              <w:t>Aggregate Number of</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05445E"/>
                <w:w w:val="99"/>
              </w:rPr>
              <w:t>Aggregate Number</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05445E"/>
              </w:rPr>
              <w:t>of</w:t>
            </w:r>
          </w:p>
        </w:tc>
      </w:tr>
      <w:tr>
        <w:trPr>
          <w:trHeight w:val="216"/>
        </w:trPr>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rPr>
              <w:t>Number of Shares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Deferred</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3"/>
              </w:rPr>
              <w:t>of</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05445E"/>
                <w:w w:val="99"/>
              </w:rPr>
              <w:t>Deferred</w:t>
            </w:r>
          </w:p>
        </w:tc>
      </w:tr>
      <w:tr>
        <w:trPr>
          <w:trHeight w:val="216"/>
        </w:trPr>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3"/>
              </w:rPr>
              <w:t>of</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Restricted Stock</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05445E"/>
                <w:w w:val="99"/>
              </w:rPr>
              <w:t>Restricted Stock</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05445E"/>
                <w:w w:val="99"/>
              </w:rPr>
              <w:t>Phantom Stock</w:t>
            </w:r>
          </w:p>
        </w:tc>
      </w:tr>
      <w:tr>
        <w:trPr>
          <w:trHeight w:val="216"/>
        </w:trPr>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Restricted Stock</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rPr>
              <w:t>Units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7"/>
              </w:rPr>
              <w:t>Units</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05445E"/>
              </w:rPr>
              <w:t>Units</w:t>
            </w:r>
          </w:p>
        </w:tc>
      </w:tr>
      <w:tr>
        <w:trPr>
          <w:trHeight w:val="255"/>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5445E"/>
              </w:rPr>
              <w:t>Name</w:t>
            </w:r>
          </w:p>
        </w:tc>
        <w:tc>
          <w:tcPr>
            <w:tcW w:w="80" w:type="dxa"/>
            <w:vAlign w:val="bottom"/>
            <w:tcBorders>
              <w:bottom w:val="single" w:sz="8" w:color="DBDBDB"/>
            </w:tcBorders>
          </w:tcPr>
          <w:p>
            <w:pPr>
              <w:spacing w:after="0"/>
              <w:rPr>
                <w:sz w:val="22"/>
                <w:szCs w:val="22"/>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100" w:type="dxa"/>
            <w:vAlign w:val="bottom"/>
            <w:tcBorders>
              <w:bottom w:val="single" w:sz="8" w:color="DBDBDB"/>
            </w:tcBorders>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100" w:type="dxa"/>
            <w:vAlign w:val="bottom"/>
            <w:tcBorders>
              <w:bottom w:val="single" w:sz="8" w:color="DBDBDB"/>
            </w:tcBorders>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100" w:type="dxa"/>
            <w:vAlign w:val="bottom"/>
            <w:tcBorders>
              <w:bottom w:val="single" w:sz="8" w:color="DBDBDB"/>
            </w:tcBorders>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r>
      <w:tr>
        <w:trPr>
          <w:trHeight w:val="250"/>
        </w:trPr>
        <w:tc>
          <w:tcPr>
            <w:tcW w:w="23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Christina M. Alvord</w:t>
            </w:r>
          </w:p>
        </w:tc>
        <w:tc>
          <w:tcPr>
            <w:tcW w:w="2080" w:type="dxa"/>
            <w:vAlign w:val="bottom"/>
            <w:tcBorders>
              <w:bottom w:val="single" w:sz="8" w:color="DBDBDB"/>
            </w:tcBorders>
            <w:gridSpan w:val="2"/>
            <w:shd w:val="clear" w:color="auto" w:fill="DBDBDB"/>
          </w:tcPr>
          <w:p>
            <w:pPr>
              <w:jc w:val="center"/>
              <w:ind w:right="10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DBDBDB"/>
            </w:tcBorders>
            <w:shd w:val="clear" w:color="auto" w:fill="DBDBDB"/>
          </w:tcPr>
          <w:p>
            <w:pPr>
              <w:jc w:val="right"/>
              <w:ind w:right="450"/>
              <w:spacing w:after="0"/>
              <w:rPr>
                <w:sz w:val="20"/>
                <w:szCs w:val="20"/>
                <w:color w:val="auto"/>
              </w:rPr>
            </w:pPr>
            <w:r>
              <w:rPr>
                <w:rFonts w:ascii="Arial" w:cs="Arial" w:eastAsia="Arial" w:hAnsi="Arial"/>
                <w:sz w:val="18"/>
                <w:szCs w:val="18"/>
                <w:color w:val="auto"/>
              </w:rPr>
              <w:t>7,278</w:t>
            </w:r>
          </w:p>
        </w:tc>
        <w:tc>
          <w:tcPr>
            <w:tcW w:w="100" w:type="dxa"/>
            <w:vAlign w:val="bottom"/>
            <w:tcBorders>
              <w:bottom w:val="single" w:sz="8" w:color="DBDBDB"/>
            </w:tcBorders>
            <w:shd w:val="clear" w:color="auto" w:fill="DBDBDB"/>
          </w:tcPr>
          <w:p>
            <w:pPr>
              <w:spacing w:after="0"/>
              <w:rPr>
                <w:sz w:val="21"/>
                <w:szCs w:val="21"/>
                <w:color w:val="auto"/>
              </w:rPr>
            </w:pPr>
          </w:p>
        </w:tc>
        <w:tc>
          <w:tcPr>
            <w:tcW w:w="1940" w:type="dxa"/>
            <w:vAlign w:val="bottom"/>
            <w:tcBorders>
              <w:bottom w:val="single" w:sz="8" w:color="DBDBDB"/>
            </w:tcBorders>
            <w:gridSpan w:val="2"/>
            <w:shd w:val="clear" w:color="auto" w:fill="DBDBDB"/>
          </w:tcPr>
          <w:p>
            <w:pPr>
              <w:ind w:left="66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r>
        <w:trPr>
          <w:trHeight w:val="247"/>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Frank G. Heard</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350"/>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3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Lloyd E. Johnson</w:t>
            </w:r>
          </w:p>
        </w:tc>
        <w:tc>
          <w:tcPr>
            <w:tcW w:w="2080" w:type="dxa"/>
            <w:vAlign w:val="bottom"/>
            <w:tcBorders>
              <w:bottom w:val="single" w:sz="8" w:color="DBDBDB"/>
            </w:tcBorders>
            <w:gridSpan w:val="2"/>
            <w:shd w:val="clear" w:color="auto" w:fill="DBDBDB"/>
          </w:tcPr>
          <w:p>
            <w:pPr>
              <w:jc w:val="center"/>
              <w:ind w:right="10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DBDBDB"/>
            </w:tcBorders>
            <w:shd w:val="clear" w:color="auto" w:fill="DBDBDB"/>
          </w:tcPr>
          <w:p>
            <w:pPr>
              <w:jc w:val="right"/>
              <w:ind w:right="450"/>
              <w:spacing w:after="0"/>
              <w:rPr>
                <w:sz w:val="20"/>
                <w:szCs w:val="20"/>
                <w:color w:val="auto"/>
              </w:rPr>
            </w:pPr>
            <w:r>
              <w:rPr>
                <w:rFonts w:ascii="Arial" w:cs="Arial" w:eastAsia="Arial" w:hAnsi="Arial"/>
                <w:sz w:val="18"/>
                <w:szCs w:val="18"/>
                <w:color w:val="auto"/>
              </w:rPr>
              <w:t>18,531</w:t>
            </w:r>
          </w:p>
        </w:tc>
        <w:tc>
          <w:tcPr>
            <w:tcW w:w="100" w:type="dxa"/>
            <w:vAlign w:val="bottom"/>
            <w:tcBorders>
              <w:bottom w:val="single" w:sz="8" w:color="DBDBDB"/>
            </w:tcBorders>
            <w:shd w:val="clear" w:color="auto" w:fill="DBDBDB"/>
          </w:tcPr>
          <w:p>
            <w:pPr>
              <w:spacing w:after="0"/>
              <w:rPr>
                <w:sz w:val="21"/>
                <w:szCs w:val="21"/>
                <w:color w:val="auto"/>
              </w:rPr>
            </w:pPr>
          </w:p>
        </w:tc>
        <w:tc>
          <w:tcPr>
            <w:tcW w:w="1940" w:type="dxa"/>
            <w:vAlign w:val="bottom"/>
            <w:tcBorders>
              <w:bottom w:val="single" w:sz="8" w:color="DBDBDB"/>
            </w:tcBorders>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r>
        <w:trPr>
          <w:trHeight w:val="247"/>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Elizabeth M. Lilly</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1940" w:type="dxa"/>
            <w:vAlign w:val="bottom"/>
          </w:tcPr>
          <w:p>
            <w:pPr>
              <w:jc w:val="right"/>
              <w:ind w:right="450"/>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21"/>
                <w:szCs w:val="21"/>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3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Donald A. Nolan</w:t>
            </w:r>
          </w:p>
        </w:tc>
        <w:tc>
          <w:tcPr>
            <w:tcW w:w="2080" w:type="dxa"/>
            <w:vAlign w:val="bottom"/>
            <w:tcBorders>
              <w:bottom w:val="single" w:sz="8" w:color="DBDBDB"/>
            </w:tcBorders>
            <w:gridSpan w:val="2"/>
            <w:shd w:val="clear" w:color="auto" w:fill="DBDBDB"/>
          </w:tcPr>
          <w:p>
            <w:pPr>
              <w:jc w:val="center"/>
              <w:ind w:right="10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DBDBDB"/>
            </w:tcBorders>
            <w:shd w:val="clear" w:color="auto" w:fill="DBDBDB"/>
          </w:tcPr>
          <w:p>
            <w:pPr>
              <w:jc w:val="right"/>
              <w:ind w:right="450"/>
              <w:spacing w:after="0"/>
              <w:rPr>
                <w:sz w:val="20"/>
                <w:szCs w:val="20"/>
                <w:color w:val="auto"/>
              </w:rPr>
            </w:pPr>
            <w:r>
              <w:rPr>
                <w:rFonts w:ascii="Arial" w:cs="Arial" w:eastAsia="Arial" w:hAnsi="Arial"/>
                <w:sz w:val="18"/>
                <w:szCs w:val="18"/>
                <w:color w:val="auto"/>
              </w:rPr>
              <w:t>26,232</w:t>
            </w:r>
          </w:p>
        </w:tc>
        <w:tc>
          <w:tcPr>
            <w:tcW w:w="100" w:type="dxa"/>
            <w:vAlign w:val="bottom"/>
            <w:tcBorders>
              <w:bottom w:val="single" w:sz="8" w:color="DBDBDB"/>
            </w:tcBorders>
            <w:shd w:val="clear" w:color="auto" w:fill="DBDBDB"/>
          </w:tcPr>
          <w:p>
            <w:pPr>
              <w:spacing w:after="0"/>
              <w:rPr>
                <w:sz w:val="21"/>
                <w:szCs w:val="21"/>
                <w:color w:val="auto"/>
              </w:rPr>
            </w:pPr>
          </w:p>
        </w:tc>
        <w:tc>
          <w:tcPr>
            <w:tcW w:w="1940" w:type="dxa"/>
            <w:vAlign w:val="bottom"/>
            <w:tcBorders>
              <w:bottom w:val="single" w:sz="8" w:color="DBDBDB"/>
            </w:tcBorders>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DBDBDB"/>
            </w:tcBorders>
            <w:shd w:val="clear" w:color="auto" w:fill="DBDBDB"/>
          </w:tcPr>
          <w:p>
            <w:pPr>
              <w:jc w:val="right"/>
              <w:ind w:right="470"/>
              <w:spacing w:after="0"/>
              <w:rPr>
                <w:sz w:val="20"/>
                <w:szCs w:val="20"/>
                <w:color w:val="auto"/>
              </w:rPr>
            </w:pPr>
            <w:r>
              <w:rPr>
                <w:rFonts w:ascii="Arial" w:cs="Arial" w:eastAsia="Arial" w:hAnsi="Arial"/>
                <w:sz w:val="18"/>
                <w:szCs w:val="18"/>
                <w:color w:val="auto"/>
              </w:rPr>
              <w:t>10,267</w:t>
            </w:r>
          </w:p>
        </w:tc>
      </w:tr>
      <w:tr>
        <w:trPr>
          <w:trHeight w:val="247"/>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Herbert K. Parker</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21"/>
                <w:szCs w:val="21"/>
                <w:color w:val="auto"/>
              </w:rPr>
            </w:pPr>
          </w:p>
        </w:tc>
        <w:tc>
          <w:tcPr>
            <w:tcW w:w="2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3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Mark A. Pompa</w:t>
            </w:r>
          </w:p>
        </w:tc>
        <w:tc>
          <w:tcPr>
            <w:tcW w:w="2080" w:type="dxa"/>
            <w:vAlign w:val="bottom"/>
            <w:tcBorders>
              <w:bottom w:val="single" w:sz="8" w:color="DBDBDB"/>
            </w:tcBorders>
            <w:gridSpan w:val="2"/>
            <w:shd w:val="clear" w:color="auto" w:fill="DBDBDB"/>
          </w:tcPr>
          <w:p>
            <w:pPr>
              <w:jc w:val="center"/>
              <w:ind w:right="10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DBDBDB"/>
            </w:tcBorders>
            <w:shd w:val="clear" w:color="auto" w:fill="DBDBDB"/>
          </w:tcPr>
          <w:p>
            <w:pPr>
              <w:jc w:val="right"/>
              <w:ind w:right="450"/>
              <w:spacing w:after="0"/>
              <w:rPr>
                <w:sz w:val="20"/>
                <w:szCs w:val="20"/>
                <w:color w:val="auto"/>
              </w:rPr>
            </w:pPr>
            <w:r>
              <w:rPr>
                <w:rFonts w:ascii="Arial" w:cs="Arial" w:eastAsia="Arial" w:hAnsi="Arial"/>
                <w:sz w:val="18"/>
                <w:szCs w:val="18"/>
                <w:color w:val="auto"/>
              </w:rPr>
              <w:t>21,113</w:t>
            </w:r>
          </w:p>
        </w:tc>
        <w:tc>
          <w:tcPr>
            <w:tcW w:w="100" w:type="dxa"/>
            <w:vAlign w:val="bottom"/>
            <w:tcBorders>
              <w:bottom w:val="single" w:sz="8" w:color="DBDBDB"/>
            </w:tcBorders>
            <w:shd w:val="clear" w:color="auto" w:fill="DBDBDB"/>
          </w:tcPr>
          <w:p>
            <w:pPr>
              <w:spacing w:after="0"/>
              <w:rPr>
                <w:sz w:val="21"/>
                <w:szCs w:val="21"/>
                <w:color w:val="auto"/>
              </w:rPr>
            </w:pPr>
          </w:p>
        </w:tc>
        <w:tc>
          <w:tcPr>
            <w:tcW w:w="1940" w:type="dxa"/>
            <w:vAlign w:val="bottom"/>
            <w:tcBorders>
              <w:bottom w:val="single" w:sz="8" w:color="DBDBDB"/>
            </w:tcBorders>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DBDBDB"/>
            </w:tcBorders>
            <w:shd w:val="clear" w:color="auto" w:fill="DBDBDB"/>
          </w:tcPr>
          <w:p>
            <w:pPr>
              <w:jc w:val="right"/>
              <w:ind w:right="470"/>
              <w:spacing w:after="0"/>
              <w:rPr>
                <w:sz w:val="20"/>
                <w:szCs w:val="20"/>
                <w:color w:val="auto"/>
              </w:rPr>
            </w:pPr>
            <w:r>
              <w:rPr>
                <w:rFonts w:ascii="Arial" w:cs="Arial" w:eastAsia="Arial" w:hAnsi="Arial"/>
                <w:sz w:val="18"/>
                <w:szCs w:val="18"/>
                <w:color w:val="auto"/>
              </w:rPr>
              <w:t>9,748</w:t>
            </w:r>
          </w:p>
        </w:tc>
      </w:tr>
      <w:tr>
        <w:trPr>
          <w:trHeight w:val="247"/>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Patricia K. Wagner</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21"/>
                <w:szCs w:val="21"/>
                <w:color w:val="auto"/>
              </w:rPr>
            </w:pPr>
          </w:p>
        </w:tc>
        <w:tc>
          <w:tcPr>
            <w:tcW w:w="20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7" w:lineRule="exact"/>
        <w:rPr>
          <w:sz w:val="20"/>
          <w:szCs w:val="20"/>
          <w:color w:val="auto"/>
        </w:rPr>
      </w:pPr>
    </w:p>
    <w:p>
      <w:pPr>
        <w:jc w:val="both"/>
        <w:ind w:left="500" w:hanging="492"/>
        <w:spacing w:after="0" w:line="259" w:lineRule="auto"/>
        <w:tabs>
          <w:tab w:leader="none" w:pos="4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column includes dividends and dividend equivalents paid or accrued on shares of restricted stock and deferred restricted stock unit awards issued pursuant to our 2009 Director Stock Plan; dividends and dividend equivalents accrued on shares of restricted stock, restricted stock units and deferred restricted stock units, issued pursuant to our 2019 Director Stock Plan; dividend equivalents paid on phantom stock units issued pursuant to our Deferred Compensation Plan for Non-Employee Directors; and matching contributions pursuant to our Charitable Matching Contributions Program for Non-Employee Directors.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4" w:name="page35"/>
    <w:bookmarkEnd w:id="34"/>
    <w:p>
      <w:pPr>
        <w:ind w:left="500"/>
        <w:spacing w:after="0" w:line="287" w:lineRule="auto"/>
        <w:rPr>
          <w:sz w:val="20"/>
          <w:szCs w:val="20"/>
          <w:color w:val="auto"/>
        </w:rPr>
      </w:pPr>
      <w:r>
        <w:rPr>
          <w:rFonts w:ascii="Arial" w:cs="Arial" w:eastAsia="Arial" w:hAnsi="Arial"/>
          <w:sz w:val="18"/>
          <w:szCs w:val="18"/>
          <w:color w:val="auto"/>
        </w:rPr>
        <w:t>The table below sets forth the amounts contributed or paid by the Company for our non-employee directors pursuant to such plans with respect to fiscal 2025.</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rPr>
              <w:t>Matching</w:t>
            </w:r>
          </w:p>
        </w:tc>
        <w:tc>
          <w:tcPr>
            <w:tcW w:w="16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Contributions</w:t>
            </w:r>
          </w:p>
        </w:tc>
        <w:tc>
          <w:tcPr>
            <w:tcW w:w="16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under our</w:t>
            </w:r>
          </w:p>
        </w:tc>
        <w:tc>
          <w:tcPr>
            <w:tcW w:w="16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05445E"/>
                <w:w w:val="99"/>
              </w:rPr>
              <w:t>Dividends</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05445E"/>
                <w:w w:val="99"/>
              </w:rPr>
              <w:t>Dividend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Charitable</w:t>
            </w:r>
          </w:p>
        </w:tc>
        <w:tc>
          <w:tcPr>
            <w:tcW w:w="16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8"/>
              </w:rPr>
              <w:t>Paid or</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05445E"/>
                <w:w w:val="98"/>
              </w:rPr>
              <w:t>Equivalents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rPr>
              <w:t>Matching</w:t>
            </w:r>
          </w:p>
        </w:tc>
        <w:tc>
          <w:tcPr>
            <w:tcW w:w="16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Accrued</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05445E"/>
                <w:w w:val="98"/>
              </w:rPr>
              <w:t>Paid or</w:t>
            </w: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Dividend</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Contributions</w:t>
            </w:r>
          </w:p>
        </w:tc>
        <w:tc>
          <w:tcPr>
            <w:tcW w:w="16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rPr>
              <w:t>on Shares</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05445E"/>
              </w:rPr>
              <w:t>Accrued on</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rPr>
              <w:t>Equivalents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rPr>
              <w:t>Program for</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05445E"/>
                <w:w w:val="97"/>
              </w:rPr>
              <w:t>Total</w:t>
            </w:r>
          </w:p>
        </w:tc>
      </w:tr>
      <w:tr>
        <w:trPr>
          <w:trHeight w:val="216"/>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3"/>
              </w:rPr>
              <w:t>of</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05445E"/>
                <w:w w:val="99"/>
              </w:rPr>
              <w:t>Deferred</w:t>
            </w: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8"/>
              </w:rPr>
              <w:t>Paid on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7"/>
              </w:rPr>
              <w:t>Non-</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05445E"/>
                <w:w w:val="99"/>
              </w:rPr>
              <w:t>All Other</w:t>
            </w:r>
          </w:p>
        </w:tc>
      </w:tr>
      <w:tr>
        <w:trPr>
          <w:trHeight w:val="216"/>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Restricted</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05445E"/>
                <w:w w:val="99"/>
              </w:rPr>
              <w:t>Restricted</w:t>
            </w: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8"/>
              </w:rPr>
              <w:t>Phantom</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8"/>
              </w:rPr>
              <w:t>Employee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05445E"/>
                <w:w w:val="99"/>
              </w:rPr>
              <w:t>Compen-</w:t>
            </w:r>
          </w:p>
        </w:tc>
      </w:tr>
      <w:tr>
        <w:trPr>
          <w:trHeight w:val="216"/>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7"/>
              </w:rPr>
              <w:t>Stock</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05445E"/>
              </w:rPr>
              <w:t>Stock Units</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8"/>
              </w:rPr>
              <w:t>Stock Units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rPr>
              <w:t>Directors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05445E"/>
                <w:w w:val="98"/>
              </w:rPr>
              <w:t>sation</w:t>
            </w:r>
          </w:p>
        </w:tc>
      </w:tr>
      <w:tr>
        <w:trPr>
          <w:trHeight w:val="255"/>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5445E"/>
              </w:rPr>
              <w:t>Name</w:t>
            </w:r>
          </w:p>
        </w:tc>
        <w:tc>
          <w:tcPr>
            <w:tcW w:w="100" w:type="dxa"/>
            <w:vAlign w:val="bottom"/>
            <w:tcBorders>
              <w:bottom w:val="single" w:sz="8" w:color="DBDBDB"/>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100" w:type="dxa"/>
            <w:vAlign w:val="bottom"/>
            <w:tcBorders>
              <w:bottom w:val="single" w:sz="8" w:color="DBDBDB"/>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80" w:type="dxa"/>
            <w:vAlign w:val="bottom"/>
            <w:tcBorders>
              <w:bottom w:val="single" w:sz="8" w:color="DBDBDB"/>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100" w:type="dxa"/>
            <w:vAlign w:val="bottom"/>
            <w:tcBorders>
              <w:bottom w:val="single" w:sz="8" w:color="DBDBDB"/>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100" w:type="dxa"/>
            <w:vAlign w:val="bottom"/>
            <w:tcBorders>
              <w:bottom w:val="single" w:sz="8" w:color="DBDBDB"/>
            </w:tcBorders>
          </w:tcPr>
          <w:p>
            <w:pPr>
              <w:spacing w:after="0"/>
              <w:rPr>
                <w:sz w:val="22"/>
                <w:szCs w:val="22"/>
                <w:color w:val="auto"/>
              </w:rPr>
            </w:pPr>
          </w:p>
        </w:tc>
        <w:tc>
          <w:tcPr>
            <w:tcW w:w="16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05445E"/>
              </w:rPr>
              <w:t>($)</w:t>
            </w:r>
          </w:p>
        </w:tc>
      </w:tr>
      <w:tr>
        <w:trPr>
          <w:trHeight w:val="250"/>
        </w:trPr>
        <w:tc>
          <w:tcPr>
            <w:tcW w:w="20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Christina M. Alvord</w:t>
            </w:r>
          </w:p>
        </w:tc>
        <w:tc>
          <w:tcPr>
            <w:tcW w:w="1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7"/>
              </w:rPr>
              <w:t>2,485</w:t>
            </w:r>
          </w:p>
        </w:tc>
        <w:tc>
          <w:tcPr>
            <w:tcW w:w="10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270"/>
              <w:spacing w:after="0"/>
              <w:rPr>
                <w:sz w:val="20"/>
                <w:szCs w:val="20"/>
                <w:color w:val="auto"/>
              </w:rPr>
            </w:pPr>
            <w:r>
              <w:rPr>
                <w:rFonts w:ascii="Arial" w:cs="Arial" w:eastAsia="Arial" w:hAnsi="Arial"/>
                <w:sz w:val="18"/>
                <w:szCs w:val="18"/>
                <w:color w:val="auto"/>
              </w:rPr>
              <w:t>6,842</w:t>
            </w:r>
          </w:p>
        </w:tc>
        <w:tc>
          <w:tcPr>
            <w:tcW w:w="8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gridSpan w:val="2"/>
            <w:shd w:val="clear" w:color="auto" w:fill="DBDBDB"/>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DBDBDB"/>
            </w:tcBorders>
            <w:shd w:val="clear" w:color="auto" w:fill="DBDBDB"/>
          </w:tcPr>
          <w:p>
            <w:pPr>
              <w:jc w:val="right"/>
              <w:ind w:right="61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ind w:right="250"/>
              <w:spacing w:after="0"/>
              <w:rPr>
                <w:sz w:val="20"/>
                <w:szCs w:val="20"/>
                <w:color w:val="auto"/>
              </w:rPr>
            </w:pPr>
            <w:r>
              <w:rPr>
                <w:rFonts w:ascii="Arial" w:cs="Arial" w:eastAsia="Arial" w:hAnsi="Arial"/>
                <w:sz w:val="18"/>
                <w:szCs w:val="18"/>
                <w:color w:val="auto"/>
              </w:rPr>
              <w:t>11,327</w:t>
            </w:r>
          </w:p>
        </w:tc>
      </w:tr>
      <w:tr>
        <w:trPr>
          <w:trHeight w:val="247"/>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Frank G. Heard</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Lloyd E. Johnson</w:t>
            </w:r>
          </w:p>
        </w:tc>
        <w:tc>
          <w:tcPr>
            <w:tcW w:w="1580" w:type="dxa"/>
            <w:vAlign w:val="bottom"/>
            <w:tcBorders>
              <w:bottom w:val="single" w:sz="8" w:color="DBDBDB"/>
            </w:tcBorders>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DBDBDB"/>
            </w:tcBorders>
            <w:shd w:val="clear" w:color="auto" w:fill="DBDBDB"/>
          </w:tcPr>
          <w:p>
            <w:pPr>
              <w:jc w:val="right"/>
              <w:ind w:right="270"/>
              <w:spacing w:after="0"/>
              <w:rPr>
                <w:sz w:val="20"/>
                <w:szCs w:val="20"/>
                <w:color w:val="auto"/>
              </w:rPr>
            </w:pPr>
            <w:r>
              <w:rPr>
                <w:rFonts w:ascii="Arial" w:cs="Arial" w:eastAsia="Arial" w:hAnsi="Arial"/>
                <w:sz w:val="18"/>
                <w:szCs w:val="18"/>
                <w:color w:val="auto"/>
              </w:rPr>
              <w:t>20,242</w:t>
            </w:r>
          </w:p>
        </w:tc>
        <w:tc>
          <w:tcPr>
            <w:tcW w:w="8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gridSpan w:val="2"/>
            <w:shd w:val="clear" w:color="auto" w:fill="DBDBDB"/>
          </w:tcPr>
          <w:p>
            <w:pPr>
              <w:jc w:val="center"/>
              <w:ind w:right="10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7"/>
              </w:rPr>
              <w:t>2,000</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ind w:right="250"/>
              <w:spacing w:after="0"/>
              <w:rPr>
                <w:sz w:val="20"/>
                <w:szCs w:val="20"/>
                <w:color w:val="auto"/>
              </w:rPr>
            </w:pPr>
            <w:r>
              <w:rPr>
                <w:rFonts w:ascii="Arial" w:cs="Arial" w:eastAsia="Arial" w:hAnsi="Arial"/>
                <w:sz w:val="18"/>
                <w:szCs w:val="18"/>
                <w:color w:val="auto"/>
              </w:rPr>
              <w:t>22,242</w:t>
            </w:r>
          </w:p>
        </w:tc>
      </w:tr>
      <w:tr>
        <w:trPr>
          <w:trHeight w:val="247"/>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Elizabeth M. Lilly</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4,440</w:t>
            </w:r>
          </w:p>
        </w:tc>
        <w:tc>
          <w:tcPr>
            <w:tcW w:w="100" w:type="dxa"/>
            <w:vAlign w:val="bottom"/>
          </w:tcPr>
          <w:p>
            <w:pPr>
              <w:spacing w:after="0"/>
              <w:rPr>
                <w:sz w:val="21"/>
                <w:szCs w:val="21"/>
                <w:color w:val="auto"/>
              </w:rPr>
            </w:pP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3,305</w:t>
            </w:r>
          </w:p>
        </w:tc>
        <w:tc>
          <w:tcPr>
            <w:tcW w:w="8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7,745</w:t>
            </w:r>
          </w:p>
        </w:tc>
      </w:tr>
      <w:tr>
        <w:trPr>
          <w:trHeight w:val="23"/>
        </w:trPr>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Donald A. Nolan</w:t>
            </w:r>
          </w:p>
        </w:tc>
        <w:tc>
          <w:tcPr>
            <w:tcW w:w="14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7"/>
              </w:rPr>
              <w:t>2,485</w:t>
            </w:r>
          </w:p>
        </w:tc>
        <w:tc>
          <w:tcPr>
            <w:tcW w:w="10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270"/>
              <w:spacing w:after="0"/>
              <w:rPr>
                <w:sz w:val="20"/>
                <w:szCs w:val="20"/>
                <w:color w:val="auto"/>
              </w:rPr>
            </w:pPr>
            <w:r>
              <w:rPr>
                <w:rFonts w:ascii="Arial" w:cs="Arial" w:eastAsia="Arial" w:hAnsi="Arial"/>
                <w:sz w:val="18"/>
                <w:szCs w:val="18"/>
                <w:color w:val="auto"/>
              </w:rPr>
              <w:t>25,804</w:t>
            </w:r>
          </w:p>
        </w:tc>
        <w:tc>
          <w:tcPr>
            <w:tcW w:w="8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510"/>
              <w:spacing w:after="0"/>
              <w:rPr>
                <w:sz w:val="20"/>
                <w:szCs w:val="20"/>
                <w:color w:val="auto"/>
              </w:rPr>
            </w:pPr>
            <w:r>
              <w:rPr>
                <w:rFonts w:ascii="Arial" w:cs="Arial" w:eastAsia="Arial" w:hAnsi="Arial"/>
                <w:sz w:val="18"/>
                <w:szCs w:val="18"/>
                <w:color w:val="auto"/>
              </w:rPr>
              <w:t>10,316</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ind w:right="61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ind w:right="250"/>
              <w:spacing w:after="0"/>
              <w:rPr>
                <w:sz w:val="20"/>
                <w:szCs w:val="20"/>
                <w:color w:val="auto"/>
              </w:rPr>
            </w:pPr>
            <w:r>
              <w:rPr>
                <w:rFonts w:ascii="Arial" w:cs="Arial" w:eastAsia="Arial" w:hAnsi="Arial"/>
                <w:sz w:val="18"/>
                <w:szCs w:val="18"/>
                <w:color w:val="auto"/>
              </w:rPr>
              <w:t>40,605</w:t>
            </w:r>
          </w:p>
        </w:tc>
      </w:tr>
      <w:tr>
        <w:trPr>
          <w:trHeight w:val="247"/>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Herbert K. Parker</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5,030</w:t>
            </w: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5,030</w:t>
            </w:r>
          </w:p>
        </w:tc>
      </w:tr>
      <w:tr>
        <w:trPr>
          <w:trHeight w:val="23"/>
        </w:trPr>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Mark A. Pompa</w:t>
            </w:r>
          </w:p>
        </w:tc>
        <w:tc>
          <w:tcPr>
            <w:tcW w:w="1580" w:type="dxa"/>
            <w:vAlign w:val="bottom"/>
            <w:tcBorders>
              <w:bottom w:val="single" w:sz="8" w:color="DBDBDB"/>
            </w:tcBorders>
            <w:gridSpan w:val="2"/>
            <w:shd w:val="clear" w:color="auto" w:fill="DBDBDB"/>
          </w:tcPr>
          <w:p>
            <w:pPr>
              <w:jc w:val="center"/>
              <w:ind w:right="12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DBDBDB"/>
            </w:tcBorders>
            <w:shd w:val="clear" w:color="auto" w:fill="DBDBDB"/>
          </w:tcPr>
          <w:p>
            <w:pPr>
              <w:jc w:val="right"/>
              <w:ind w:right="270"/>
              <w:spacing w:after="0"/>
              <w:rPr>
                <w:sz w:val="20"/>
                <w:szCs w:val="20"/>
                <w:color w:val="auto"/>
              </w:rPr>
            </w:pPr>
            <w:r>
              <w:rPr>
                <w:rFonts w:ascii="Arial" w:cs="Arial" w:eastAsia="Arial" w:hAnsi="Arial"/>
                <w:sz w:val="18"/>
                <w:szCs w:val="18"/>
                <w:color w:val="auto"/>
              </w:rPr>
              <w:t>20,743</w:t>
            </w:r>
          </w:p>
        </w:tc>
        <w:tc>
          <w:tcPr>
            <w:tcW w:w="8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shd w:val="clear" w:color="auto" w:fill="DBDBDB"/>
          </w:tcPr>
          <w:p>
            <w:pPr>
              <w:jc w:val="right"/>
              <w:ind w:right="510"/>
              <w:spacing w:after="0"/>
              <w:rPr>
                <w:sz w:val="20"/>
                <w:szCs w:val="20"/>
                <w:color w:val="auto"/>
              </w:rPr>
            </w:pPr>
            <w:r>
              <w:rPr>
                <w:rFonts w:ascii="Arial" w:cs="Arial" w:eastAsia="Arial" w:hAnsi="Arial"/>
                <w:sz w:val="18"/>
                <w:szCs w:val="18"/>
                <w:color w:val="auto"/>
              </w:rPr>
              <w:t>9,794</w:t>
            </w:r>
          </w:p>
        </w:tc>
        <w:tc>
          <w:tcPr>
            <w:tcW w:w="100" w:type="dxa"/>
            <w:vAlign w:val="bottom"/>
            <w:tcBorders>
              <w:bottom w:val="single" w:sz="8" w:color="DBDBDB"/>
            </w:tcBorders>
            <w:shd w:val="clear" w:color="auto" w:fill="DBDBDB"/>
          </w:tcPr>
          <w:p>
            <w:pPr>
              <w:spacing w:after="0"/>
              <w:rPr>
                <w:sz w:val="21"/>
                <w:szCs w:val="21"/>
                <w:color w:val="auto"/>
              </w:rPr>
            </w:pPr>
          </w:p>
        </w:tc>
        <w:tc>
          <w:tcPr>
            <w:tcW w:w="1700" w:type="dxa"/>
            <w:vAlign w:val="bottom"/>
            <w:tcBorders>
              <w:bottom w:val="single" w:sz="8" w:color="DBDBDB"/>
            </w:tcBorders>
            <w:gridSpan w:val="2"/>
            <w:shd w:val="clear" w:color="auto" w:fill="DBDBDB"/>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DBDBDB"/>
            </w:tcBorders>
            <w:shd w:val="clear" w:color="auto" w:fill="DBDBDB"/>
          </w:tcPr>
          <w:p>
            <w:pPr>
              <w:jc w:val="right"/>
              <w:ind w:right="250"/>
              <w:spacing w:after="0"/>
              <w:rPr>
                <w:sz w:val="20"/>
                <w:szCs w:val="20"/>
                <w:color w:val="auto"/>
              </w:rPr>
            </w:pPr>
            <w:r>
              <w:rPr>
                <w:rFonts w:ascii="Arial" w:cs="Arial" w:eastAsia="Arial" w:hAnsi="Arial"/>
                <w:sz w:val="18"/>
                <w:szCs w:val="18"/>
                <w:color w:val="auto"/>
              </w:rPr>
              <w:t>30,537</w:t>
            </w:r>
          </w:p>
        </w:tc>
      </w:tr>
      <w:tr>
        <w:trPr>
          <w:trHeight w:val="247"/>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Patricia K. Wagner</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5,030</w:t>
            </w: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5,030</w:t>
            </w:r>
          </w:p>
        </w:tc>
      </w:tr>
    </w:tbl>
    <w:p>
      <w:pPr>
        <w:spacing w:after="0" w:line="315" w:lineRule="exact"/>
        <w:rPr>
          <w:sz w:val="20"/>
          <w:szCs w:val="20"/>
          <w:color w:val="auto"/>
        </w:rPr>
      </w:pPr>
    </w:p>
    <w:p>
      <w:pPr>
        <w:ind w:left="500" w:hanging="492"/>
        <w:spacing w:after="0" w:line="287" w:lineRule="auto"/>
        <w:tabs>
          <w:tab w:leader="none" w:pos="4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April 22, 2025, Class III director Frank G. Heard informed the Board that he would retire from the Board and would not stand for re-election at the Annual Meeting.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5"/>
          <w:szCs w:val="25"/>
          <w:b w:val="1"/>
          <w:bCs w:val="1"/>
          <w:color w:val="auto"/>
        </w:rPr>
        <w:t>Executive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Compensation Committee Report</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Compensation Committee has reviewed and discussed the following Compensation Discussion and Analysis section with management and the Committee’s independent compensation consultant. Based on its review and discussions with management, our Compensation Committee recommended to our Board of Directors that the Compensation Discussion and Analysis be included in the Company’s 2025 Proxy Statement and Annual Report on Form 10-K for the fiscal year ended March 1, 2025.</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of Apogee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Patricia K. Wagner, </w:t>
      </w:r>
      <w:r>
        <w:rPr>
          <w:rFonts w:ascii="Arial" w:cs="Arial" w:eastAsia="Arial" w:hAnsi="Arial"/>
          <w:sz w:val="18"/>
          <w:szCs w:val="18"/>
          <w:i w:val="1"/>
          <w:iCs w:val="1"/>
          <w:color w:val="auto"/>
        </w:rPr>
        <w:t>Chair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Lloyd E. Johnson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Elizabeth M. Lilly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Herbert K. Parker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Mark A. Pompa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05445E"/>
        </w:rPr>
        <w:t>Compensation Discussion and Analysis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This Compensation Discussion and Analysis describes Apogee’s executive compensation program for fiscal 2025. In particular, this section explains how our Compensation Committee (the “Committee”) made decisions related to compensation for our Named Executive Officers for fiscal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2025 were:</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 R. Silberhorn, Chief Executive Officer and President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Matthew J. Osberg, Executive Vice President and Chief Financial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Brent C. Jewell, President, Architectural Glass ("Glass") Segment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Troy R. Johnson, President, Architectural Services ("Services") Segment</w:t>
      </w:r>
    </w:p>
    <w:p>
      <w:pPr>
        <w:spacing w:after="0" w:line="22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strike w:val="1"/>
        </w:rPr>
      </w:pPr>
      <w:r>
        <w:rPr>
          <w:rFonts w:ascii="Arial" w:cs="Arial" w:eastAsia="Arial" w:hAnsi="Arial"/>
          <w:sz w:val="18"/>
          <w:szCs w:val="18"/>
          <w:color w:val="auto"/>
        </w:rPr>
        <w:t>Raelyn A. Trende, Executive Vice President and Chief Human Resources Officer</w:t>
      </w:r>
      <w:r>
        <w:rPr>
          <w:rFonts w:ascii="Arial" w:cs="Arial" w:eastAsia="Arial" w:hAnsi="Arial"/>
          <w:sz w:val="23"/>
          <w:szCs w:val="23"/>
          <w:color w:val="auto"/>
          <w:vertAlign w:val="superscript"/>
        </w:rPr>
        <w:t>(1)</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Messrs. Osberg, Jewell, and T. Johnson and Ms. Trende are collectively referred to as our “Other Named Executive Officers” in this Compensation Discussion and Analysis section.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(1)  Ms. Trende joined the Company on July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u w:val="single" w:color="auto"/>
          <w:color w:val="auto"/>
        </w:rPr>
        <w:t>About Apogee</w:t>
      </w:r>
      <w:r>
        <w:rPr>
          <w:rFonts w:ascii="Arial" w:cs="Arial" w:eastAsia="Arial" w:hAnsi="Arial"/>
          <w:sz w:val="18"/>
          <w:szCs w:val="18"/>
          <w:color w:val="auto"/>
        </w:rPr>
        <w:t>. Our Company is a leading provider of architectural building products and services, as well as high-performance coated</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used in a variety of applications. In fiscal 2025, we had net sales of $1.36 billion.</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fourth quarter of fiscal 2025, our Company changed the names of two reporting segments to better reflect their product focus and capabilities. The previously named Architectural Framing Systems Segment is now referred to as the Architectural Metals Segment. The previously named Large-Scale Optical Segment is now referred to as the Performance Surfaces Segment. There were no changes in the products or brands included within each of the reportable segments as part of the change in segment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046595" cy="25717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46595" cy="257175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480"/>
        <w:spacing w:after="0"/>
        <w:rPr>
          <w:sz w:val="20"/>
          <w:szCs w:val="20"/>
          <w:color w:val="auto"/>
        </w:rPr>
      </w:pPr>
      <w:r>
        <w:rPr>
          <w:rFonts w:ascii="Arial" w:cs="Arial" w:eastAsia="Arial" w:hAnsi="Arial"/>
          <w:sz w:val="18"/>
          <w:szCs w:val="18"/>
          <w:b w:val="1"/>
          <w:bCs w:val="1"/>
          <w:color w:val="FFFFFF"/>
        </w:rPr>
        <w:t>ARCHITECTURAL</w:t>
      </w:r>
    </w:p>
    <w:p>
      <w:pPr>
        <w:spacing w:after="0" w:line="27" w:lineRule="exact"/>
        <w:rPr>
          <w:sz w:val="20"/>
          <w:szCs w:val="20"/>
          <w:color w:val="auto"/>
        </w:rPr>
      </w:pPr>
    </w:p>
    <w:p>
      <w:pPr>
        <w:jc w:val="center"/>
        <w:ind w:right="4480"/>
        <w:spacing w:after="0"/>
        <w:rPr>
          <w:sz w:val="20"/>
          <w:szCs w:val="20"/>
          <w:color w:val="auto"/>
        </w:rPr>
      </w:pPr>
      <w:r>
        <w:rPr>
          <w:rFonts w:ascii="Arial" w:cs="Arial" w:eastAsia="Arial" w:hAnsi="Arial"/>
          <w:sz w:val="18"/>
          <w:szCs w:val="18"/>
          <w:b w:val="1"/>
          <w:bCs w:val="1"/>
          <w:color w:val="FFFFFF"/>
        </w:rPr>
        <w:t>METALS</w:t>
      </w:r>
    </w:p>
    <w:p>
      <w:pPr>
        <w:spacing w:after="0" w:line="315" w:lineRule="exact"/>
        <w:rPr>
          <w:sz w:val="20"/>
          <w:szCs w:val="20"/>
          <w:color w:val="auto"/>
        </w:rPr>
      </w:pPr>
    </w:p>
    <w:p>
      <w:pPr>
        <w:jc w:val="center"/>
        <w:ind w:left="80" w:right="4560"/>
        <w:spacing w:after="0" w:line="265" w:lineRule="auto"/>
        <w:rPr>
          <w:sz w:val="20"/>
          <w:szCs w:val="20"/>
          <w:color w:val="auto"/>
        </w:rPr>
      </w:pPr>
      <w:r>
        <w:rPr>
          <w:rFonts w:ascii="Arial" w:cs="Arial" w:eastAsia="Arial" w:hAnsi="Arial"/>
          <w:sz w:val="18"/>
          <w:szCs w:val="18"/>
          <w:b w:val="1"/>
          <w:bCs w:val="1"/>
          <w:color w:val="FFFFFF"/>
        </w:rPr>
        <w:t>Designs, fabricates and finishes aluminum window, storefront and entrance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1997075" cy="10972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9707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480"/>
        <w:spacing w:after="0"/>
        <w:rPr>
          <w:sz w:val="20"/>
          <w:szCs w:val="20"/>
          <w:color w:val="auto"/>
        </w:rPr>
      </w:pPr>
      <w:r>
        <w:rPr>
          <w:rFonts w:ascii="Arial" w:cs="Arial" w:eastAsia="Arial" w:hAnsi="Arial"/>
          <w:sz w:val="18"/>
          <w:szCs w:val="18"/>
          <w:b w:val="1"/>
          <w:bCs w:val="1"/>
          <w:color w:val="auto"/>
        </w:rPr>
        <w:t>PERFORMANCE</w:t>
      </w:r>
    </w:p>
    <w:p>
      <w:pPr>
        <w:spacing w:after="0" w:line="27" w:lineRule="exact"/>
        <w:rPr>
          <w:sz w:val="20"/>
          <w:szCs w:val="20"/>
          <w:color w:val="auto"/>
        </w:rPr>
      </w:pPr>
    </w:p>
    <w:p>
      <w:pPr>
        <w:jc w:val="center"/>
        <w:ind w:right="4480"/>
        <w:spacing w:after="0"/>
        <w:rPr>
          <w:sz w:val="20"/>
          <w:szCs w:val="20"/>
          <w:color w:val="auto"/>
        </w:rPr>
      </w:pPr>
      <w:r>
        <w:rPr>
          <w:rFonts w:ascii="Arial" w:cs="Arial" w:eastAsia="Arial" w:hAnsi="Arial"/>
          <w:sz w:val="18"/>
          <w:szCs w:val="18"/>
          <w:b w:val="1"/>
          <w:bCs w:val="1"/>
          <w:color w:val="auto"/>
        </w:rPr>
        <w:t>SURFACES</w:t>
      </w:r>
    </w:p>
    <w:p>
      <w:pPr>
        <w:spacing w:after="0" w:line="315" w:lineRule="exact"/>
        <w:rPr>
          <w:sz w:val="20"/>
          <w:szCs w:val="20"/>
          <w:color w:val="auto"/>
        </w:rPr>
      </w:pPr>
    </w:p>
    <w:p>
      <w:pPr>
        <w:jc w:val="center"/>
        <w:ind w:right="4480"/>
        <w:spacing w:after="0"/>
        <w:rPr>
          <w:sz w:val="20"/>
          <w:szCs w:val="20"/>
          <w:color w:val="auto"/>
        </w:rPr>
      </w:pPr>
      <w:r>
        <w:rPr>
          <w:rFonts w:ascii="Arial" w:cs="Arial" w:eastAsia="Arial" w:hAnsi="Arial"/>
          <w:sz w:val="18"/>
          <w:szCs w:val="18"/>
          <w:b w:val="1"/>
          <w:bCs w:val="1"/>
          <w:color w:val="auto"/>
        </w:rPr>
        <w:t>Develops and manufactures high</w:t>
      </w:r>
    </w:p>
    <w:p>
      <w:pPr>
        <w:spacing w:after="0" w:line="27" w:lineRule="exact"/>
        <w:rPr>
          <w:sz w:val="20"/>
          <w:szCs w:val="20"/>
          <w:color w:val="auto"/>
        </w:rPr>
      </w:pPr>
    </w:p>
    <w:p>
      <w:pPr>
        <w:jc w:val="center"/>
        <w:ind w:right="4480"/>
        <w:spacing w:after="0"/>
        <w:rPr>
          <w:sz w:val="20"/>
          <w:szCs w:val="20"/>
          <w:color w:val="auto"/>
        </w:rPr>
      </w:pPr>
      <w:r>
        <w:rPr>
          <w:rFonts w:ascii="Arial" w:cs="Arial" w:eastAsia="Arial" w:hAnsi="Arial"/>
          <w:sz w:val="17"/>
          <w:szCs w:val="17"/>
          <w:b w:val="1"/>
          <w:bCs w:val="1"/>
          <w:color w:val="auto"/>
        </w:rPr>
        <w:t>performance coated materials for a</w:t>
      </w:r>
    </w:p>
    <w:p>
      <w:pPr>
        <w:spacing w:after="0" w:line="7" w:lineRule="exact"/>
        <w:rPr>
          <w:sz w:val="20"/>
          <w:szCs w:val="20"/>
          <w:color w:val="auto"/>
        </w:rPr>
      </w:pPr>
    </w:p>
    <w:p>
      <w:pPr>
        <w:ind w:left="4760" w:right="1260" w:hanging="4145"/>
        <w:spacing w:after="0" w:line="250" w:lineRule="auto"/>
        <w:tabs>
          <w:tab w:leader="none" w:pos="4740" w:val="left"/>
        </w:tabs>
        <w:rPr>
          <w:sz w:val="20"/>
          <w:szCs w:val="20"/>
          <w:color w:val="auto"/>
        </w:rPr>
      </w:pPr>
      <w:r>
        <w:rPr>
          <w:rFonts w:ascii="Arial" w:cs="Arial" w:eastAsia="Arial" w:hAnsi="Arial"/>
          <w:sz w:val="18"/>
          <w:szCs w:val="18"/>
          <w:b w:val="1"/>
          <w:bCs w:val="1"/>
          <w:color w:val="auto"/>
        </w:rPr>
        <w:t>variety of applications.</w:t>
      </w:r>
      <w:r>
        <w:rPr>
          <w:sz w:val="20"/>
          <w:szCs w:val="20"/>
          <w:color w:val="auto"/>
        </w:rPr>
        <w:tab/>
      </w:r>
      <w:r>
        <w:rPr>
          <w:rFonts w:ascii="Arial" w:cs="Arial" w:eastAsia="Arial" w:hAnsi="Arial"/>
          <w:sz w:val="18"/>
          <w:szCs w:val="18"/>
          <w:color w:val="383838"/>
        </w:rPr>
        <w:t>Percentage of fiscal 2025 net sales</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383838"/>
        </w:rPr>
        <w:t xml:space="preserve">of </w:t>
      </w:r>
      <w:r>
        <w:rPr>
          <w:rFonts w:ascii="Arial" w:cs="Arial" w:eastAsia="Arial" w:hAnsi="Arial"/>
          <w:sz w:val="18"/>
          <w:szCs w:val="18"/>
          <w:color w:val="000000"/>
        </w:rPr>
        <w:t>$1.36 billion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ARCHITECTURAL</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GLASS</w:t>
      </w:r>
    </w:p>
    <w:p>
      <w:pPr>
        <w:spacing w:after="0" w:line="315" w:lineRule="exact"/>
        <w:rPr>
          <w:sz w:val="20"/>
          <w:szCs w:val="20"/>
          <w:color w:val="auto"/>
        </w:rPr>
      </w:pPr>
    </w:p>
    <w:p>
      <w:pPr>
        <w:ind w:left="420" w:right="980" w:firstLine="67"/>
        <w:spacing w:after="0" w:line="272" w:lineRule="auto"/>
        <w:tabs>
          <w:tab w:leader="none" w:pos="665"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single-source resource for high performance</w:t>
      </w:r>
    </w:p>
    <w:p>
      <w:pPr>
        <w:spacing w:after="0" w:line="1" w:lineRule="exact"/>
        <w:rPr>
          <w:sz w:val="20"/>
          <w:szCs w:val="20"/>
          <w:color w:val="auto"/>
        </w:rPr>
      </w:pPr>
    </w:p>
    <w:p>
      <w:pPr>
        <w:jc w:val="center"/>
        <w:ind w:right="560"/>
        <w:spacing w:after="0" w:line="263" w:lineRule="auto"/>
        <w:rPr>
          <w:sz w:val="20"/>
          <w:szCs w:val="20"/>
          <w:color w:val="auto"/>
        </w:rPr>
      </w:pPr>
      <w:r>
        <w:rPr>
          <w:rFonts w:ascii="Arial" w:cs="Arial" w:eastAsia="Arial" w:hAnsi="Arial"/>
          <w:sz w:val="18"/>
          <w:szCs w:val="18"/>
          <w:b w:val="1"/>
          <w:bCs w:val="1"/>
          <w:color w:val="auto"/>
        </w:rPr>
        <w:t>architectural glass products in non-residential buildings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374015</wp:posOffset>
            </wp:positionV>
            <wp:extent cx="2005965" cy="12344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05965"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ARCHITECTURAL</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SERVICES</w:t>
      </w:r>
    </w:p>
    <w:p>
      <w:pPr>
        <w:spacing w:after="0" w:line="315"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One of the largest U.S.</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full-service building</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glass and curtainwall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installation companies</w:t>
      </w:r>
    </w:p>
    <w:p>
      <w:pPr>
        <w:spacing w:after="0" w:line="294" w:lineRule="exact"/>
        <w:rPr>
          <w:sz w:val="20"/>
          <w:szCs w:val="20"/>
          <w:color w:val="auto"/>
        </w:rPr>
      </w:pPr>
    </w:p>
    <w:p>
      <w:pPr>
        <w:sectPr>
          <w:pgSz w:w="11900" w:h="16838" w:orient="portrait"/>
          <w:cols w:equalWidth="0" w:num="2">
            <w:col w:w="7640" w:space="720"/>
            <w:col w:w="2880"/>
          </w:cols>
          <w:pgMar w:left="320" w:top="1149" w:right="3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w:t>
      </w:r>
      <w:r>
        <w:rPr>
          <w:rFonts w:ascii="Arial" w:cs="Arial" w:eastAsia="Arial" w:hAnsi="Arial"/>
          <w:sz w:val="18"/>
          <w:szCs w:val="18"/>
          <w:color w:val="auto"/>
        </w:rPr>
        <w:t>. Our Company strategy is based on the following three key pillars:</w:t>
      </w:r>
    </w:p>
    <w:p>
      <w:pPr>
        <w:spacing w:after="0" w:line="225" w:lineRule="exact"/>
        <w:rPr>
          <w:sz w:val="20"/>
          <w:szCs w:val="20"/>
          <w:color w:val="auto"/>
        </w:rPr>
      </w:pPr>
    </w:p>
    <w:p>
      <w:pPr>
        <w:jc w:val="both"/>
        <w:ind w:left="660" w:hanging="328"/>
        <w:spacing w:after="0" w:line="262"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Become the economic leader in our target markets</w:t>
      </w:r>
      <w:r>
        <w:rPr>
          <w:rFonts w:ascii="Arial" w:cs="Arial" w:eastAsia="Arial" w:hAnsi="Arial"/>
          <w:sz w:val="18"/>
          <w:szCs w:val="18"/>
          <w:color w:val="auto"/>
        </w:rPr>
        <w:t>. We have developed a deep understanding of our target markets and aligned</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businesses with clear go-to-market strategies to drive value for our customers through differentiated product and service offerings. We are focused on operational execution, driving productivity improvements, and maintaining a competitive cost structure, so that we may bring more value to our customers and improve our own profitability.</w:t>
      </w:r>
    </w:p>
    <w:p>
      <w:pPr>
        <w:spacing w:after="0" w:line="176" w:lineRule="exact"/>
        <w:rPr>
          <w:rFonts w:ascii="Arial" w:cs="Arial" w:eastAsia="Arial" w:hAnsi="Arial"/>
          <w:sz w:val="18"/>
          <w:szCs w:val="18"/>
          <w:color w:val="auto"/>
        </w:rPr>
      </w:pPr>
    </w:p>
    <w:p>
      <w:pPr>
        <w:jc w:val="both"/>
        <w:ind w:left="660" w:hanging="328"/>
        <w:spacing w:after="0" w:line="262"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Actively manage our portfolio to drive higher margins and returns</w:t>
      </w:r>
      <w:r>
        <w:rPr>
          <w:rFonts w:ascii="Arial" w:cs="Arial" w:eastAsia="Arial" w:hAnsi="Arial"/>
          <w:sz w:val="18"/>
          <w:szCs w:val="18"/>
          <w:color w:val="auto"/>
        </w:rPr>
        <w:t>. We are shifting our business mix toward higher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margins offerings and improve our return on invested capital performance. We accomplish this by allocating resources to grow our top performing businesses, actively addressing underperforming businesses, and investing to add new differentiated product and service offerings to accelerate our growth and increase margins.</w:t>
      </w:r>
    </w:p>
    <w:p>
      <w:pPr>
        <w:spacing w:after="0" w:line="176"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Strengthen our core capabilities. </w:t>
      </w:r>
      <w:r>
        <w:rPr>
          <w:rFonts w:ascii="Arial" w:cs="Arial" w:eastAsia="Arial" w:hAnsi="Arial"/>
          <w:sz w:val="18"/>
          <w:szCs w:val="18"/>
          <w:color w:val="auto"/>
        </w:rPr>
        <w:t>We are shifting from our historical, decentralized operating model, to one with center-led</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 expertise that enables us to leverage the scale of the enterprise to better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type w:val="continuous"/>
        </w:sectPr>
      </w:pPr>
    </w:p>
    <w:bookmarkStart w:id="38" w:name="page39"/>
    <w:bookmarkEnd w:id="38"/>
    <w:p>
      <w:pPr>
        <w:jc w:val="both"/>
        <w:ind w:left="660" w:right="20"/>
        <w:spacing w:after="0" w:line="262" w:lineRule="auto"/>
        <w:rPr>
          <w:sz w:val="20"/>
          <w:szCs w:val="20"/>
          <w:color w:val="auto"/>
        </w:rPr>
      </w:pPr>
      <w:r>
        <w:rPr>
          <w:rFonts w:ascii="Arial" w:cs="Arial" w:eastAsia="Arial" w:hAnsi="Arial"/>
          <w:sz w:val="18"/>
          <w:szCs w:val="18"/>
          <w:color w:val="auto"/>
        </w:rPr>
        <w:t>support the needs of the business. We have established a Company-wide operating system with common tools and processes that are based on the foundation of Lean and Continuous Improvement, which we call the Apogee Management System. Our strategy is supported by a robust talent management program and a commitment to strong governance to ensure compliance and drive sustainable performance.</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continually analyze our current portfolio of products, services, and capabilities to identify the best areas for future profitable growth. We also evaluate inorganic investments opportunities where we can deploy capital to acquire businesses that will be accretive to our long-term growth rate and operating margins.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fiscal 2025, we drove further progress toward our strategic goals and these financial targets. We continued the deployment of the Apogee Management System across our business, supporting sustainable cost and productivity improvements. We invested in organic and inorganic growth initiatives, including the acquisition of UW Interco, LLC ("UW Solutions") and capacity expansion in the Performance Surfaces Segment as well as capacity expansion to support geographic growth in the Architectural Services segment. We continue to focus on offering differentiated products and services and diversifying the mix of architectural projects that we serve. We also advanced several initiatives to strengthen our core capabilities, driving the standardization of key business processes and systems, and strengthening talent management and leadership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measures are not calculated in accordance with generally accepted accounting principles ("GAAP"). These non-GAAP financial measures should be viewed in addition to, and not as an alternative to, the reported financial results of the Company in accordance with GAAP. Other companies may calculate these measures differently from us, thereby limiting the usefulness of the measures for comparison with others.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return on invested capital ("Adjusted ROIC") is a non-GAAP financial measure defined as net earnings excluding interest expense, other income, and certain non-GAAP adjustments, all net of tax divided by average invested capital. We believe this measure is useful in understanding operational performance.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diluted earnings per share ("Adjusted Diluted EPS") is a non-GAAP financial measure defined as diluted earnings per share excluding amounts that management does not consider part of core operating results. We believe this measure is useful in understanding operational performance.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EBIT is a non-GAAP financial measure that we define as net earnings excluding interest expense, income tax expense, and certain non-GAAP adjustments. Segment Adjusted EBIT includes operating income related to intersegment sales transactions and other income and expense related to the segment and excludes certain corporate costs that are not allocated at a segment level. We believe these measures are useful in understanding operational profitability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spacing w:after="0" w:line="287" w:lineRule="auto"/>
        <w:rPr>
          <w:sz w:val="20"/>
          <w:szCs w:val="20"/>
          <w:color w:val="auto"/>
        </w:rPr>
      </w:pPr>
      <w:r>
        <w:rPr>
          <w:rFonts w:ascii="Arial" w:cs="Arial" w:eastAsia="Arial" w:hAnsi="Arial"/>
          <w:sz w:val="18"/>
          <w:szCs w:val="18"/>
          <w:b w:val="1"/>
          <w:bCs w:val="1"/>
          <w:u w:val="single" w:color="auto"/>
          <w:color w:val="auto"/>
        </w:rPr>
        <w:t>Our Fiscal 2025 Performance</w:t>
      </w:r>
      <w:r>
        <w:rPr>
          <w:rFonts w:ascii="Arial" w:cs="Arial" w:eastAsia="Arial" w:hAnsi="Arial"/>
          <w:sz w:val="18"/>
          <w:szCs w:val="18"/>
          <w:color w:val="auto"/>
        </w:rPr>
        <w:t>. In fiscal 2025, we continued to execute our strategy focusing on three pillars: working to become the</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leader in our target markets; actively managing our portfolio; and strengthening our core capabilities.</w:t>
      </w: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05445E"/>
        </w:rPr>
        <w:t>Summary of Fiscal 2025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0034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Sales</w:t>
      </w:r>
    </w:p>
    <w:p>
      <w:pPr>
        <w:spacing w:after="0" w:line="27" w:lineRule="exact"/>
        <w:rPr>
          <w:sz w:val="20"/>
          <w:szCs w:val="20"/>
          <w:color w:val="auto"/>
        </w:rPr>
      </w:pPr>
    </w:p>
    <w:p>
      <w:pPr>
        <w:ind w:left="3000"/>
        <w:spacing w:after="0"/>
        <w:tabs>
          <w:tab w:leader="none" w:pos="3300" w:val="left"/>
        </w:tabs>
        <w:rPr>
          <w:sz w:val="20"/>
          <w:szCs w:val="20"/>
          <w:color w:val="auto"/>
        </w:rPr>
      </w:pPr>
      <w:r>
        <w:rPr>
          <w:rFonts w:ascii="Arial" w:cs="Arial" w:eastAsia="Arial" w:hAnsi="Arial"/>
          <w:sz w:val="18"/>
          <w:szCs w:val="18"/>
          <w:color w:val="auto"/>
        </w:rPr>
        <w:t>•</w:t>
        <w:tab/>
        <w:t>Consolidated net sales were $1.36 billion compared to $1.42 billion in fiscal 2024.</w:t>
      </w:r>
    </w:p>
    <w:p>
      <w:pPr>
        <w:spacing w:after="0" w:line="207" w:lineRule="exact"/>
        <w:rPr>
          <w:sz w:val="20"/>
          <w:szCs w:val="20"/>
          <w:color w:val="auto"/>
        </w:rPr>
      </w:pPr>
    </w:p>
    <w:p>
      <w:pPr>
        <w:ind w:left="3320" w:right="220" w:hanging="323"/>
        <w:spacing w:after="0" w:line="287" w:lineRule="auto"/>
        <w:tabs>
          <w:tab w:leader="none" w:pos="3300" w:val="left"/>
        </w:tabs>
        <w:rPr>
          <w:sz w:val="20"/>
          <w:szCs w:val="20"/>
          <w:color w:val="auto"/>
        </w:rPr>
      </w:pPr>
      <w:r>
        <w:rPr>
          <w:rFonts w:ascii="Arial" w:cs="Arial" w:eastAsia="Arial" w:hAnsi="Arial"/>
          <w:sz w:val="18"/>
          <w:szCs w:val="18"/>
          <w:color w:val="auto"/>
        </w:rPr>
        <w:t>•</w:t>
        <w:tab/>
        <w:t>Architectural Services Segment net sales were $419.9 million compared to $378.4 million in fiscal 2024.</w:t>
      </w:r>
    </w:p>
    <w:p>
      <w:pPr>
        <w:spacing w:after="0" w:line="153" w:lineRule="exact"/>
        <w:rPr>
          <w:sz w:val="20"/>
          <w:szCs w:val="20"/>
          <w:color w:val="auto"/>
        </w:rPr>
      </w:pPr>
    </w:p>
    <w:p>
      <w:pPr>
        <w:ind w:left="3320" w:right="220" w:hanging="323"/>
        <w:spacing w:after="0" w:line="287" w:lineRule="auto"/>
        <w:tabs>
          <w:tab w:leader="none" w:pos="3300" w:val="left"/>
        </w:tabs>
        <w:rPr>
          <w:sz w:val="20"/>
          <w:szCs w:val="20"/>
          <w:color w:val="auto"/>
        </w:rPr>
      </w:pPr>
      <w:r>
        <w:rPr>
          <w:rFonts w:ascii="Arial" w:cs="Arial" w:eastAsia="Arial" w:hAnsi="Arial"/>
          <w:sz w:val="18"/>
          <w:szCs w:val="18"/>
          <w:color w:val="auto"/>
        </w:rPr>
        <w:t>•</w:t>
        <w:tab/>
        <w:t>Architectural Glass Segment net sales were $322.2 million compared to $378.4 million in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0034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Earnings</w:t>
      </w:r>
    </w:p>
    <w:p>
      <w:pPr>
        <w:spacing w:after="0" w:line="27" w:lineRule="exact"/>
        <w:rPr>
          <w:sz w:val="20"/>
          <w:szCs w:val="20"/>
          <w:color w:val="auto"/>
        </w:rPr>
      </w:pPr>
    </w:p>
    <w:p>
      <w:pPr>
        <w:ind w:left="3000"/>
        <w:spacing w:after="0"/>
        <w:tabs>
          <w:tab w:leader="none" w:pos="3300" w:val="left"/>
        </w:tabs>
        <w:rPr>
          <w:sz w:val="20"/>
          <w:szCs w:val="20"/>
          <w:color w:val="auto"/>
        </w:rPr>
      </w:pPr>
      <w:r>
        <w:rPr>
          <w:rFonts w:ascii="Arial" w:cs="Arial" w:eastAsia="Arial" w:hAnsi="Arial"/>
          <w:sz w:val="18"/>
          <w:szCs w:val="18"/>
          <w:color w:val="auto"/>
        </w:rPr>
        <w:t>•</w:t>
        <w:tab/>
        <w:t>Diluted earnings per share of $3.89 compared to $4.51 in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034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Income</w:t>
      </w:r>
    </w:p>
    <w:p>
      <w:pPr>
        <w:spacing w:after="0" w:line="27" w:lineRule="exact"/>
        <w:rPr>
          <w:sz w:val="20"/>
          <w:szCs w:val="20"/>
          <w:color w:val="auto"/>
        </w:rPr>
      </w:pPr>
    </w:p>
    <w:p>
      <w:pPr>
        <w:ind w:left="3000"/>
        <w:spacing w:after="0"/>
        <w:tabs>
          <w:tab w:leader="none" w:pos="3300" w:val="left"/>
        </w:tabs>
        <w:rPr>
          <w:sz w:val="20"/>
          <w:szCs w:val="20"/>
          <w:color w:val="auto"/>
        </w:rPr>
      </w:pPr>
      <w:r>
        <w:rPr>
          <w:rFonts w:ascii="Arial" w:cs="Arial" w:eastAsia="Arial" w:hAnsi="Arial"/>
          <w:sz w:val="18"/>
          <w:szCs w:val="18"/>
          <w:color w:val="auto"/>
        </w:rPr>
        <w:t>•</w:t>
        <w:tab/>
        <w:t>Consolidated operating income was $118.1 million compared to $133.8 million in fiscal 2024.</w:t>
      </w:r>
    </w:p>
    <w:p>
      <w:pPr>
        <w:spacing w:after="0" w:line="207" w:lineRule="exact"/>
        <w:rPr>
          <w:sz w:val="20"/>
          <w:szCs w:val="20"/>
          <w:color w:val="auto"/>
        </w:rPr>
      </w:pPr>
    </w:p>
    <w:p>
      <w:pPr>
        <w:ind w:left="3320" w:right="220" w:hanging="323"/>
        <w:spacing w:after="0" w:line="287" w:lineRule="auto"/>
        <w:tabs>
          <w:tab w:leader="none" w:pos="3300" w:val="left"/>
        </w:tabs>
        <w:rPr>
          <w:sz w:val="20"/>
          <w:szCs w:val="20"/>
          <w:color w:val="auto"/>
        </w:rPr>
      </w:pPr>
      <w:r>
        <w:rPr>
          <w:rFonts w:ascii="Arial" w:cs="Arial" w:eastAsia="Arial" w:hAnsi="Arial"/>
          <w:sz w:val="18"/>
          <w:szCs w:val="18"/>
          <w:color w:val="auto"/>
        </w:rPr>
        <w:t>•</w:t>
        <w:tab/>
        <w:t>Architectural Services Segment operating income was $30.0 million compared to $11.8 million in fiscal 2024.</w:t>
      </w:r>
    </w:p>
    <w:p>
      <w:pPr>
        <w:spacing w:after="0" w:line="153" w:lineRule="exact"/>
        <w:rPr>
          <w:sz w:val="20"/>
          <w:szCs w:val="20"/>
          <w:color w:val="auto"/>
        </w:rPr>
      </w:pPr>
    </w:p>
    <w:p>
      <w:pPr>
        <w:ind w:left="3320" w:right="220" w:hanging="323"/>
        <w:spacing w:after="0" w:line="287" w:lineRule="auto"/>
        <w:tabs>
          <w:tab w:leader="none" w:pos="3300" w:val="left"/>
        </w:tabs>
        <w:rPr>
          <w:sz w:val="20"/>
          <w:szCs w:val="20"/>
          <w:color w:val="auto"/>
        </w:rPr>
      </w:pPr>
      <w:r>
        <w:rPr>
          <w:rFonts w:ascii="Arial" w:cs="Arial" w:eastAsia="Arial" w:hAnsi="Arial"/>
          <w:sz w:val="18"/>
          <w:szCs w:val="18"/>
          <w:color w:val="auto"/>
        </w:rPr>
        <w:t>•</w:t>
        <w:tab/>
        <w:t>Architectural Glass Segment operating income was $59.3 million compared to $68.0 million in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0034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Margin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   Operating margin was 8.7% compared to 9.4% in fiscal 2024.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300" w:type="dxa"/>
            <w:vAlign w:val="bottom"/>
          </w:tcPr>
          <w:p>
            <w:pPr>
              <w:ind w:left="20"/>
              <w:spacing w:after="0"/>
              <w:rPr>
                <w:sz w:val="20"/>
                <w:szCs w:val="20"/>
                <w:color w:val="auto"/>
              </w:rPr>
            </w:pPr>
            <w:r>
              <w:rPr>
                <w:rFonts w:ascii="Arial" w:cs="Arial" w:eastAsia="Arial" w:hAnsi="Arial"/>
                <w:sz w:val="18"/>
                <w:szCs w:val="18"/>
                <w:color w:val="auto"/>
              </w:rPr>
              <w:t>Cash Flow</w:t>
            </w:r>
          </w:p>
        </w:tc>
        <w:tc>
          <w:tcPr>
            <w:tcW w:w="8940" w:type="dxa"/>
            <w:vAlign w:val="bottom"/>
            <w:gridSpan w:val="2"/>
            <w:vMerge w:val="restart"/>
          </w:tcPr>
          <w:p>
            <w:pPr>
              <w:ind w:left="700"/>
              <w:spacing w:after="0"/>
              <w:rPr>
                <w:sz w:val="20"/>
                <w:szCs w:val="20"/>
                <w:color w:val="auto"/>
              </w:rPr>
            </w:pPr>
            <w:r>
              <w:rPr>
                <w:rFonts w:ascii="Arial" w:cs="Arial" w:eastAsia="Arial" w:hAnsi="Arial"/>
                <w:sz w:val="18"/>
                <w:szCs w:val="18"/>
                <w:color w:val="auto"/>
              </w:rPr>
              <w:t>•   Net cash provided by operating activities in fiscal 2025 was $125.2 million, compared to $204.2</w:t>
            </w:r>
          </w:p>
        </w:tc>
        <w:tc>
          <w:tcPr>
            <w:tcW w:w="0" w:type="dxa"/>
            <w:vAlign w:val="bottom"/>
          </w:tcPr>
          <w:p>
            <w:pPr>
              <w:spacing w:after="0"/>
              <w:rPr>
                <w:sz w:val="1"/>
                <w:szCs w:val="1"/>
                <w:color w:val="auto"/>
              </w:rPr>
            </w:pPr>
          </w:p>
        </w:tc>
      </w:tr>
      <w:tr>
        <w:trPr>
          <w:trHeight w:val="193"/>
        </w:trPr>
        <w:tc>
          <w:tcPr>
            <w:tcW w:w="2300" w:type="dxa"/>
            <w:vAlign w:val="bottom"/>
          </w:tcPr>
          <w:p>
            <w:pPr>
              <w:spacing w:after="0"/>
              <w:rPr>
                <w:sz w:val="16"/>
                <w:szCs w:val="16"/>
                <w:color w:val="auto"/>
              </w:rPr>
            </w:pPr>
          </w:p>
        </w:tc>
        <w:tc>
          <w:tcPr>
            <w:tcW w:w="8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300" w:type="dxa"/>
            <w:vAlign w:val="bottom"/>
          </w:tcPr>
          <w:p>
            <w:pPr>
              <w:spacing w:after="0"/>
              <w:rPr>
                <w:sz w:val="20"/>
                <w:szCs w:val="20"/>
                <w:color w:val="auto"/>
              </w:rPr>
            </w:pPr>
          </w:p>
        </w:tc>
        <w:tc>
          <w:tcPr>
            <w:tcW w:w="8940" w:type="dxa"/>
            <w:vAlign w:val="bottom"/>
            <w:gridSpan w:val="2"/>
          </w:tcPr>
          <w:p>
            <w:pPr>
              <w:ind w:left="1020"/>
              <w:spacing w:after="0"/>
              <w:rPr>
                <w:sz w:val="20"/>
                <w:szCs w:val="20"/>
                <w:color w:val="auto"/>
              </w:rPr>
            </w:pPr>
            <w:r>
              <w:rPr>
                <w:rFonts w:ascii="Arial" w:cs="Arial" w:eastAsia="Arial" w:hAnsi="Arial"/>
                <w:sz w:val="18"/>
                <w:szCs w:val="18"/>
                <w:color w:val="auto"/>
              </w:rPr>
              <w:t>million in fiscal 2024.</w:t>
            </w:r>
          </w:p>
        </w:tc>
        <w:tc>
          <w:tcPr>
            <w:tcW w:w="0" w:type="dxa"/>
            <w:vAlign w:val="bottom"/>
          </w:tcPr>
          <w:p>
            <w:pPr>
              <w:spacing w:after="0"/>
              <w:rPr>
                <w:sz w:val="1"/>
                <w:szCs w:val="1"/>
                <w:color w:val="auto"/>
              </w:rPr>
            </w:pPr>
          </w:p>
        </w:tc>
      </w:tr>
      <w:tr>
        <w:trPr>
          <w:trHeight w:val="23"/>
        </w:trPr>
        <w:tc>
          <w:tcPr>
            <w:tcW w:w="2300" w:type="dxa"/>
            <w:vAlign w:val="bottom"/>
            <w:tcBorders>
              <w:bottom w:val="single" w:sz="8" w:color="auto"/>
            </w:tcBorders>
          </w:tcPr>
          <w:p>
            <w:pPr>
              <w:spacing w:after="0"/>
              <w:rPr>
                <w:sz w:val="2"/>
                <w:szCs w:val="2"/>
                <w:color w:val="auto"/>
              </w:rPr>
            </w:pPr>
          </w:p>
        </w:tc>
        <w:tc>
          <w:tcPr>
            <w:tcW w:w="8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28"/>
        </w:trPr>
        <w:tc>
          <w:tcPr>
            <w:tcW w:w="2300" w:type="dxa"/>
            <w:vAlign w:val="bottom"/>
          </w:tcPr>
          <w:p>
            <w:pPr>
              <w:ind w:left="20"/>
              <w:spacing w:after="0"/>
              <w:rPr>
                <w:sz w:val="20"/>
                <w:szCs w:val="20"/>
                <w:color w:val="auto"/>
              </w:rPr>
            </w:pPr>
            <w:r>
              <w:rPr>
                <w:rFonts w:ascii="Arial" w:cs="Arial" w:eastAsia="Arial" w:hAnsi="Arial"/>
                <w:sz w:val="18"/>
                <w:szCs w:val="18"/>
                <w:color w:val="auto"/>
              </w:rPr>
              <w:t>Shareholder Return</w:t>
            </w:r>
          </w:p>
        </w:tc>
        <w:tc>
          <w:tcPr>
            <w:tcW w:w="8940" w:type="dxa"/>
            <w:vAlign w:val="bottom"/>
            <w:gridSpan w:val="2"/>
          </w:tcPr>
          <w:p>
            <w:pPr>
              <w:ind w:left="700"/>
              <w:spacing w:after="0"/>
              <w:rPr>
                <w:sz w:val="20"/>
                <w:szCs w:val="20"/>
                <w:color w:val="auto"/>
              </w:rPr>
            </w:pPr>
            <w:r>
              <w:rPr>
                <w:rFonts w:ascii="Arial" w:cs="Arial" w:eastAsia="Arial" w:hAnsi="Arial"/>
                <w:sz w:val="18"/>
                <w:szCs w:val="18"/>
                <w:color w:val="auto"/>
              </w:rPr>
              <w:t>•   We repurchased 786,690 shares of our common stock during fiscal 2025 at a total cost of $45.4</w:t>
            </w:r>
          </w:p>
        </w:tc>
        <w:tc>
          <w:tcPr>
            <w:tcW w:w="0" w:type="dxa"/>
            <w:vAlign w:val="bottom"/>
          </w:tcPr>
          <w:p>
            <w:pPr>
              <w:spacing w:after="0"/>
              <w:rPr>
                <w:sz w:val="1"/>
                <w:szCs w:val="1"/>
                <w:color w:val="auto"/>
              </w:rPr>
            </w:pPr>
          </w:p>
        </w:tc>
      </w:tr>
      <w:tr>
        <w:trPr>
          <w:trHeight w:val="239"/>
        </w:trPr>
        <w:tc>
          <w:tcPr>
            <w:tcW w:w="2300" w:type="dxa"/>
            <w:vAlign w:val="bottom"/>
          </w:tcPr>
          <w:p>
            <w:pPr>
              <w:spacing w:after="0"/>
              <w:rPr>
                <w:sz w:val="20"/>
                <w:szCs w:val="20"/>
                <w:color w:val="auto"/>
              </w:rPr>
            </w:pPr>
          </w:p>
        </w:tc>
        <w:tc>
          <w:tcPr>
            <w:tcW w:w="8940" w:type="dxa"/>
            <w:vAlign w:val="bottom"/>
            <w:gridSpan w:val="2"/>
          </w:tcPr>
          <w:p>
            <w:pPr>
              <w:ind w:left="10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409"/>
        </w:trPr>
        <w:tc>
          <w:tcPr>
            <w:tcW w:w="2300" w:type="dxa"/>
            <w:vAlign w:val="bottom"/>
          </w:tcPr>
          <w:p>
            <w:pPr>
              <w:spacing w:after="0"/>
              <w:rPr>
                <w:sz w:val="24"/>
                <w:szCs w:val="24"/>
                <w:color w:val="auto"/>
              </w:rPr>
            </w:pPr>
          </w:p>
        </w:tc>
        <w:tc>
          <w:tcPr>
            <w:tcW w:w="8940" w:type="dxa"/>
            <w:vAlign w:val="bottom"/>
            <w:gridSpan w:val="2"/>
          </w:tcPr>
          <w:p>
            <w:pPr>
              <w:ind w:left="700"/>
              <w:spacing w:after="0"/>
              <w:rPr>
                <w:sz w:val="20"/>
                <w:szCs w:val="20"/>
                <w:color w:val="auto"/>
              </w:rPr>
            </w:pPr>
            <w:r>
              <w:rPr>
                <w:rFonts w:ascii="Arial" w:cs="Arial" w:eastAsia="Arial" w:hAnsi="Arial"/>
                <w:sz w:val="18"/>
                <w:szCs w:val="18"/>
                <w:color w:val="auto"/>
              </w:rPr>
              <w:t>•   We paid dividends totaling $21.7 million during fiscal 2025 and increased our quarterly cash</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940" w:type="dxa"/>
            <w:vAlign w:val="bottom"/>
            <w:gridSpan w:val="2"/>
          </w:tcPr>
          <w:p>
            <w:pPr>
              <w:ind w:left="1020"/>
              <w:spacing w:after="0"/>
              <w:rPr>
                <w:sz w:val="20"/>
                <w:szCs w:val="20"/>
                <w:color w:val="auto"/>
              </w:rPr>
            </w:pPr>
            <w:r>
              <w:rPr>
                <w:rFonts w:ascii="Arial" w:cs="Arial" w:eastAsia="Arial" w:hAnsi="Arial"/>
                <w:sz w:val="18"/>
                <w:szCs w:val="18"/>
                <w:color w:val="auto"/>
              </w:rPr>
              <w:t>dividend 4% to $0.26 per share during the fourth quarter of fiscal 2025, our eleventh consecutive</w:t>
            </w:r>
          </w:p>
        </w:tc>
        <w:tc>
          <w:tcPr>
            <w:tcW w:w="0" w:type="dxa"/>
            <w:vAlign w:val="bottom"/>
          </w:tcPr>
          <w:p>
            <w:pPr>
              <w:spacing w:after="0"/>
              <w:rPr>
                <w:sz w:val="1"/>
                <w:szCs w:val="1"/>
                <w:color w:val="auto"/>
              </w:rPr>
            </w:pPr>
          </w:p>
        </w:tc>
      </w:tr>
      <w:tr>
        <w:trPr>
          <w:trHeight w:val="239"/>
        </w:trPr>
        <w:tc>
          <w:tcPr>
            <w:tcW w:w="2300" w:type="dxa"/>
            <w:vAlign w:val="bottom"/>
          </w:tcPr>
          <w:p>
            <w:pPr>
              <w:spacing w:after="0"/>
              <w:rPr>
                <w:sz w:val="20"/>
                <w:szCs w:val="20"/>
                <w:color w:val="auto"/>
              </w:rPr>
            </w:pPr>
          </w:p>
        </w:tc>
        <w:tc>
          <w:tcPr>
            <w:tcW w:w="8940" w:type="dxa"/>
            <w:vAlign w:val="bottom"/>
            <w:gridSpan w:val="2"/>
          </w:tcPr>
          <w:p>
            <w:pPr>
              <w:ind w:left="1020"/>
              <w:spacing w:after="0"/>
              <w:rPr>
                <w:sz w:val="20"/>
                <w:szCs w:val="20"/>
                <w:color w:val="auto"/>
              </w:rPr>
            </w:pPr>
            <w:r>
              <w:rPr>
                <w:rFonts w:ascii="Arial" w:cs="Arial" w:eastAsia="Arial" w:hAnsi="Arial"/>
                <w:sz w:val="18"/>
                <w:szCs w:val="18"/>
                <w:color w:val="auto"/>
              </w:rPr>
              <w:t>year with a dividend increase.</w:t>
            </w:r>
          </w:p>
        </w:tc>
        <w:tc>
          <w:tcPr>
            <w:tcW w:w="0" w:type="dxa"/>
            <w:vAlign w:val="bottom"/>
          </w:tcPr>
          <w:p>
            <w:pPr>
              <w:spacing w:after="0"/>
              <w:rPr>
                <w:sz w:val="1"/>
                <w:szCs w:val="1"/>
                <w:color w:val="auto"/>
              </w:rPr>
            </w:pPr>
          </w:p>
        </w:tc>
      </w:tr>
      <w:tr>
        <w:trPr>
          <w:trHeight w:val="409"/>
        </w:trPr>
        <w:tc>
          <w:tcPr>
            <w:tcW w:w="2300" w:type="dxa"/>
            <w:vAlign w:val="bottom"/>
          </w:tcPr>
          <w:p>
            <w:pPr>
              <w:spacing w:after="0"/>
              <w:rPr>
                <w:sz w:val="24"/>
                <w:szCs w:val="24"/>
                <w:color w:val="auto"/>
              </w:rPr>
            </w:pPr>
          </w:p>
        </w:tc>
        <w:tc>
          <w:tcPr>
            <w:tcW w:w="8940" w:type="dxa"/>
            <w:vAlign w:val="bottom"/>
            <w:gridSpan w:val="2"/>
          </w:tcPr>
          <w:p>
            <w:pPr>
              <w:ind w:left="700"/>
              <w:spacing w:after="0"/>
              <w:rPr>
                <w:sz w:val="20"/>
                <w:szCs w:val="20"/>
                <w:color w:val="auto"/>
              </w:rPr>
            </w:pPr>
            <w:r>
              <w:rPr>
                <w:rFonts w:ascii="Arial" w:cs="Arial" w:eastAsia="Arial" w:hAnsi="Arial"/>
                <w:sz w:val="18"/>
                <w:szCs w:val="18"/>
                <w:color w:val="auto"/>
              </w:rPr>
              <w:t>•   We delivered annualized total shareholder return (TSR) of -14.65%, 12.08% and 2.22% over the</w:t>
            </w:r>
          </w:p>
        </w:tc>
        <w:tc>
          <w:tcPr>
            <w:tcW w:w="0" w:type="dxa"/>
            <w:vAlign w:val="bottom"/>
          </w:tcPr>
          <w:p>
            <w:pPr>
              <w:spacing w:after="0"/>
              <w:rPr>
                <w:sz w:val="1"/>
                <w:szCs w:val="1"/>
                <w:color w:val="auto"/>
              </w:rPr>
            </w:pPr>
          </w:p>
        </w:tc>
      </w:tr>
      <w:tr>
        <w:trPr>
          <w:trHeight w:val="239"/>
        </w:trPr>
        <w:tc>
          <w:tcPr>
            <w:tcW w:w="2300" w:type="dxa"/>
            <w:vAlign w:val="bottom"/>
          </w:tcPr>
          <w:p>
            <w:pPr>
              <w:spacing w:after="0"/>
              <w:rPr>
                <w:sz w:val="20"/>
                <w:szCs w:val="20"/>
                <w:color w:val="auto"/>
              </w:rPr>
            </w:pPr>
          </w:p>
        </w:tc>
        <w:tc>
          <w:tcPr>
            <w:tcW w:w="8940" w:type="dxa"/>
            <w:vAlign w:val="bottom"/>
            <w:gridSpan w:val="2"/>
          </w:tcPr>
          <w:p>
            <w:pPr>
              <w:ind w:left="1020"/>
              <w:spacing w:after="0"/>
              <w:rPr>
                <w:sz w:val="20"/>
                <w:szCs w:val="20"/>
                <w:color w:val="auto"/>
              </w:rPr>
            </w:pPr>
            <w:r>
              <w:rPr>
                <w:rFonts w:ascii="Arial" w:cs="Arial" w:eastAsia="Arial" w:hAnsi="Arial"/>
                <w:sz w:val="18"/>
                <w:szCs w:val="18"/>
                <w:color w:val="auto"/>
              </w:rPr>
              <w:t>past one-year, five-years and ten-years, respectively.</w:t>
            </w:r>
          </w:p>
        </w:tc>
        <w:tc>
          <w:tcPr>
            <w:tcW w:w="0" w:type="dxa"/>
            <w:vAlign w:val="bottom"/>
          </w:tcPr>
          <w:p>
            <w:pPr>
              <w:spacing w:after="0"/>
              <w:rPr>
                <w:sz w:val="1"/>
                <w:szCs w:val="1"/>
                <w:color w:val="auto"/>
              </w:rPr>
            </w:pPr>
          </w:p>
        </w:tc>
      </w:tr>
      <w:tr>
        <w:trPr>
          <w:trHeight w:val="23"/>
        </w:trPr>
        <w:tc>
          <w:tcPr>
            <w:tcW w:w="2300" w:type="dxa"/>
            <w:vAlign w:val="bottom"/>
            <w:tcBorders>
              <w:bottom w:val="single" w:sz="8" w:color="auto"/>
            </w:tcBorders>
          </w:tcPr>
          <w:p>
            <w:pPr>
              <w:spacing w:after="0"/>
              <w:rPr>
                <w:sz w:val="2"/>
                <w:szCs w:val="2"/>
                <w:color w:val="auto"/>
              </w:rPr>
            </w:pPr>
          </w:p>
        </w:tc>
        <w:tc>
          <w:tcPr>
            <w:tcW w:w="8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5"/>
        </w:trPr>
        <w:tc>
          <w:tcPr>
            <w:tcW w:w="2300" w:type="dxa"/>
            <w:vAlign w:val="bottom"/>
          </w:tcPr>
          <w:p>
            <w:pPr>
              <w:spacing w:after="0"/>
              <w:rPr>
                <w:sz w:val="24"/>
                <w:szCs w:val="24"/>
                <w:color w:val="auto"/>
              </w:rPr>
            </w:pPr>
          </w:p>
        </w:tc>
        <w:tc>
          <w:tcPr>
            <w:tcW w:w="8740" w:type="dxa"/>
            <w:vAlign w:val="bottom"/>
          </w:tcPr>
          <w:p>
            <w:pPr>
              <w:ind w:left="322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300" w:type="dxa"/>
            <w:vAlign w:val="bottom"/>
            <w:tcBorders>
              <w:bottom w:val="single" w:sz="8" w:color="9A9A9A"/>
            </w:tcBorders>
          </w:tcPr>
          <w:p>
            <w:pPr>
              <w:spacing w:after="0"/>
              <w:rPr>
                <w:sz w:val="8"/>
                <w:szCs w:val="8"/>
                <w:color w:val="auto"/>
              </w:rPr>
            </w:pPr>
          </w:p>
        </w:tc>
        <w:tc>
          <w:tcPr>
            <w:tcW w:w="8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jc w:val="both"/>
        <w:spacing w:after="0" w:line="262" w:lineRule="auto"/>
        <w:rPr>
          <w:sz w:val="20"/>
          <w:szCs w:val="20"/>
          <w:color w:val="auto"/>
        </w:rPr>
      </w:pPr>
      <w:r>
        <w:rPr>
          <w:rFonts w:ascii="Arial" w:cs="Arial" w:eastAsia="Arial" w:hAnsi="Arial"/>
          <w:sz w:val="18"/>
          <w:szCs w:val="18"/>
          <w:b w:val="1"/>
          <w:bCs w:val="1"/>
          <w:u w:val="single" w:color="auto"/>
          <w:color w:val="auto"/>
        </w:rPr>
        <w:t>Executive Compensation Philosophy and Practices</w:t>
      </w:r>
      <w:r>
        <w:rPr>
          <w:rFonts w:ascii="Arial" w:cs="Arial" w:eastAsia="Arial" w:hAnsi="Arial"/>
          <w:sz w:val="18"/>
          <w:szCs w:val="18"/>
          <w:color w:val="auto"/>
        </w:rPr>
        <w:t>. Our compensation programs are designed to attract, motivate and retain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talent to achieve success in both the short-term and long-term for our Company; pay for sustainable performance in an ever-changing environment; and align the interests of our executive officers with our shareholders. We continue to refine our executive compensation program to reflect changes in our business strategy and evolving executive compensation practices.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400" w:type="dxa"/>
            <w:vAlign w:val="bottom"/>
            <w:tcBorders>
              <w:top w:val="single" w:sz="8" w:color="auto"/>
              <w:left w:val="single" w:sz="8" w:color="auto"/>
              <w:right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right w:val="single" w:sz="8" w:color="494949"/>
            </w:tcBorders>
          </w:tcPr>
          <w:p>
            <w:pPr>
              <w:spacing w:after="0"/>
              <w:rPr>
                <w:sz w:val="18"/>
                <w:szCs w:val="18"/>
                <w:color w:val="auto"/>
              </w:rPr>
            </w:pPr>
          </w:p>
        </w:tc>
        <w:tc>
          <w:tcPr>
            <w:tcW w:w="4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05445E"/>
              </w:rPr>
              <w:t>Executive Compensation Practices</w:t>
            </w:r>
          </w:p>
        </w:tc>
        <w:tc>
          <w:tcPr>
            <w:tcW w:w="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05445E"/>
              </w:rPr>
              <w:t>Our Executive</w:t>
            </w:r>
          </w:p>
        </w:tc>
        <w:tc>
          <w:tcPr>
            <w:tcW w:w="1140" w:type="dxa"/>
            <w:vAlign w:val="bottom"/>
            <w:tcBorders>
              <w:right w:val="single" w:sz="8" w:color="494949"/>
            </w:tcBorders>
            <w:gridSpan w:val="3"/>
          </w:tcPr>
          <w:p>
            <w:pPr>
              <w:jc w:val="center"/>
              <w:ind w:right="60"/>
              <w:spacing w:after="0"/>
              <w:rPr>
                <w:sz w:val="20"/>
                <w:szCs w:val="20"/>
                <w:color w:val="auto"/>
              </w:rPr>
            </w:pPr>
            <w:r>
              <w:rPr>
                <w:rFonts w:ascii="Arial" w:cs="Arial" w:eastAsia="Arial" w:hAnsi="Arial"/>
                <w:sz w:val="16"/>
                <w:szCs w:val="16"/>
                <w:b w:val="1"/>
                <w:bCs w:val="1"/>
                <w:color w:val="05445E"/>
              </w:rPr>
              <w:t>Beginning</w:t>
            </w:r>
          </w:p>
        </w:tc>
        <w:tc>
          <w:tcPr>
            <w:tcW w:w="4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05445E"/>
              </w:rPr>
              <w:t>We Have Not Implemented</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05445E"/>
              </w:rPr>
              <w:t>Compensation Practices:</w:t>
            </w:r>
          </w:p>
        </w:tc>
        <w:tc>
          <w:tcPr>
            <w:tcW w:w="1140" w:type="dxa"/>
            <w:vAlign w:val="bottom"/>
            <w:tcBorders>
              <w:right w:val="single" w:sz="8" w:color="494949"/>
            </w:tcBorders>
            <w:gridSpan w:val="3"/>
          </w:tcPr>
          <w:p>
            <w:pPr>
              <w:ind w:left="420"/>
              <w:spacing w:after="0"/>
              <w:rPr>
                <w:sz w:val="20"/>
                <w:szCs w:val="20"/>
                <w:color w:val="auto"/>
              </w:rPr>
            </w:pPr>
            <w:r>
              <w:rPr>
                <w:rFonts w:ascii="Arial" w:cs="Arial" w:eastAsia="Arial" w:hAnsi="Arial"/>
                <w:sz w:val="16"/>
                <w:szCs w:val="16"/>
                <w:b w:val="1"/>
                <w:bCs w:val="1"/>
                <w:color w:val="05445E"/>
              </w:rPr>
              <w:t>on</w:t>
            </w:r>
          </w:p>
        </w:tc>
        <w:tc>
          <w:tcPr>
            <w:tcW w:w="43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05445E"/>
              </w:rPr>
              <w:t>or Have Discontinued:</w:t>
            </w:r>
          </w:p>
        </w:tc>
        <w:tc>
          <w:tcPr>
            <w:tcW w:w="118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05445E"/>
              </w:rPr>
              <w:t>Beginning on</w:t>
            </w:r>
          </w:p>
        </w:tc>
        <w:tc>
          <w:tcPr>
            <w:tcW w:w="0" w:type="dxa"/>
            <w:vAlign w:val="bottom"/>
          </w:tcPr>
          <w:p>
            <w:pPr>
              <w:spacing w:after="0"/>
              <w:rPr>
                <w:sz w:val="1"/>
                <w:szCs w:val="1"/>
                <w:color w:val="auto"/>
              </w:rPr>
            </w:pPr>
          </w:p>
        </w:tc>
      </w:tr>
      <w:tr>
        <w:trPr>
          <w:trHeight w:val="240"/>
        </w:trPr>
        <w:tc>
          <w:tcPr>
            <w:tcW w:w="4400" w:type="dxa"/>
            <w:vAlign w:val="bottom"/>
            <w:tcBorders>
              <w:left w:val="single" w:sz="8" w:color="auto"/>
              <w:bottom w:val="single" w:sz="8" w:color="494949"/>
              <w:right w:val="single" w:sz="8" w:color="auto"/>
            </w:tcBorders>
          </w:tcPr>
          <w:p>
            <w:pPr>
              <w:jc w:val="center"/>
              <w:spacing w:after="0"/>
              <w:rPr>
                <w:sz w:val="20"/>
                <w:szCs w:val="20"/>
                <w:color w:val="auto"/>
              </w:rPr>
            </w:pPr>
            <w:r>
              <w:rPr>
                <w:rFonts w:ascii="Arial" w:cs="Arial" w:eastAsia="Arial" w:hAnsi="Arial"/>
                <w:sz w:val="16"/>
                <w:szCs w:val="16"/>
                <w:b w:val="1"/>
                <w:bCs w:val="1"/>
                <w:color w:val="05445E"/>
              </w:rPr>
              <w:t>(What We Do)</w:t>
            </w:r>
          </w:p>
        </w:tc>
        <w:tc>
          <w:tcPr>
            <w:tcW w:w="1140" w:type="dxa"/>
            <w:vAlign w:val="bottom"/>
            <w:tcBorders>
              <w:bottom w:val="single" w:sz="8" w:color="494949"/>
              <w:right w:val="single" w:sz="8" w:color="494949"/>
            </w:tcBorders>
            <w:gridSpan w:val="3"/>
          </w:tcPr>
          <w:p>
            <w:pPr>
              <w:jc w:val="center"/>
              <w:ind w:right="60"/>
              <w:spacing w:after="0"/>
              <w:rPr>
                <w:sz w:val="20"/>
                <w:szCs w:val="20"/>
                <w:color w:val="auto"/>
              </w:rPr>
            </w:pPr>
            <w:r>
              <w:rPr>
                <w:rFonts w:ascii="Arial" w:cs="Arial" w:eastAsia="Arial" w:hAnsi="Arial"/>
                <w:sz w:val="16"/>
                <w:szCs w:val="16"/>
                <w:b w:val="1"/>
                <w:bCs w:val="1"/>
                <w:color w:val="05445E"/>
              </w:rPr>
              <w:t>Page</w:t>
            </w:r>
          </w:p>
        </w:tc>
        <w:tc>
          <w:tcPr>
            <w:tcW w:w="4360" w:type="dxa"/>
            <w:vAlign w:val="bottom"/>
            <w:tcBorders>
              <w:bottom w:val="single" w:sz="8" w:color="494949"/>
              <w:right w:val="single" w:sz="8" w:color="auto"/>
            </w:tcBorders>
          </w:tcPr>
          <w:p>
            <w:pPr>
              <w:jc w:val="center"/>
              <w:spacing w:after="0"/>
              <w:rPr>
                <w:sz w:val="20"/>
                <w:szCs w:val="20"/>
                <w:color w:val="auto"/>
              </w:rPr>
            </w:pPr>
            <w:r>
              <w:rPr>
                <w:rFonts w:ascii="Arial" w:cs="Arial" w:eastAsia="Arial" w:hAnsi="Arial"/>
                <w:sz w:val="16"/>
                <w:szCs w:val="16"/>
                <w:b w:val="1"/>
                <w:bCs w:val="1"/>
                <w:color w:val="05445E"/>
              </w:rPr>
              <w:t>(What We Don’t Do)</w:t>
            </w:r>
          </w:p>
        </w:tc>
        <w:tc>
          <w:tcPr>
            <w:tcW w:w="1180" w:type="dxa"/>
            <w:vAlign w:val="bottom"/>
            <w:tcBorders>
              <w:bottom w:val="single" w:sz="8" w:color="494949"/>
              <w:right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05445E"/>
                <w:w w:val="99"/>
              </w:rPr>
              <w:t>Page</w:t>
            </w:r>
          </w:p>
        </w:tc>
        <w:tc>
          <w:tcPr>
            <w:tcW w:w="0" w:type="dxa"/>
            <w:vAlign w:val="bottom"/>
          </w:tcPr>
          <w:p>
            <w:pPr>
              <w:spacing w:after="0"/>
              <w:rPr>
                <w:sz w:val="1"/>
                <w:szCs w:val="1"/>
                <w:color w:val="auto"/>
              </w:rPr>
            </w:pPr>
          </w:p>
        </w:tc>
      </w:tr>
      <w:tr>
        <w:trPr>
          <w:trHeight w:val="186"/>
        </w:trPr>
        <w:tc>
          <w:tcPr>
            <w:tcW w:w="4400" w:type="dxa"/>
            <w:vAlign w:val="bottom"/>
            <w:tcBorders>
              <w:left w:val="single" w:sz="8" w:color="auto"/>
              <w:bottom w:val="single" w:sz="8" w:color="DBDBDB"/>
              <w:right w:val="single" w:sz="8" w:color="auto"/>
            </w:tcBorders>
            <w:vMerge w:val="restart"/>
            <w:shd w:val="clear" w:color="auto" w:fill="DBDBDB"/>
          </w:tcPr>
          <w:p>
            <w:pPr>
              <w:ind w:left="40"/>
              <w:spacing w:after="0"/>
              <w:rPr>
                <w:sz w:val="20"/>
                <w:szCs w:val="20"/>
                <w:color w:val="auto"/>
              </w:rPr>
            </w:pPr>
            <w:r>
              <w:rPr>
                <w:rFonts w:ascii="Arial" w:cs="Arial" w:eastAsia="Arial" w:hAnsi="Arial"/>
                <w:sz w:val="16"/>
                <w:szCs w:val="16"/>
                <w:color w:val="auto"/>
              </w:rPr>
              <w:t>We seek alignment of pay and performance each year. A</w:t>
            </w:r>
          </w:p>
        </w:tc>
        <w:tc>
          <w:tcPr>
            <w:tcW w:w="460" w:type="dxa"/>
            <w:vAlign w:val="bottom"/>
            <w:tcBorders>
              <w:bottom w:val="single" w:sz="8" w:color="DBDBDB"/>
            </w:tcBorders>
            <w:vMerge w:val="restart"/>
            <w:shd w:val="clear" w:color="auto" w:fill="DBDBDB"/>
          </w:tcPr>
          <w:p>
            <w:pPr>
              <w:spacing w:after="0"/>
              <w:rPr>
                <w:sz w:val="16"/>
                <w:szCs w:val="16"/>
                <w:color w:val="auto"/>
              </w:rPr>
            </w:pPr>
          </w:p>
        </w:tc>
        <w:tc>
          <w:tcPr>
            <w:tcW w:w="180" w:type="dxa"/>
            <w:vAlign w:val="bottom"/>
            <w:tcBorders>
              <w:bottom w:val="single" w:sz="8" w:color="05445E"/>
            </w:tcBorders>
            <w:shd w:val="clear" w:color="auto" w:fill="DBDBDB"/>
          </w:tcPr>
          <w:p>
            <w:pPr>
              <w:jc w:val="right"/>
              <w:spacing w:after="0" w:line="169" w:lineRule="exact"/>
              <w:rPr>
                <w:sz w:val="20"/>
                <w:szCs w:val="20"/>
                <w:color w:val="auto"/>
              </w:rPr>
            </w:pPr>
            <w:r>
              <w:rPr>
                <w:rFonts w:ascii="Arial" w:cs="Arial" w:eastAsia="Arial" w:hAnsi="Arial"/>
                <w:sz w:val="16"/>
                <w:szCs w:val="16"/>
                <w:color w:val="05445E"/>
                <w:w w:val="89"/>
              </w:rPr>
              <w:t>37</w:t>
            </w:r>
          </w:p>
        </w:tc>
        <w:tc>
          <w:tcPr>
            <w:tcW w:w="500" w:type="dxa"/>
            <w:vAlign w:val="bottom"/>
            <w:tcBorders>
              <w:bottom w:val="single" w:sz="8" w:color="DBDBDB"/>
              <w:right w:val="single" w:sz="8" w:color="494949"/>
            </w:tcBorders>
            <w:vMerge w:val="restart"/>
            <w:shd w:val="clear" w:color="auto" w:fill="DBDBDB"/>
          </w:tcPr>
          <w:p>
            <w:pPr>
              <w:spacing w:after="0"/>
              <w:rPr>
                <w:sz w:val="16"/>
                <w:szCs w:val="16"/>
                <w:color w:val="auto"/>
              </w:rPr>
            </w:pPr>
          </w:p>
        </w:tc>
        <w:tc>
          <w:tcPr>
            <w:tcW w:w="4360" w:type="dxa"/>
            <w:vAlign w:val="bottom"/>
            <w:tcBorders>
              <w:bottom w:val="single" w:sz="8" w:color="DBDBDB"/>
              <w:right w:val="single" w:sz="8" w:color="auto"/>
            </w:tcBorders>
            <w:vMerge w:val="restart"/>
            <w:shd w:val="clear" w:color="auto" w:fill="DBDBDB"/>
          </w:tcPr>
          <w:p>
            <w:pPr>
              <w:spacing w:after="0"/>
              <w:rPr>
                <w:sz w:val="20"/>
                <w:szCs w:val="20"/>
                <w:color w:val="auto"/>
              </w:rPr>
            </w:pPr>
            <w:r>
              <w:rPr>
                <w:rFonts w:ascii="Arial" w:cs="Arial" w:eastAsia="Arial" w:hAnsi="Arial"/>
                <w:sz w:val="16"/>
                <w:szCs w:val="16"/>
                <w:color w:val="auto"/>
              </w:rPr>
              <w:t>Other than an initial employment agreement with Mr.</w:t>
            </w:r>
          </w:p>
        </w:tc>
        <w:tc>
          <w:tcPr>
            <w:tcW w:w="480" w:type="dxa"/>
            <w:vAlign w:val="bottom"/>
            <w:tcBorders>
              <w:bottom w:val="single" w:sz="8" w:color="DBDBDB"/>
            </w:tcBorders>
            <w:vMerge w:val="restart"/>
            <w:shd w:val="clear" w:color="auto" w:fill="DBDBDB"/>
          </w:tcPr>
          <w:p>
            <w:pPr>
              <w:spacing w:after="0"/>
              <w:rPr>
                <w:sz w:val="16"/>
                <w:szCs w:val="16"/>
                <w:color w:val="auto"/>
              </w:rPr>
            </w:pPr>
          </w:p>
        </w:tc>
        <w:tc>
          <w:tcPr>
            <w:tcW w:w="180" w:type="dxa"/>
            <w:vAlign w:val="bottom"/>
            <w:tcBorders>
              <w:bottom w:val="single" w:sz="8" w:color="05445E"/>
            </w:tcBorders>
            <w:shd w:val="clear" w:color="auto" w:fill="DBDBDB"/>
          </w:tcPr>
          <w:p>
            <w:pPr>
              <w:jc w:val="right"/>
              <w:spacing w:after="0" w:line="169" w:lineRule="exact"/>
              <w:rPr>
                <w:sz w:val="20"/>
                <w:szCs w:val="20"/>
                <w:color w:val="auto"/>
              </w:rPr>
            </w:pPr>
            <w:r>
              <w:rPr>
                <w:rFonts w:ascii="Arial" w:cs="Arial" w:eastAsia="Arial" w:hAnsi="Arial"/>
                <w:sz w:val="16"/>
                <w:szCs w:val="16"/>
                <w:color w:val="05445E"/>
                <w:w w:val="89"/>
              </w:rPr>
              <w:t>39</w:t>
            </w:r>
          </w:p>
        </w:tc>
        <w:tc>
          <w:tcPr>
            <w:tcW w:w="520" w:type="dxa"/>
            <w:vAlign w:val="bottom"/>
            <w:tcBorders>
              <w:bottom w:val="single" w:sz="8" w:color="DBDBDB"/>
              <w:right w:val="single" w:sz="8" w:color="494949"/>
            </w:tcBorders>
            <w:vMerge w:val="restart"/>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400" w:type="dxa"/>
            <w:vAlign w:val="bottom"/>
            <w:tcBorders>
              <w:left w:val="single" w:sz="8" w:color="auto"/>
              <w:right w:val="single" w:sz="8" w:color="auto"/>
            </w:tcBorders>
            <w:vMerge w:val="continue"/>
            <w:shd w:val="clear" w:color="auto" w:fill="DBDBDB"/>
          </w:tcPr>
          <w:p>
            <w:pPr>
              <w:spacing w:after="0"/>
              <w:rPr>
                <w:sz w:val="2"/>
                <w:szCs w:val="2"/>
                <w:color w:val="auto"/>
              </w:rPr>
            </w:pPr>
          </w:p>
        </w:tc>
        <w:tc>
          <w:tcPr>
            <w:tcW w:w="460" w:type="dxa"/>
            <w:vAlign w:val="bottom"/>
            <w:vMerge w:val="continue"/>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500" w:type="dxa"/>
            <w:vAlign w:val="bottom"/>
            <w:tcBorders>
              <w:right w:val="single" w:sz="8" w:color="494949"/>
            </w:tcBorders>
            <w:vMerge w:val="continue"/>
            <w:shd w:val="clear" w:color="auto" w:fill="DBDBDB"/>
          </w:tcPr>
          <w:p>
            <w:pPr>
              <w:spacing w:after="0"/>
              <w:rPr>
                <w:sz w:val="2"/>
                <w:szCs w:val="2"/>
                <w:color w:val="auto"/>
              </w:rPr>
            </w:pPr>
          </w:p>
        </w:tc>
        <w:tc>
          <w:tcPr>
            <w:tcW w:w="4360" w:type="dxa"/>
            <w:vAlign w:val="bottom"/>
            <w:tcBorders>
              <w:right w:val="single" w:sz="8" w:color="auto"/>
            </w:tcBorders>
            <w:vMerge w:val="continue"/>
            <w:shd w:val="clear" w:color="auto" w:fill="DBDBDB"/>
          </w:tcPr>
          <w:p>
            <w:pPr>
              <w:spacing w:after="0"/>
              <w:rPr>
                <w:sz w:val="2"/>
                <w:szCs w:val="2"/>
                <w:color w:val="auto"/>
              </w:rPr>
            </w:pPr>
          </w:p>
        </w:tc>
        <w:tc>
          <w:tcPr>
            <w:tcW w:w="480" w:type="dxa"/>
            <w:vAlign w:val="bottom"/>
            <w:vMerge w:val="continue"/>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520" w:type="dxa"/>
            <w:vAlign w:val="bottom"/>
            <w:tcBorders>
              <w:right w:val="single" w:sz="8" w:color="494949"/>
            </w:tcBorders>
            <w:vMerge w:val="continue"/>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significant portion of our compensation program is</w:t>
            </w:r>
          </w:p>
        </w:tc>
        <w:tc>
          <w:tcPr>
            <w:tcW w:w="46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500" w:type="dxa"/>
            <w:vAlign w:val="bottom"/>
            <w:tcBorders>
              <w:right w:val="single" w:sz="8" w:color="494949"/>
            </w:tcBorders>
            <w:shd w:val="clear" w:color="auto" w:fill="DBDBDB"/>
          </w:tcPr>
          <w:p>
            <w:pPr>
              <w:spacing w:after="0"/>
              <w:rPr>
                <w:sz w:val="16"/>
                <w:szCs w:val="16"/>
                <w:color w:val="auto"/>
              </w:rPr>
            </w:pPr>
          </w:p>
        </w:tc>
        <w:tc>
          <w:tcPr>
            <w:tcW w:w="436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6"/>
                <w:szCs w:val="16"/>
                <w:color w:val="auto"/>
              </w:rPr>
              <w:t>Silberhorn (which expired in January 2024) and offer letters</w:t>
            </w:r>
          </w:p>
        </w:tc>
        <w:tc>
          <w:tcPr>
            <w:tcW w:w="4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520" w:type="dxa"/>
            <w:vAlign w:val="bottom"/>
            <w:tcBorders>
              <w:right w:val="single" w:sz="8" w:color="494949"/>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performance-based through the use of our short-term and</w:t>
            </w:r>
          </w:p>
        </w:tc>
        <w:tc>
          <w:tcPr>
            <w:tcW w:w="4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500" w:type="dxa"/>
            <w:vAlign w:val="bottom"/>
            <w:tcBorders>
              <w:right w:val="single" w:sz="8" w:color="494949"/>
            </w:tcBorders>
            <w:shd w:val="clear" w:color="auto" w:fill="DBDBDB"/>
          </w:tcPr>
          <w:p>
            <w:pPr>
              <w:spacing w:after="0"/>
              <w:rPr>
                <w:sz w:val="17"/>
                <w:szCs w:val="17"/>
                <w:color w:val="auto"/>
              </w:rPr>
            </w:pPr>
          </w:p>
        </w:tc>
        <w:tc>
          <w:tcPr>
            <w:tcW w:w="436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6"/>
                <w:szCs w:val="16"/>
                <w:color w:val="auto"/>
              </w:rPr>
              <w:t>with Mr. Osberg and Ms. Trende when they were hired, we</w:t>
            </w:r>
          </w:p>
        </w:tc>
        <w:tc>
          <w:tcPr>
            <w:tcW w:w="4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520" w:type="dxa"/>
            <w:vAlign w:val="bottom"/>
            <w:tcBorders>
              <w:right w:val="single" w:sz="8" w:color="494949"/>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long-term incentive plans.</w:t>
            </w:r>
          </w:p>
        </w:tc>
        <w:tc>
          <w:tcPr>
            <w:tcW w:w="46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500" w:type="dxa"/>
            <w:vAlign w:val="bottom"/>
            <w:tcBorders>
              <w:right w:val="single" w:sz="8" w:color="494949"/>
            </w:tcBorders>
            <w:shd w:val="clear" w:color="auto" w:fill="DBDBDB"/>
          </w:tcPr>
          <w:p>
            <w:pPr>
              <w:spacing w:after="0"/>
              <w:rPr>
                <w:sz w:val="16"/>
                <w:szCs w:val="16"/>
                <w:color w:val="auto"/>
              </w:rPr>
            </w:pPr>
          </w:p>
        </w:tc>
        <w:tc>
          <w:tcPr>
            <w:tcW w:w="436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6"/>
                <w:szCs w:val="16"/>
                <w:color w:val="auto"/>
              </w:rPr>
              <w:t>do not have employment contracts for our Named Executive</w:t>
            </w:r>
          </w:p>
        </w:tc>
        <w:tc>
          <w:tcPr>
            <w:tcW w:w="4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520" w:type="dxa"/>
            <w:vAlign w:val="bottom"/>
            <w:tcBorders>
              <w:right w:val="single" w:sz="8" w:color="494949"/>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0" w:type="dxa"/>
            <w:vAlign w:val="bottom"/>
            <w:tcBorders>
              <w:left w:val="single" w:sz="8" w:color="auto"/>
              <w:bottom w:val="single" w:sz="8" w:color="DBDBDB"/>
              <w:right w:val="single" w:sz="8" w:color="auto"/>
            </w:tcBorders>
            <w:shd w:val="clear" w:color="auto" w:fill="DBDBDB"/>
          </w:tcPr>
          <w:p>
            <w:pPr>
              <w:spacing w:after="0"/>
              <w:rPr>
                <w:sz w:val="19"/>
                <w:szCs w:val="19"/>
                <w:color w:val="auto"/>
              </w:rPr>
            </w:pPr>
          </w:p>
        </w:tc>
        <w:tc>
          <w:tcPr>
            <w:tcW w:w="46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DBDBDB"/>
            </w:tcBorders>
            <w:shd w:val="clear" w:color="auto" w:fill="DBDBDB"/>
          </w:tcPr>
          <w:p>
            <w:pPr>
              <w:spacing w:after="0"/>
              <w:rPr>
                <w:sz w:val="19"/>
                <w:szCs w:val="19"/>
                <w:color w:val="auto"/>
              </w:rPr>
            </w:pPr>
          </w:p>
        </w:tc>
        <w:tc>
          <w:tcPr>
            <w:tcW w:w="500" w:type="dxa"/>
            <w:vAlign w:val="bottom"/>
            <w:tcBorders>
              <w:bottom w:val="single" w:sz="8" w:color="DBDBDB"/>
              <w:right w:val="single" w:sz="8" w:color="494949"/>
            </w:tcBorders>
            <w:shd w:val="clear" w:color="auto" w:fill="DBDBDB"/>
          </w:tcPr>
          <w:p>
            <w:pPr>
              <w:spacing w:after="0"/>
              <w:rPr>
                <w:sz w:val="19"/>
                <w:szCs w:val="19"/>
                <w:color w:val="auto"/>
              </w:rPr>
            </w:pPr>
          </w:p>
        </w:tc>
        <w:tc>
          <w:tcPr>
            <w:tcW w:w="4360" w:type="dxa"/>
            <w:vAlign w:val="bottom"/>
            <w:tcBorders>
              <w:bottom w:val="single" w:sz="8" w:color="DBDBDB"/>
              <w:right w:val="single" w:sz="8" w:color="auto"/>
            </w:tcBorders>
            <w:shd w:val="clear" w:color="auto" w:fill="DBDBDB"/>
          </w:tcPr>
          <w:p>
            <w:pPr>
              <w:spacing w:after="0"/>
              <w:rPr>
                <w:sz w:val="20"/>
                <w:szCs w:val="20"/>
                <w:color w:val="auto"/>
              </w:rPr>
            </w:pPr>
            <w:r>
              <w:rPr>
                <w:rFonts w:ascii="Arial" w:cs="Arial" w:eastAsia="Arial" w:hAnsi="Arial"/>
                <w:sz w:val="16"/>
                <w:szCs w:val="16"/>
                <w:color w:val="auto"/>
              </w:rPr>
              <w:t>Officers.</w:t>
            </w:r>
          </w:p>
        </w:tc>
        <w:tc>
          <w:tcPr>
            <w:tcW w:w="48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DBDBDB"/>
            </w:tcBorders>
            <w:shd w:val="clear" w:color="auto" w:fill="DBDBDB"/>
          </w:tcPr>
          <w:p>
            <w:pPr>
              <w:spacing w:after="0"/>
              <w:rPr>
                <w:sz w:val="19"/>
                <w:szCs w:val="19"/>
                <w:color w:val="auto"/>
              </w:rPr>
            </w:pPr>
          </w:p>
        </w:tc>
        <w:tc>
          <w:tcPr>
            <w:tcW w:w="520" w:type="dxa"/>
            <w:vAlign w:val="bottom"/>
            <w:tcBorders>
              <w:bottom w:val="single" w:sz="8" w:color="DBDBDB"/>
              <w:right w:val="single" w:sz="8" w:color="494949"/>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400" w:type="dxa"/>
            <w:vAlign w:val="bottom"/>
            <w:tcBorders>
              <w:left w:val="single" w:sz="8" w:color="494949"/>
              <w:right w:val="single" w:sz="8" w:color="494949"/>
            </w:tcBorders>
            <w:shd w:val="clear" w:color="auto" w:fill="DBDBDB"/>
          </w:tcPr>
          <w:p>
            <w:pPr>
              <w:ind w:left="40"/>
              <w:spacing w:after="0"/>
              <w:rPr>
                <w:sz w:val="20"/>
                <w:szCs w:val="20"/>
                <w:color w:val="auto"/>
              </w:rPr>
            </w:pPr>
            <w:r>
              <w:rPr>
                <w:rFonts w:ascii="Arial" w:cs="Arial" w:eastAsia="Arial" w:hAnsi="Arial"/>
                <w:sz w:val="16"/>
                <w:szCs w:val="16"/>
                <w:color w:val="auto"/>
              </w:rPr>
              <w:t>We review “tally sheets” and realizable pay and</w:t>
            </w:r>
          </w:p>
        </w:tc>
        <w:tc>
          <w:tcPr>
            <w:tcW w:w="1140" w:type="dxa"/>
            <w:vAlign w:val="bottom"/>
            <w:tcBorders>
              <w:right w:val="single" w:sz="8" w:color="494949"/>
            </w:tcBorders>
            <w:gridSpan w:val="3"/>
            <w:shd w:val="clear" w:color="auto" w:fill="DBDBDB"/>
          </w:tcPr>
          <w:p>
            <w:pPr>
              <w:jc w:val="right"/>
              <w:ind w:right="500"/>
              <w:spacing w:after="0"/>
              <w:rPr>
                <w:sz w:val="20"/>
                <w:szCs w:val="20"/>
                <w:color w:val="auto"/>
              </w:rPr>
            </w:pPr>
            <w:r>
              <w:rPr>
                <w:rFonts w:ascii="Arial" w:cs="Arial" w:eastAsia="Arial" w:hAnsi="Arial"/>
                <w:sz w:val="16"/>
                <w:szCs w:val="16"/>
                <w:color w:val="05445E"/>
              </w:rPr>
              <w:t>41</w:t>
            </w:r>
          </w:p>
        </w:tc>
        <w:tc>
          <w:tcPr>
            <w:tcW w:w="4360" w:type="dxa"/>
            <w:vAlign w:val="bottom"/>
            <w:tcBorders>
              <w:right w:val="single" w:sz="8" w:color="494949"/>
            </w:tcBorders>
            <w:vMerge w:val="restart"/>
            <w:shd w:val="clear" w:color="auto" w:fill="DBDBDB"/>
          </w:tcPr>
          <w:p>
            <w:pPr>
              <w:spacing w:after="0"/>
              <w:rPr>
                <w:sz w:val="20"/>
                <w:szCs w:val="20"/>
                <w:color w:val="auto"/>
              </w:rPr>
            </w:pPr>
            <w:r>
              <w:rPr>
                <w:rFonts w:ascii="Arial" w:cs="Arial" w:eastAsia="Arial" w:hAnsi="Arial"/>
                <w:sz w:val="16"/>
                <w:szCs w:val="16"/>
                <w:color w:val="auto"/>
              </w:rPr>
              <w:t>We generally do not pay annual incentive compensation if</w:t>
            </w:r>
          </w:p>
        </w:tc>
        <w:tc>
          <w:tcPr>
            <w:tcW w:w="660" w:type="dxa"/>
            <w:vAlign w:val="bottom"/>
            <w:gridSpan w:val="2"/>
            <w:shd w:val="clear" w:color="auto" w:fill="DBDBDB"/>
          </w:tcPr>
          <w:p>
            <w:pPr>
              <w:jc w:val="center"/>
              <w:ind w:left="399"/>
              <w:spacing w:after="0"/>
              <w:rPr>
                <w:sz w:val="20"/>
                <w:szCs w:val="20"/>
                <w:color w:val="auto"/>
              </w:rPr>
            </w:pPr>
            <w:r>
              <w:rPr>
                <w:rFonts w:ascii="Arial" w:cs="Arial" w:eastAsia="Arial" w:hAnsi="Arial"/>
                <w:sz w:val="16"/>
                <w:szCs w:val="16"/>
                <w:color w:val="05445E"/>
              </w:rPr>
              <w:t>43</w:t>
            </w:r>
          </w:p>
        </w:tc>
        <w:tc>
          <w:tcPr>
            <w:tcW w:w="520" w:type="dxa"/>
            <w:vAlign w:val="bottom"/>
            <w:tcBorders>
              <w:right w:val="single" w:sz="8" w:color="494949"/>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4400" w:type="dxa"/>
            <w:vAlign w:val="bottom"/>
            <w:tcBorders>
              <w:top w:val="single" w:sz="8" w:color="DBDBDB"/>
              <w:left w:val="single" w:sz="8" w:color="494949"/>
              <w:right w:val="single" w:sz="8" w:color="494949"/>
            </w:tcBorders>
            <w:vMerge w:val="restart"/>
            <w:shd w:val="clear" w:color="auto" w:fill="DBDBDB"/>
          </w:tcPr>
          <w:p>
            <w:pPr>
              <w:ind w:left="40"/>
              <w:spacing w:after="0"/>
              <w:rPr>
                <w:sz w:val="20"/>
                <w:szCs w:val="20"/>
                <w:color w:val="auto"/>
              </w:rPr>
            </w:pPr>
            <w:r>
              <w:rPr>
                <w:rFonts w:ascii="Arial" w:cs="Arial" w:eastAsia="Arial" w:hAnsi="Arial"/>
                <w:sz w:val="16"/>
                <w:szCs w:val="16"/>
                <w:color w:val="auto"/>
              </w:rPr>
              <w:t>performance for our Named Executive Officers and use that</w:t>
            </w:r>
          </w:p>
        </w:tc>
        <w:tc>
          <w:tcPr>
            <w:tcW w:w="460" w:type="dxa"/>
            <w:vAlign w:val="bottom"/>
            <w:tcBorders>
              <w:top w:val="single" w:sz="8" w:color="DBDBDB"/>
            </w:tcBorders>
            <w:shd w:val="clear" w:color="auto" w:fill="DBDBDB"/>
          </w:tcPr>
          <w:p>
            <w:pPr>
              <w:spacing w:after="0"/>
              <w:rPr>
                <w:sz w:val="8"/>
                <w:szCs w:val="8"/>
                <w:color w:val="auto"/>
              </w:rPr>
            </w:pPr>
          </w:p>
        </w:tc>
        <w:tc>
          <w:tcPr>
            <w:tcW w:w="180" w:type="dxa"/>
            <w:vAlign w:val="bottom"/>
            <w:tcBorders>
              <w:top w:val="single" w:sz="8" w:color="05445E"/>
            </w:tcBorders>
            <w:shd w:val="clear" w:color="auto" w:fill="DBDBDB"/>
          </w:tcPr>
          <w:p>
            <w:pPr>
              <w:spacing w:after="0"/>
              <w:rPr>
                <w:sz w:val="8"/>
                <w:szCs w:val="8"/>
                <w:color w:val="auto"/>
              </w:rPr>
            </w:pPr>
          </w:p>
        </w:tc>
        <w:tc>
          <w:tcPr>
            <w:tcW w:w="500" w:type="dxa"/>
            <w:vAlign w:val="bottom"/>
            <w:tcBorders>
              <w:top w:val="single" w:sz="8" w:color="DBDBDB"/>
              <w:right w:val="single" w:sz="8" w:color="494949"/>
            </w:tcBorders>
            <w:shd w:val="clear" w:color="auto" w:fill="DBDBDB"/>
          </w:tcPr>
          <w:p>
            <w:pPr>
              <w:spacing w:after="0"/>
              <w:rPr>
                <w:sz w:val="8"/>
                <w:szCs w:val="8"/>
                <w:color w:val="auto"/>
              </w:rPr>
            </w:pPr>
          </w:p>
        </w:tc>
        <w:tc>
          <w:tcPr>
            <w:tcW w:w="4360" w:type="dxa"/>
            <w:vAlign w:val="bottom"/>
            <w:tcBorders>
              <w:top w:val="single" w:sz="8" w:color="DBDBDB"/>
              <w:right w:val="single" w:sz="8" w:color="494949"/>
            </w:tcBorders>
            <w:vMerge w:val="continue"/>
            <w:shd w:val="clear" w:color="auto" w:fill="DBDBDB"/>
          </w:tcPr>
          <w:p>
            <w:pPr>
              <w:spacing w:after="0"/>
              <w:rPr>
                <w:sz w:val="8"/>
                <w:szCs w:val="8"/>
                <w:color w:val="auto"/>
              </w:rPr>
            </w:pPr>
          </w:p>
        </w:tc>
        <w:tc>
          <w:tcPr>
            <w:tcW w:w="480" w:type="dxa"/>
            <w:vAlign w:val="bottom"/>
            <w:tcBorders>
              <w:top w:val="single" w:sz="8" w:color="DBDBDB"/>
            </w:tcBorders>
            <w:shd w:val="clear" w:color="auto" w:fill="DBDBDB"/>
          </w:tcPr>
          <w:p>
            <w:pPr>
              <w:spacing w:after="0"/>
              <w:rPr>
                <w:sz w:val="8"/>
                <w:szCs w:val="8"/>
                <w:color w:val="auto"/>
              </w:rPr>
            </w:pPr>
          </w:p>
        </w:tc>
        <w:tc>
          <w:tcPr>
            <w:tcW w:w="180" w:type="dxa"/>
            <w:vAlign w:val="bottom"/>
            <w:tcBorders>
              <w:top w:val="single" w:sz="8" w:color="05445E"/>
            </w:tcBorders>
            <w:shd w:val="clear" w:color="auto" w:fill="DBDBDB"/>
          </w:tcPr>
          <w:p>
            <w:pPr>
              <w:spacing w:after="0"/>
              <w:rPr>
                <w:sz w:val="8"/>
                <w:szCs w:val="8"/>
                <w:color w:val="auto"/>
              </w:rPr>
            </w:pPr>
          </w:p>
        </w:tc>
        <w:tc>
          <w:tcPr>
            <w:tcW w:w="520" w:type="dxa"/>
            <w:vAlign w:val="bottom"/>
            <w:tcBorders>
              <w:top w:val="single" w:sz="8" w:color="DBDBDB"/>
              <w:right w:val="single" w:sz="8" w:color="494949"/>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400" w:type="dxa"/>
            <w:vAlign w:val="bottom"/>
            <w:tcBorders>
              <w:left w:val="single" w:sz="8" w:color="494949"/>
              <w:right w:val="single" w:sz="8" w:color="494949"/>
            </w:tcBorders>
            <w:vMerge w:val="continue"/>
            <w:shd w:val="clear" w:color="auto" w:fill="DBDBDB"/>
          </w:tcPr>
          <w:p>
            <w:pPr>
              <w:spacing w:after="0"/>
              <w:rPr>
                <w:sz w:val="8"/>
                <w:szCs w:val="8"/>
                <w:color w:val="auto"/>
              </w:rPr>
            </w:pPr>
          </w:p>
        </w:tc>
        <w:tc>
          <w:tcPr>
            <w:tcW w:w="460" w:type="dxa"/>
            <w:vAlign w:val="bottom"/>
            <w:shd w:val="clear" w:color="auto" w:fill="DBDBDB"/>
          </w:tcPr>
          <w:p>
            <w:pPr>
              <w:spacing w:after="0"/>
              <w:rPr>
                <w:sz w:val="8"/>
                <w:szCs w:val="8"/>
                <w:color w:val="auto"/>
              </w:rPr>
            </w:pPr>
          </w:p>
        </w:tc>
        <w:tc>
          <w:tcPr>
            <w:tcW w:w="180" w:type="dxa"/>
            <w:vAlign w:val="bottom"/>
            <w:shd w:val="clear" w:color="auto" w:fill="DBDBDB"/>
          </w:tcPr>
          <w:p>
            <w:pPr>
              <w:spacing w:after="0"/>
              <w:rPr>
                <w:sz w:val="8"/>
                <w:szCs w:val="8"/>
                <w:color w:val="auto"/>
              </w:rPr>
            </w:pPr>
          </w:p>
        </w:tc>
        <w:tc>
          <w:tcPr>
            <w:tcW w:w="500" w:type="dxa"/>
            <w:vAlign w:val="bottom"/>
            <w:tcBorders>
              <w:right w:val="single" w:sz="8" w:color="494949"/>
            </w:tcBorders>
            <w:shd w:val="clear" w:color="auto" w:fill="DBDBDB"/>
          </w:tcPr>
          <w:p>
            <w:pPr>
              <w:spacing w:after="0"/>
              <w:rPr>
                <w:sz w:val="8"/>
                <w:szCs w:val="8"/>
                <w:color w:val="auto"/>
              </w:rPr>
            </w:pPr>
          </w:p>
        </w:tc>
        <w:tc>
          <w:tcPr>
            <w:tcW w:w="4360" w:type="dxa"/>
            <w:vAlign w:val="bottom"/>
            <w:tcBorders>
              <w:right w:val="single" w:sz="8" w:color="494949"/>
            </w:tcBorders>
            <w:vMerge w:val="restart"/>
            <w:shd w:val="clear" w:color="auto" w:fill="DBDBDB"/>
          </w:tcPr>
          <w:p>
            <w:pPr>
              <w:spacing w:after="0"/>
              <w:rPr>
                <w:sz w:val="20"/>
                <w:szCs w:val="20"/>
                <w:color w:val="auto"/>
              </w:rPr>
            </w:pPr>
            <w:r>
              <w:rPr>
                <w:rFonts w:ascii="Arial" w:cs="Arial" w:eastAsia="Arial" w:hAnsi="Arial"/>
                <w:sz w:val="16"/>
                <w:szCs w:val="16"/>
                <w:color w:val="auto"/>
              </w:rPr>
              <w:t>our Company is not profitable for the year.</w:t>
            </w:r>
          </w:p>
        </w:tc>
        <w:tc>
          <w:tcPr>
            <w:tcW w:w="480" w:type="dxa"/>
            <w:vAlign w:val="bottom"/>
            <w:shd w:val="clear" w:color="auto" w:fill="DBDBDB"/>
          </w:tcPr>
          <w:p>
            <w:pPr>
              <w:spacing w:after="0"/>
              <w:rPr>
                <w:sz w:val="8"/>
                <w:szCs w:val="8"/>
                <w:color w:val="auto"/>
              </w:rPr>
            </w:pPr>
          </w:p>
        </w:tc>
        <w:tc>
          <w:tcPr>
            <w:tcW w:w="180" w:type="dxa"/>
            <w:vAlign w:val="bottom"/>
            <w:shd w:val="clear" w:color="auto" w:fill="DBDBDB"/>
          </w:tcPr>
          <w:p>
            <w:pPr>
              <w:spacing w:after="0"/>
              <w:rPr>
                <w:sz w:val="8"/>
                <w:szCs w:val="8"/>
                <w:color w:val="auto"/>
              </w:rPr>
            </w:pPr>
          </w:p>
        </w:tc>
        <w:tc>
          <w:tcPr>
            <w:tcW w:w="520" w:type="dxa"/>
            <w:vAlign w:val="bottom"/>
            <w:tcBorders>
              <w:right w:val="single" w:sz="8" w:color="494949"/>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400" w:type="dxa"/>
            <w:vAlign w:val="bottom"/>
            <w:tcBorders>
              <w:left w:val="single" w:sz="8" w:color="494949"/>
              <w:right w:val="single" w:sz="8" w:color="494949"/>
            </w:tcBorders>
            <w:vMerge w:val="restart"/>
            <w:shd w:val="clear" w:color="auto" w:fill="DBDBDB"/>
          </w:tcPr>
          <w:p>
            <w:pPr>
              <w:ind w:left="40"/>
              <w:spacing w:after="0"/>
              <w:rPr>
                <w:sz w:val="20"/>
                <w:szCs w:val="20"/>
                <w:color w:val="auto"/>
              </w:rPr>
            </w:pPr>
            <w:r>
              <w:rPr>
                <w:rFonts w:ascii="Arial" w:cs="Arial" w:eastAsia="Arial" w:hAnsi="Arial"/>
                <w:sz w:val="16"/>
                <w:szCs w:val="16"/>
                <w:color w:val="auto"/>
              </w:rPr>
              <w:t>information as a factor in making compensation decisions.</w:t>
            </w:r>
          </w:p>
        </w:tc>
        <w:tc>
          <w:tcPr>
            <w:tcW w:w="46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500" w:type="dxa"/>
            <w:vAlign w:val="bottom"/>
            <w:tcBorders>
              <w:right w:val="single" w:sz="8" w:color="494949"/>
            </w:tcBorders>
            <w:shd w:val="clear" w:color="auto" w:fill="DBDBDB"/>
          </w:tcPr>
          <w:p>
            <w:pPr>
              <w:spacing w:after="0"/>
              <w:rPr>
                <w:sz w:val="10"/>
                <w:szCs w:val="10"/>
                <w:color w:val="auto"/>
              </w:rPr>
            </w:pPr>
          </w:p>
        </w:tc>
        <w:tc>
          <w:tcPr>
            <w:tcW w:w="4360" w:type="dxa"/>
            <w:vAlign w:val="bottom"/>
            <w:tcBorders>
              <w:right w:val="single" w:sz="8" w:color="494949"/>
            </w:tcBorders>
            <w:vMerge w:val="continue"/>
            <w:shd w:val="clear" w:color="auto" w:fill="DBDBDB"/>
          </w:tcPr>
          <w:p>
            <w:pPr>
              <w:spacing w:after="0"/>
              <w:rPr>
                <w:sz w:val="10"/>
                <w:szCs w:val="10"/>
                <w:color w:val="auto"/>
              </w:rPr>
            </w:pPr>
          </w:p>
        </w:tc>
        <w:tc>
          <w:tcPr>
            <w:tcW w:w="48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520" w:type="dxa"/>
            <w:vAlign w:val="bottom"/>
            <w:tcBorders>
              <w:right w:val="single" w:sz="8" w:color="494949"/>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400" w:type="dxa"/>
            <w:vAlign w:val="bottom"/>
            <w:tcBorders>
              <w:left w:val="single" w:sz="8" w:color="494949"/>
              <w:bottom w:val="single" w:sz="8" w:color="494949"/>
              <w:right w:val="single" w:sz="8" w:color="494949"/>
            </w:tcBorders>
            <w:vMerge w:val="continue"/>
            <w:shd w:val="clear" w:color="auto" w:fill="DBDBDB"/>
          </w:tcPr>
          <w:p>
            <w:pPr>
              <w:spacing w:after="0"/>
              <w:rPr>
                <w:sz w:val="9"/>
                <w:szCs w:val="9"/>
                <w:color w:val="auto"/>
              </w:rPr>
            </w:pPr>
          </w:p>
        </w:tc>
        <w:tc>
          <w:tcPr>
            <w:tcW w:w="460" w:type="dxa"/>
            <w:vAlign w:val="bottom"/>
            <w:tcBorders>
              <w:bottom w:val="single" w:sz="8" w:color="494949"/>
            </w:tcBorders>
            <w:shd w:val="clear" w:color="auto" w:fill="DBDBDB"/>
          </w:tcPr>
          <w:p>
            <w:pPr>
              <w:spacing w:after="0"/>
              <w:rPr>
                <w:sz w:val="9"/>
                <w:szCs w:val="9"/>
                <w:color w:val="auto"/>
              </w:rPr>
            </w:pPr>
          </w:p>
        </w:tc>
        <w:tc>
          <w:tcPr>
            <w:tcW w:w="180" w:type="dxa"/>
            <w:vAlign w:val="bottom"/>
            <w:tcBorders>
              <w:bottom w:val="single" w:sz="8" w:color="494949"/>
            </w:tcBorders>
            <w:shd w:val="clear" w:color="auto" w:fill="DBDBDB"/>
          </w:tcPr>
          <w:p>
            <w:pPr>
              <w:spacing w:after="0"/>
              <w:rPr>
                <w:sz w:val="9"/>
                <w:szCs w:val="9"/>
                <w:color w:val="auto"/>
              </w:rPr>
            </w:pPr>
          </w:p>
        </w:tc>
        <w:tc>
          <w:tcPr>
            <w:tcW w:w="500" w:type="dxa"/>
            <w:vAlign w:val="bottom"/>
            <w:tcBorders>
              <w:bottom w:val="single" w:sz="8" w:color="494949"/>
              <w:right w:val="single" w:sz="8" w:color="494949"/>
            </w:tcBorders>
            <w:shd w:val="clear" w:color="auto" w:fill="DBDBDB"/>
          </w:tcPr>
          <w:p>
            <w:pPr>
              <w:spacing w:after="0"/>
              <w:rPr>
                <w:sz w:val="9"/>
                <w:szCs w:val="9"/>
                <w:color w:val="auto"/>
              </w:rPr>
            </w:pPr>
          </w:p>
        </w:tc>
        <w:tc>
          <w:tcPr>
            <w:tcW w:w="4360" w:type="dxa"/>
            <w:vAlign w:val="bottom"/>
            <w:tcBorders>
              <w:bottom w:val="single" w:sz="8" w:color="494949"/>
              <w:right w:val="single" w:sz="8" w:color="494949"/>
            </w:tcBorders>
            <w:shd w:val="clear" w:color="auto" w:fill="DBDBDB"/>
          </w:tcPr>
          <w:p>
            <w:pPr>
              <w:spacing w:after="0"/>
              <w:rPr>
                <w:sz w:val="9"/>
                <w:szCs w:val="9"/>
                <w:color w:val="auto"/>
              </w:rPr>
            </w:pPr>
          </w:p>
        </w:tc>
        <w:tc>
          <w:tcPr>
            <w:tcW w:w="480" w:type="dxa"/>
            <w:vAlign w:val="bottom"/>
            <w:tcBorders>
              <w:bottom w:val="single" w:sz="8" w:color="494949"/>
            </w:tcBorders>
            <w:shd w:val="clear" w:color="auto" w:fill="DBDBDB"/>
          </w:tcPr>
          <w:p>
            <w:pPr>
              <w:spacing w:after="0"/>
              <w:rPr>
                <w:sz w:val="9"/>
                <w:szCs w:val="9"/>
                <w:color w:val="auto"/>
              </w:rPr>
            </w:pPr>
          </w:p>
        </w:tc>
        <w:tc>
          <w:tcPr>
            <w:tcW w:w="180" w:type="dxa"/>
            <w:vAlign w:val="bottom"/>
            <w:tcBorders>
              <w:bottom w:val="single" w:sz="8" w:color="494949"/>
            </w:tcBorders>
            <w:shd w:val="clear" w:color="auto" w:fill="DBDBDB"/>
          </w:tcPr>
          <w:p>
            <w:pPr>
              <w:spacing w:after="0"/>
              <w:rPr>
                <w:sz w:val="9"/>
                <w:szCs w:val="9"/>
                <w:color w:val="auto"/>
              </w:rPr>
            </w:pPr>
          </w:p>
        </w:tc>
        <w:tc>
          <w:tcPr>
            <w:tcW w:w="520" w:type="dxa"/>
            <w:vAlign w:val="bottom"/>
            <w:tcBorders>
              <w:bottom w:val="single" w:sz="8" w:color="494949"/>
              <w:right w:val="single" w:sz="8" w:color="494949"/>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 Compensation Committee annually determines</w:t>
            </w:r>
          </w:p>
        </w:tc>
        <w:tc>
          <w:tcPr>
            <w:tcW w:w="1140" w:type="dxa"/>
            <w:vAlign w:val="bottom"/>
            <w:tcBorders>
              <w:right w:val="single" w:sz="8" w:color="494949"/>
            </w:tcBorders>
            <w:gridSpan w:val="3"/>
          </w:tcPr>
          <w:p>
            <w:pPr>
              <w:jc w:val="right"/>
              <w:ind w:right="500"/>
              <w:spacing w:after="0"/>
              <w:rPr>
                <w:sz w:val="20"/>
                <w:szCs w:val="20"/>
                <w:color w:val="auto"/>
              </w:rPr>
            </w:pPr>
            <w:r>
              <w:rPr>
                <w:rFonts w:ascii="Arial" w:cs="Arial" w:eastAsia="Arial" w:hAnsi="Arial"/>
                <w:sz w:val="16"/>
                <w:szCs w:val="16"/>
                <w:color w:val="05445E"/>
              </w:rPr>
              <w:t>41</w:t>
            </w:r>
          </w:p>
        </w:tc>
        <w:tc>
          <w:tcPr>
            <w:tcW w:w="4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 do not pay dividends during the restricted periods on</w:t>
            </w:r>
          </w:p>
        </w:tc>
        <w:tc>
          <w:tcPr>
            <w:tcW w:w="660" w:type="dxa"/>
            <w:vAlign w:val="bottom"/>
            <w:gridSpan w:val="2"/>
          </w:tcPr>
          <w:p>
            <w:pPr>
              <w:jc w:val="center"/>
              <w:ind w:left="399"/>
              <w:spacing w:after="0"/>
              <w:rPr>
                <w:sz w:val="20"/>
                <w:szCs w:val="20"/>
                <w:color w:val="auto"/>
              </w:rPr>
            </w:pPr>
            <w:r>
              <w:rPr>
                <w:rFonts w:ascii="Arial" w:cs="Arial" w:eastAsia="Arial" w:hAnsi="Arial"/>
                <w:sz w:val="16"/>
                <w:szCs w:val="16"/>
                <w:color w:val="05445E"/>
              </w:rPr>
              <w:t>47</w:t>
            </w:r>
          </w:p>
        </w:tc>
        <w:tc>
          <w:tcPr>
            <w:tcW w:w="520" w:type="dxa"/>
            <w:vAlign w:val="bottom"/>
            <w:tcBorders>
              <w:right w:val="single" w:sz="8" w:color="494949"/>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whether its compensation consulting firm fully meets the</w:t>
            </w:r>
          </w:p>
        </w:tc>
        <w:tc>
          <w:tcPr>
            <w:tcW w:w="460" w:type="dxa"/>
            <w:vAlign w:val="bottom"/>
          </w:tcPr>
          <w:p>
            <w:pPr>
              <w:spacing w:after="0"/>
              <w:rPr>
                <w:sz w:val="16"/>
                <w:szCs w:val="16"/>
                <w:color w:val="auto"/>
              </w:rPr>
            </w:pPr>
          </w:p>
        </w:tc>
        <w:tc>
          <w:tcPr>
            <w:tcW w:w="180" w:type="dxa"/>
            <w:vAlign w:val="bottom"/>
            <w:tcBorders>
              <w:top w:val="single" w:sz="8" w:color="05445E"/>
            </w:tcBorders>
          </w:tcPr>
          <w:p>
            <w:pPr>
              <w:spacing w:after="0"/>
              <w:rPr>
                <w:sz w:val="16"/>
                <w:szCs w:val="16"/>
                <w:color w:val="auto"/>
              </w:rPr>
            </w:pPr>
          </w:p>
        </w:tc>
        <w:tc>
          <w:tcPr>
            <w:tcW w:w="500" w:type="dxa"/>
            <w:vAlign w:val="bottom"/>
            <w:tcBorders>
              <w:right w:val="single" w:sz="8" w:color="494949"/>
            </w:tcBorders>
          </w:tcPr>
          <w:p>
            <w:pPr>
              <w:spacing w:after="0"/>
              <w:rPr>
                <w:sz w:val="16"/>
                <w:szCs w:val="16"/>
                <w:color w:val="auto"/>
              </w:rPr>
            </w:pPr>
          </w:p>
        </w:tc>
        <w:tc>
          <w:tcPr>
            <w:tcW w:w="4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unvested equity awards made pursuant to our 2019 Stock</w:t>
            </w:r>
          </w:p>
        </w:tc>
        <w:tc>
          <w:tcPr>
            <w:tcW w:w="480" w:type="dxa"/>
            <w:vAlign w:val="bottom"/>
          </w:tcPr>
          <w:p>
            <w:pPr>
              <w:spacing w:after="0"/>
              <w:rPr>
                <w:sz w:val="16"/>
                <w:szCs w:val="16"/>
                <w:color w:val="auto"/>
              </w:rPr>
            </w:pPr>
          </w:p>
        </w:tc>
        <w:tc>
          <w:tcPr>
            <w:tcW w:w="180" w:type="dxa"/>
            <w:vAlign w:val="bottom"/>
            <w:tcBorders>
              <w:top w:val="single" w:sz="8" w:color="05445E"/>
            </w:tcBorders>
          </w:tcPr>
          <w:p>
            <w:pPr>
              <w:spacing w:after="0"/>
              <w:rPr>
                <w:sz w:val="16"/>
                <w:szCs w:val="16"/>
                <w:color w:val="auto"/>
              </w:rPr>
            </w:pPr>
          </w:p>
        </w:tc>
        <w:tc>
          <w:tcPr>
            <w:tcW w:w="520" w:type="dxa"/>
            <w:vAlign w:val="bottom"/>
            <w:tcBorders>
              <w:right w:val="single" w:sz="8" w:color="494949"/>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stringent independence requirements under the final rules</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494949"/>
            </w:tcBorders>
          </w:tcPr>
          <w:p>
            <w:pPr>
              <w:spacing w:after="0"/>
              <w:rPr>
                <w:sz w:val="16"/>
                <w:szCs w:val="16"/>
                <w:color w:val="auto"/>
              </w:rPr>
            </w:pPr>
          </w:p>
        </w:tc>
        <w:tc>
          <w:tcPr>
            <w:tcW w:w="4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Incentive Plan.</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right w:val="single" w:sz="8" w:color="494949"/>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of the Dodd-Frank Act.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right w:val="single" w:sz="8" w:color="494949"/>
            </w:tcBorders>
          </w:tcPr>
          <w:p>
            <w:pPr>
              <w:spacing w:after="0"/>
              <w:rPr>
                <w:sz w:val="18"/>
                <w:szCs w:val="18"/>
                <w:color w:val="auto"/>
              </w:rPr>
            </w:pPr>
          </w:p>
        </w:tc>
        <w:tc>
          <w:tcPr>
            <w:tcW w:w="43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right w:val="single" w:sz="8" w:color="494949"/>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4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494949"/>
            </w:tcBorders>
          </w:tcPr>
          <w:p>
            <w:pPr>
              <w:spacing w:after="0"/>
              <w:rPr>
                <w:sz w:val="2"/>
                <w:szCs w:val="2"/>
                <w:color w:val="auto"/>
              </w:rPr>
            </w:pPr>
          </w:p>
        </w:tc>
        <w:tc>
          <w:tcPr>
            <w:tcW w:w="180" w:type="dxa"/>
            <w:vAlign w:val="bottom"/>
            <w:tcBorders>
              <w:bottom w:val="single" w:sz="8" w:color="494949"/>
            </w:tcBorders>
          </w:tcPr>
          <w:p>
            <w:pPr>
              <w:spacing w:after="0"/>
              <w:rPr>
                <w:sz w:val="2"/>
                <w:szCs w:val="2"/>
                <w:color w:val="auto"/>
              </w:rPr>
            </w:pPr>
          </w:p>
        </w:tc>
        <w:tc>
          <w:tcPr>
            <w:tcW w:w="500" w:type="dxa"/>
            <w:vAlign w:val="bottom"/>
            <w:tcBorders>
              <w:bottom w:val="single" w:sz="8" w:color="494949"/>
              <w:right w:val="single" w:sz="8" w:color="494949"/>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494949"/>
            </w:tcBorders>
          </w:tcPr>
          <w:p>
            <w:pPr>
              <w:spacing w:after="0"/>
              <w:rPr>
                <w:sz w:val="2"/>
                <w:szCs w:val="2"/>
                <w:color w:val="auto"/>
              </w:rPr>
            </w:pPr>
          </w:p>
        </w:tc>
        <w:tc>
          <w:tcPr>
            <w:tcW w:w="180" w:type="dxa"/>
            <w:vAlign w:val="bottom"/>
            <w:tcBorders>
              <w:bottom w:val="single" w:sz="8" w:color="494949"/>
            </w:tcBorders>
          </w:tcPr>
          <w:p>
            <w:pPr>
              <w:spacing w:after="0"/>
              <w:rPr>
                <w:sz w:val="2"/>
                <w:szCs w:val="2"/>
                <w:color w:val="auto"/>
              </w:rPr>
            </w:pPr>
          </w:p>
        </w:tc>
        <w:tc>
          <w:tcPr>
            <w:tcW w:w="520" w:type="dxa"/>
            <w:vAlign w:val="bottom"/>
            <w:tcBorders>
              <w:bottom w:val="single" w:sz="8" w:color="494949"/>
              <w:right w:val="single" w:sz="8" w:color="494949"/>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00" w:type="dxa"/>
            <w:vAlign w:val="bottom"/>
            <w:tcBorders>
              <w:left w:val="single" w:sz="8" w:color="auto"/>
              <w:right w:val="single" w:sz="8" w:color="auto"/>
            </w:tcBorders>
            <w:shd w:val="clear" w:color="auto" w:fill="DBDBDB"/>
          </w:tcPr>
          <w:p>
            <w:pPr>
              <w:ind w:left="40"/>
              <w:spacing w:after="0" w:line="183" w:lineRule="exact"/>
              <w:rPr>
                <w:sz w:val="20"/>
                <w:szCs w:val="20"/>
                <w:color w:val="auto"/>
              </w:rPr>
            </w:pPr>
            <w:r>
              <w:rPr>
                <w:rFonts w:ascii="Arial" w:cs="Arial" w:eastAsia="Arial" w:hAnsi="Arial"/>
                <w:sz w:val="16"/>
                <w:szCs w:val="16"/>
                <w:color w:val="auto"/>
              </w:rPr>
              <w:t>We evaluate share utilization by annually reviewing</w:t>
            </w:r>
          </w:p>
        </w:tc>
        <w:tc>
          <w:tcPr>
            <w:tcW w:w="1140" w:type="dxa"/>
            <w:vAlign w:val="bottom"/>
            <w:tcBorders>
              <w:right w:val="single" w:sz="8" w:color="494949"/>
            </w:tcBorders>
            <w:gridSpan w:val="3"/>
            <w:shd w:val="clear" w:color="auto" w:fill="DBDBDB"/>
          </w:tcPr>
          <w:p>
            <w:pPr>
              <w:jc w:val="right"/>
              <w:ind w:right="500"/>
              <w:spacing w:after="0" w:line="183" w:lineRule="exact"/>
              <w:rPr>
                <w:sz w:val="20"/>
                <w:szCs w:val="20"/>
                <w:color w:val="auto"/>
              </w:rPr>
            </w:pPr>
            <w:r>
              <w:rPr>
                <w:rFonts w:ascii="Arial" w:cs="Arial" w:eastAsia="Arial" w:hAnsi="Arial"/>
                <w:sz w:val="16"/>
                <w:szCs w:val="16"/>
                <w:color w:val="05445E"/>
              </w:rPr>
              <w:t>42</w:t>
            </w:r>
          </w:p>
        </w:tc>
        <w:tc>
          <w:tcPr>
            <w:tcW w:w="4360" w:type="dxa"/>
            <w:vAlign w:val="bottom"/>
            <w:tcBorders>
              <w:right w:val="single" w:sz="8" w:color="auto"/>
            </w:tcBorders>
            <w:shd w:val="clear" w:color="auto" w:fill="DBDBDB"/>
          </w:tcPr>
          <w:p>
            <w:pPr>
              <w:spacing w:after="0" w:line="183" w:lineRule="exact"/>
              <w:rPr>
                <w:sz w:val="20"/>
                <w:szCs w:val="20"/>
                <w:color w:val="auto"/>
              </w:rPr>
            </w:pPr>
            <w:r>
              <w:rPr>
                <w:rFonts w:ascii="Arial" w:cs="Arial" w:eastAsia="Arial" w:hAnsi="Arial"/>
                <w:sz w:val="16"/>
                <w:szCs w:val="16"/>
                <w:color w:val="auto"/>
              </w:rPr>
              <w:t>We do not provide tax reimbursement or tax “gross-ups” on</w:t>
            </w:r>
          </w:p>
        </w:tc>
        <w:tc>
          <w:tcPr>
            <w:tcW w:w="660" w:type="dxa"/>
            <w:vAlign w:val="bottom"/>
            <w:gridSpan w:val="2"/>
            <w:shd w:val="clear" w:color="auto" w:fill="DBDBDB"/>
          </w:tcPr>
          <w:p>
            <w:pPr>
              <w:jc w:val="center"/>
              <w:ind w:left="399"/>
              <w:spacing w:after="0" w:line="183" w:lineRule="exact"/>
              <w:rPr>
                <w:sz w:val="20"/>
                <w:szCs w:val="20"/>
                <w:color w:val="auto"/>
              </w:rPr>
            </w:pPr>
            <w:r>
              <w:rPr>
                <w:rFonts w:ascii="Arial" w:cs="Arial" w:eastAsia="Arial" w:hAnsi="Arial"/>
                <w:sz w:val="16"/>
                <w:szCs w:val="16"/>
                <w:color w:val="05445E"/>
              </w:rPr>
              <w:t>50</w:t>
            </w:r>
          </w:p>
        </w:tc>
        <w:tc>
          <w:tcPr>
            <w:tcW w:w="520" w:type="dxa"/>
            <w:vAlign w:val="bottom"/>
            <w:tcBorders>
              <w:right w:val="single" w:sz="8" w:color="494949"/>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400" w:type="dxa"/>
            <w:vAlign w:val="bottom"/>
            <w:tcBorders>
              <w:top w:val="single" w:sz="8" w:color="DBDBDB"/>
              <w:left w:val="single" w:sz="8" w:color="auto"/>
              <w:bottom w:val="single" w:sz="8" w:color="DBDBDB"/>
              <w:righ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overhang and burn rates.</w:t>
            </w:r>
          </w:p>
        </w:tc>
        <w:tc>
          <w:tcPr>
            <w:tcW w:w="460" w:type="dxa"/>
            <w:vAlign w:val="bottom"/>
            <w:tcBorders>
              <w:top w:val="single" w:sz="8" w:color="DBDBDB"/>
              <w:bottom w:val="single" w:sz="8" w:color="DBDBDB"/>
            </w:tcBorders>
            <w:shd w:val="clear" w:color="auto" w:fill="DBDBDB"/>
          </w:tcPr>
          <w:p>
            <w:pPr>
              <w:spacing w:after="0"/>
              <w:rPr>
                <w:sz w:val="20"/>
                <w:szCs w:val="20"/>
                <w:color w:val="auto"/>
              </w:rPr>
            </w:pPr>
          </w:p>
        </w:tc>
        <w:tc>
          <w:tcPr>
            <w:tcW w:w="180" w:type="dxa"/>
            <w:vAlign w:val="bottom"/>
            <w:tcBorders>
              <w:top w:val="single" w:sz="8" w:color="05445E"/>
              <w:bottom w:val="single" w:sz="8" w:color="DBDBDB"/>
            </w:tcBorders>
            <w:shd w:val="clear" w:color="auto" w:fill="DBDBDB"/>
          </w:tcPr>
          <w:p>
            <w:pPr>
              <w:spacing w:after="0"/>
              <w:rPr>
                <w:sz w:val="20"/>
                <w:szCs w:val="20"/>
                <w:color w:val="auto"/>
              </w:rPr>
            </w:pPr>
          </w:p>
        </w:tc>
        <w:tc>
          <w:tcPr>
            <w:tcW w:w="500" w:type="dxa"/>
            <w:vAlign w:val="bottom"/>
            <w:tcBorders>
              <w:top w:val="single" w:sz="8" w:color="DBDBDB"/>
              <w:bottom w:val="single" w:sz="8" w:color="DBDBDB"/>
              <w:right w:val="single" w:sz="8" w:color="494949"/>
            </w:tcBorders>
            <w:shd w:val="clear" w:color="auto" w:fill="DBDBDB"/>
          </w:tcPr>
          <w:p>
            <w:pPr>
              <w:spacing w:after="0"/>
              <w:rPr>
                <w:sz w:val="20"/>
                <w:szCs w:val="20"/>
                <w:color w:val="auto"/>
              </w:rPr>
            </w:pPr>
          </w:p>
        </w:tc>
        <w:tc>
          <w:tcPr>
            <w:tcW w:w="4360" w:type="dxa"/>
            <w:vAlign w:val="bottom"/>
            <w:tcBorders>
              <w:top w:val="single" w:sz="8" w:color="DBDBDB"/>
              <w:bottom w:val="single" w:sz="8" w:color="DBDBDB"/>
              <w:right w:val="single" w:sz="8" w:color="auto"/>
            </w:tcBorders>
            <w:shd w:val="clear" w:color="auto" w:fill="DBDBDB"/>
          </w:tcPr>
          <w:p>
            <w:pPr>
              <w:spacing w:after="0"/>
              <w:rPr>
                <w:sz w:val="20"/>
                <w:szCs w:val="20"/>
                <w:color w:val="auto"/>
              </w:rPr>
            </w:pPr>
            <w:r>
              <w:rPr>
                <w:rFonts w:ascii="Arial" w:cs="Arial" w:eastAsia="Arial" w:hAnsi="Arial"/>
                <w:sz w:val="16"/>
                <w:szCs w:val="16"/>
                <w:color w:val="auto"/>
              </w:rPr>
              <w:t>any perquisites.</w:t>
            </w:r>
          </w:p>
        </w:tc>
        <w:tc>
          <w:tcPr>
            <w:tcW w:w="480" w:type="dxa"/>
            <w:vAlign w:val="bottom"/>
            <w:tcBorders>
              <w:top w:val="single" w:sz="8" w:color="DBDBDB"/>
              <w:bottom w:val="single" w:sz="8" w:color="DBDBDB"/>
            </w:tcBorders>
            <w:shd w:val="clear" w:color="auto" w:fill="DBDBDB"/>
          </w:tcPr>
          <w:p>
            <w:pPr>
              <w:spacing w:after="0"/>
              <w:rPr>
                <w:sz w:val="20"/>
                <w:szCs w:val="20"/>
                <w:color w:val="auto"/>
              </w:rPr>
            </w:pPr>
          </w:p>
        </w:tc>
        <w:tc>
          <w:tcPr>
            <w:tcW w:w="180" w:type="dxa"/>
            <w:vAlign w:val="bottom"/>
            <w:tcBorders>
              <w:top w:val="single" w:sz="8" w:color="05445E"/>
              <w:bottom w:val="single" w:sz="8" w:color="DBDBDB"/>
            </w:tcBorders>
            <w:shd w:val="clear" w:color="auto" w:fill="DBDBDB"/>
          </w:tcPr>
          <w:p>
            <w:pPr>
              <w:spacing w:after="0"/>
              <w:rPr>
                <w:sz w:val="20"/>
                <w:szCs w:val="20"/>
                <w:color w:val="auto"/>
              </w:rPr>
            </w:pPr>
          </w:p>
        </w:tc>
        <w:tc>
          <w:tcPr>
            <w:tcW w:w="520" w:type="dxa"/>
            <w:vAlign w:val="bottom"/>
            <w:tcBorders>
              <w:top w:val="single" w:sz="8" w:color="DBDBDB"/>
              <w:bottom w:val="single" w:sz="8" w:color="DBDBDB"/>
              <w:right w:val="single" w:sz="8" w:color="494949"/>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400" w:type="dxa"/>
            <w:vAlign w:val="bottom"/>
            <w:tcBorders>
              <w:top w:val="single" w:sz="8" w:color="auto"/>
              <w:left w:val="single" w:sz="8" w:color="auto"/>
              <w:right w:val="single" w:sz="8" w:color="auto"/>
            </w:tcBorders>
          </w:tcPr>
          <w:p>
            <w:pPr>
              <w:ind w:left="40"/>
              <w:spacing w:after="0" w:line="183" w:lineRule="exact"/>
              <w:rPr>
                <w:sz w:val="20"/>
                <w:szCs w:val="20"/>
                <w:color w:val="auto"/>
              </w:rPr>
            </w:pPr>
            <w:r>
              <w:rPr>
                <w:rFonts w:ascii="Arial" w:cs="Arial" w:eastAsia="Arial" w:hAnsi="Arial"/>
                <w:sz w:val="16"/>
                <w:szCs w:val="16"/>
                <w:color w:val="auto"/>
              </w:rPr>
              <w:t>We have adopted share ownership guidelines, and we</w:t>
            </w:r>
          </w:p>
        </w:tc>
        <w:tc>
          <w:tcPr>
            <w:tcW w:w="1140" w:type="dxa"/>
            <w:vAlign w:val="bottom"/>
            <w:tcBorders>
              <w:top w:val="single" w:sz="8" w:color="494949"/>
              <w:right w:val="single" w:sz="8" w:color="494949"/>
            </w:tcBorders>
            <w:gridSpan w:val="3"/>
          </w:tcPr>
          <w:p>
            <w:pPr>
              <w:jc w:val="right"/>
              <w:ind w:right="500"/>
              <w:spacing w:after="0" w:line="183" w:lineRule="exact"/>
              <w:rPr>
                <w:sz w:val="20"/>
                <w:szCs w:val="20"/>
                <w:color w:val="auto"/>
              </w:rPr>
            </w:pPr>
            <w:r>
              <w:rPr>
                <w:rFonts w:ascii="Arial" w:cs="Arial" w:eastAsia="Arial" w:hAnsi="Arial"/>
                <w:sz w:val="16"/>
                <w:szCs w:val="16"/>
                <w:color w:val="05445E"/>
              </w:rPr>
              <w:t>51</w:t>
            </w:r>
          </w:p>
        </w:tc>
        <w:tc>
          <w:tcPr>
            <w:tcW w:w="4360" w:type="dxa"/>
            <w:vAlign w:val="bottom"/>
            <w:tcBorders>
              <w:top w:val="single" w:sz="8" w:color="auto"/>
              <w:right w:val="single" w:sz="8" w:color="auto"/>
            </w:tcBorders>
          </w:tcPr>
          <w:p>
            <w:pPr>
              <w:spacing w:after="0" w:line="183" w:lineRule="exact"/>
              <w:rPr>
                <w:sz w:val="20"/>
                <w:szCs w:val="20"/>
                <w:color w:val="auto"/>
              </w:rPr>
            </w:pPr>
            <w:r>
              <w:rPr>
                <w:rFonts w:ascii="Arial" w:cs="Arial" w:eastAsia="Arial" w:hAnsi="Arial"/>
                <w:sz w:val="16"/>
                <w:szCs w:val="16"/>
                <w:color w:val="auto"/>
              </w:rPr>
              <w:t>We do not allow hedging of company shares, as we have</w:t>
            </w:r>
          </w:p>
        </w:tc>
        <w:tc>
          <w:tcPr>
            <w:tcW w:w="660" w:type="dxa"/>
            <w:vAlign w:val="bottom"/>
            <w:tcBorders>
              <w:top w:val="single" w:sz="8" w:color="494949"/>
            </w:tcBorders>
            <w:gridSpan w:val="2"/>
          </w:tcPr>
          <w:p>
            <w:pPr>
              <w:jc w:val="center"/>
              <w:ind w:left="399"/>
              <w:spacing w:after="0" w:line="183" w:lineRule="exact"/>
              <w:rPr>
                <w:sz w:val="20"/>
                <w:szCs w:val="20"/>
                <w:color w:val="auto"/>
              </w:rPr>
            </w:pPr>
            <w:r>
              <w:rPr>
                <w:rFonts w:ascii="Arial" w:cs="Arial" w:eastAsia="Arial" w:hAnsi="Arial"/>
                <w:sz w:val="16"/>
                <w:szCs w:val="16"/>
                <w:color w:val="05445E"/>
              </w:rPr>
              <w:t>51</w:t>
            </w:r>
          </w:p>
        </w:tc>
        <w:tc>
          <w:tcPr>
            <w:tcW w:w="520" w:type="dxa"/>
            <w:vAlign w:val="bottom"/>
            <w:tcBorders>
              <w:top w:val="single" w:sz="8" w:color="494949"/>
              <w:right w:val="single" w:sz="8" w:color="494949"/>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review compliance annually.</w:t>
            </w:r>
          </w:p>
        </w:tc>
        <w:tc>
          <w:tcPr>
            <w:tcW w:w="460" w:type="dxa"/>
            <w:vAlign w:val="bottom"/>
          </w:tcPr>
          <w:p>
            <w:pPr>
              <w:spacing w:after="0"/>
              <w:rPr>
                <w:sz w:val="16"/>
                <w:szCs w:val="16"/>
                <w:color w:val="auto"/>
              </w:rPr>
            </w:pPr>
          </w:p>
        </w:tc>
        <w:tc>
          <w:tcPr>
            <w:tcW w:w="180" w:type="dxa"/>
            <w:vAlign w:val="bottom"/>
            <w:tcBorders>
              <w:top w:val="single" w:sz="8" w:color="05445E"/>
            </w:tcBorders>
          </w:tcPr>
          <w:p>
            <w:pPr>
              <w:spacing w:after="0"/>
              <w:rPr>
                <w:sz w:val="16"/>
                <w:szCs w:val="16"/>
                <w:color w:val="auto"/>
              </w:rPr>
            </w:pPr>
          </w:p>
        </w:tc>
        <w:tc>
          <w:tcPr>
            <w:tcW w:w="500" w:type="dxa"/>
            <w:vAlign w:val="bottom"/>
            <w:tcBorders>
              <w:right w:val="single" w:sz="8" w:color="494949"/>
            </w:tcBorders>
          </w:tcPr>
          <w:p>
            <w:pPr>
              <w:spacing w:after="0"/>
              <w:rPr>
                <w:sz w:val="16"/>
                <w:szCs w:val="16"/>
                <w:color w:val="auto"/>
              </w:rPr>
            </w:pPr>
          </w:p>
        </w:tc>
        <w:tc>
          <w:tcPr>
            <w:tcW w:w="4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an anti-hedging policy that prohibits all employees and</w:t>
            </w:r>
          </w:p>
        </w:tc>
        <w:tc>
          <w:tcPr>
            <w:tcW w:w="480" w:type="dxa"/>
            <w:vAlign w:val="bottom"/>
          </w:tcPr>
          <w:p>
            <w:pPr>
              <w:spacing w:after="0"/>
              <w:rPr>
                <w:sz w:val="16"/>
                <w:szCs w:val="16"/>
                <w:color w:val="auto"/>
              </w:rPr>
            </w:pPr>
          </w:p>
        </w:tc>
        <w:tc>
          <w:tcPr>
            <w:tcW w:w="180" w:type="dxa"/>
            <w:vAlign w:val="bottom"/>
            <w:tcBorders>
              <w:top w:val="single" w:sz="8" w:color="05445E"/>
            </w:tcBorders>
          </w:tcPr>
          <w:p>
            <w:pPr>
              <w:spacing w:after="0"/>
              <w:rPr>
                <w:sz w:val="16"/>
                <w:szCs w:val="16"/>
                <w:color w:val="auto"/>
              </w:rPr>
            </w:pPr>
          </w:p>
        </w:tc>
        <w:tc>
          <w:tcPr>
            <w:tcW w:w="520" w:type="dxa"/>
            <w:vAlign w:val="bottom"/>
            <w:tcBorders>
              <w:right w:val="single" w:sz="8" w:color="494949"/>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Borders>
              <w:left w:val="single" w:sz="8" w:color="auto"/>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494949"/>
            </w:tcBorders>
          </w:tcPr>
          <w:p>
            <w:pPr>
              <w:spacing w:after="0"/>
              <w:rPr>
                <w:sz w:val="16"/>
                <w:szCs w:val="16"/>
                <w:color w:val="auto"/>
              </w:rPr>
            </w:pPr>
          </w:p>
        </w:tc>
        <w:tc>
          <w:tcPr>
            <w:tcW w:w="4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directors from engaging in hedging transactions in our</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right w:val="single" w:sz="8" w:color="494949"/>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tcBorders>
              <w:left w:val="single" w:sz="8" w:color="auto"/>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right w:val="single" w:sz="8" w:color="494949"/>
            </w:tcBorders>
          </w:tcPr>
          <w:p>
            <w:pPr>
              <w:spacing w:after="0"/>
              <w:rPr>
                <w:sz w:val="17"/>
                <w:szCs w:val="17"/>
                <w:color w:val="auto"/>
              </w:rPr>
            </w:pPr>
          </w:p>
        </w:tc>
        <w:tc>
          <w:tcPr>
            <w:tcW w:w="4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Company’s securities, and an anti-pledging policy that</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Borders>
              <w:right w:val="single" w:sz="8" w:color="494949"/>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0" w:type="dxa"/>
            <w:vAlign w:val="bottom"/>
            <w:tcBorders>
              <w:left w:val="single" w:sz="8" w:color="auto"/>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494949"/>
            </w:tcBorders>
          </w:tcPr>
          <w:p>
            <w:pPr>
              <w:spacing w:after="0"/>
              <w:rPr>
                <w:sz w:val="16"/>
                <w:szCs w:val="16"/>
                <w:color w:val="auto"/>
              </w:rPr>
            </w:pPr>
          </w:p>
        </w:tc>
        <w:tc>
          <w:tcPr>
            <w:tcW w:w="4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prohibits executive officers and directors from pledging our</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right w:val="single" w:sz="8" w:color="494949"/>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0" w:type="dxa"/>
            <w:vAlign w:val="bottom"/>
            <w:tcBorders>
              <w:left w:val="single" w:sz="8" w:color="auto"/>
              <w:bottom w:val="single" w:sz="8" w:color="auto"/>
              <w:right w:val="single" w:sz="8" w:color="auto"/>
            </w:tcBorders>
          </w:tcPr>
          <w:p>
            <w:pPr>
              <w:spacing w:after="0"/>
              <w:rPr>
                <w:sz w:val="19"/>
                <w:szCs w:val="19"/>
                <w:color w:val="auto"/>
              </w:rPr>
            </w:pPr>
          </w:p>
        </w:tc>
        <w:tc>
          <w:tcPr>
            <w:tcW w:w="460" w:type="dxa"/>
            <w:vAlign w:val="bottom"/>
            <w:tcBorders>
              <w:bottom w:val="single" w:sz="8" w:color="494949"/>
            </w:tcBorders>
          </w:tcPr>
          <w:p>
            <w:pPr>
              <w:spacing w:after="0"/>
              <w:rPr>
                <w:sz w:val="19"/>
                <w:szCs w:val="19"/>
                <w:color w:val="auto"/>
              </w:rPr>
            </w:pPr>
          </w:p>
        </w:tc>
        <w:tc>
          <w:tcPr>
            <w:tcW w:w="180" w:type="dxa"/>
            <w:vAlign w:val="bottom"/>
            <w:tcBorders>
              <w:bottom w:val="single" w:sz="8" w:color="494949"/>
            </w:tcBorders>
          </w:tcPr>
          <w:p>
            <w:pPr>
              <w:spacing w:after="0"/>
              <w:rPr>
                <w:sz w:val="19"/>
                <w:szCs w:val="19"/>
                <w:color w:val="auto"/>
              </w:rPr>
            </w:pPr>
          </w:p>
        </w:tc>
        <w:tc>
          <w:tcPr>
            <w:tcW w:w="500" w:type="dxa"/>
            <w:vAlign w:val="bottom"/>
            <w:tcBorders>
              <w:bottom w:val="single" w:sz="8" w:color="494949"/>
              <w:right w:val="single" w:sz="8" w:color="494949"/>
            </w:tcBorders>
          </w:tcPr>
          <w:p>
            <w:pPr>
              <w:spacing w:after="0"/>
              <w:rPr>
                <w:sz w:val="19"/>
                <w:szCs w:val="19"/>
                <w:color w:val="auto"/>
              </w:rPr>
            </w:pPr>
          </w:p>
        </w:tc>
        <w:tc>
          <w:tcPr>
            <w:tcW w:w="4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shares as collateral for indebtedness.</w:t>
            </w:r>
          </w:p>
        </w:tc>
        <w:tc>
          <w:tcPr>
            <w:tcW w:w="480" w:type="dxa"/>
            <w:vAlign w:val="bottom"/>
            <w:tcBorders>
              <w:bottom w:val="single" w:sz="8" w:color="494949"/>
            </w:tcBorders>
          </w:tcPr>
          <w:p>
            <w:pPr>
              <w:spacing w:after="0"/>
              <w:rPr>
                <w:sz w:val="19"/>
                <w:szCs w:val="19"/>
                <w:color w:val="auto"/>
              </w:rPr>
            </w:pPr>
          </w:p>
        </w:tc>
        <w:tc>
          <w:tcPr>
            <w:tcW w:w="180" w:type="dxa"/>
            <w:vAlign w:val="bottom"/>
            <w:tcBorders>
              <w:bottom w:val="single" w:sz="8" w:color="494949"/>
            </w:tcBorders>
          </w:tcPr>
          <w:p>
            <w:pPr>
              <w:spacing w:after="0"/>
              <w:rPr>
                <w:sz w:val="19"/>
                <w:szCs w:val="19"/>
                <w:color w:val="auto"/>
              </w:rPr>
            </w:pPr>
          </w:p>
        </w:tc>
        <w:tc>
          <w:tcPr>
            <w:tcW w:w="520" w:type="dxa"/>
            <w:vAlign w:val="bottom"/>
            <w:tcBorders>
              <w:bottom w:val="single" w:sz="8" w:color="494949"/>
              <w:right w:val="single" w:sz="8" w:color="494949"/>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40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We have clawback policies that comply with Nasdaq listing</w:t>
            </w:r>
          </w:p>
        </w:tc>
        <w:tc>
          <w:tcPr>
            <w:tcW w:w="1140" w:type="dxa"/>
            <w:vAlign w:val="bottom"/>
            <w:tcBorders>
              <w:right w:val="single" w:sz="8" w:color="494949"/>
            </w:tcBorders>
            <w:gridSpan w:val="3"/>
            <w:shd w:val="clear" w:color="auto" w:fill="DBDBDB"/>
          </w:tcPr>
          <w:p>
            <w:pPr>
              <w:jc w:val="right"/>
              <w:ind w:right="500"/>
              <w:spacing w:after="0"/>
              <w:rPr>
                <w:sz w:val="20"/>
                <w:szCs w:val="20"/>
                <w:color w:val="auto"/>
              </w:rPr>
            </w:pPr>
            <w:r>
              <w:rPr>
                <w:rFonts w:ascii="Arial" w:cs="Arial" w:eastAsia="Arial" w:hAnsi="Arial"/>
                <w:sz w:val="16"/>
                <w:szCs w:val="16"/>
                <w:color w:val="05445E"/>
              </w:rPr>
              <w:t>51</w:t>
            </w:r>
          </w:p>
        </w:tc>
        <w:tc>
          <w:tcPr>
            <w:tcW w:w="436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6"/>
                <w:szCs w:val="16"/>
                <w:color w:val="auto"/>
              </w:rPr>
              <w:t>We do not believe any of our Company’s compensation</w:t>
            </w:r>
          </w:p>
        </w:tc>
        <w:tc>
          <w:tcPr>
            <w:tcW w:w="660" w:type="dxa"/>
            <w:vAlign w:val="bottom"/>
            <w:gridSpan w:val="2"/>
            <w:shd w:val="clear" w:color="auto" w:fill="DBDBDB"/>
          </w:tcPr>
          <w:p>
            <w:pPr>
              <w:jc w:val="center"/>
              <w:ind w:left="399"/>
              <w:spacing w:after="0"/>
              <w:rPr>
                <w:sz w:val="20"/>
                <w:szCs w:val="20"/>
                <w:color w:val="auto"/>
              </w:rPr>
            </w:pPr>
            <w:r>
              <w:rPr>
                <w:rFonts w:ascii="Arial" w:cs="Arial" w:eastAsia="Arial" w:hAnsi="Arial"/>
                <w:sz w:val="16"/>
                <w:szCs w:val="16"/>
                <w:color w:val="05445E"/>
              </w:rPr>
              <w:t>52</w:t>
            </w:r>
          </w:p>
        </w:tc>
        <w:tc>
          <w:tcPr>
            <w:tcW w:w="520" w:type="dxa"/>
            <w:vAlign w:val="bottom"/>
            <w:tcBorders>
              <w:right w:val="single" w:sz="8" w:color="494949"/>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0" w:type="dxa"/>
            <w:vAlign w:val="bottom"/>
            <w:tcBorders>
              <w:top w:val="single" w:sz="8" w:color="DBDBDB"/>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standards and go beyond that to cover a broader population</w:t>
            </w:r>
          </w:p>
        </w:tc>
        <w:tc>
          <w:tcPr>
            <w:tcW w:w="460" w:type="dxa"/>
            <w:vAlign w:val="bottom"/>
            <w:tcBorders>
              <w:top w:val="single" w:sz="8" w:color="DBDBDB"/>
            </w:tcBorders>
            <w:shd w:val="clear" w:color="auto" w:fill="DBDBDB"/>
          </w:tcPr>
          <w:p>
            <w:pPr>
              <w:spacing w:after="0"/>
              <w:rPr>
                <w:sz w:val="16"/>
                <w:szCs w:val="16"/>
                <w:color w:val="auto"/>
              </w:rPr>
            </w:pPr>
          </w:p>
        </w:tc>
        <w:tc>
          <w:tcPr>
            <w:tcW w:w="180" w:type="dxa"/>
            <w:vAlign w:val="bottom"/>
            <w:tcBorders>
              <w:top w:val="single" w:sz="8" w:color="05445E"/>
            </w:tcBorders>
            <w:shd w:val="clear" w:color="auto" w:fill="DBDBDB"/>
          </w:tcPr>
          <w:p>
            <w:pPr>
              <w:spacing w:after="0"/>
              <w:rPr>
                <w:sz w:val="16"/>
                <w:szCs w:val="16"/>
                <w:color w:val="auto"/>
              </w:rPr>
            </w:pPr>
          </w:p>
        </w:tc>
        <w:tc>
          <w:tcPr>
            <w:tcW w:w="500" w:type="dxa"/>
            <w:vAlign w:val="bottom"/>
            <w:tcBorders>
              <w:top w:val="single" w:sz="8" w:color="DBDBDB"/>
              <w:right w:val="single" w:sz="8" w:color="494949"/>
            </w:tcBorders>
            <w:shd w:val="clear" w:color="auto" w:fill="DBDBDB"/>
          </w:tcPr>
          <w:p>
            <w:pPr>
              <w:spacing w:after="0"/>
              <w:rPr>
                <w:sz w:val="16"/>
                <w:szCs w:val="16"/>
                <w:color w:val="auto"/>
              </w:rPr>
            </w:pPr>
          </w:p>
        </w:tc>
        <w:tc>
          <w:tcPr>
            <w:tcW w:w="4360" w:type="dxa"/>
            <w:vAlign w:val="bottom"/>
            <w:tcBorders>
              <w:top w:val="single" w:sz="8" w:color="DBDBDB"/>
              <w:right w:val="single" w:sz="8" w:color="auto"/>
            </w:tcBorders>
            <w:shd w:val="clear" w:color="auto" w:fill="DBDBDB"/>
          </w:tcPr>
          <w:p>
            <w:pPr>
              <w:spacing w:after="0"/>
              <w:rPr>
                <w:sz w:val="20"/>
                <w:szCs w:val="20"/>
                <w:color w:val="auto"/>
              </w:rPr>
            </w:pPr>
            <w:r>
              <w:rPr>
                <w:rFonts w:ascii="Arial" w:cs="Arial" w:eastAsia="Arial" w:hAnsi="Arial"/>
                <w:sz w:val="16"/>
                <w:szCs w:val="16"/>
                <w:color w:val="auto"/>
              </w:rPr>
              <w:t>programs create risks that are reasonably likely to have a</w:t>
            </w:r>
          </w:p>
        </w:tc>
        <w:tc>
          <w:tcPr>
            <w:tcW w:w="480" w:type="dxa"/>
            <w:vAlign w:val="bottom"/>
            <w:tcBorders>
              <w:top w:val="single" w:sz="8" w:color="DBDBDB"/>
            </w:tcBorders>
            <w:shd w:val="clear" w:color="auto" w:fill="DBDBDB"/>
          </w:tcPr>
          <w:p>
            <w:pPr>
              <w:spacing w:after="0"/>
              <w:rPr>
                <w:sz w:val="16"/>
                <w:szCs w:val="16"/>
                <w:color w:val="auto"/>
              </w:rPr>
            </w:pPr>
          </w:p>
        </w:tc>
        <w:tc>
          <w:tcPr>
            <w:tcW w:w="180" w:type="dxa"/>
            <w:vAlign w:val="bottom"/>
            <w:tcBorders>
              <w:top w:val="single" w:sz="8" w:color="05445E"/>
            </w:tcBorders>
            <w:shd w:val="clear" w:color="auto" w:fill="DBDBDB"/>
          </w:tcPr>
          <w:p>
            <w:pPr>
              <w:spacing w:after="0"/>
              <w:rPr>
                <w:sz w:val="16"/>
                <w:szCs w:val="16"/>
                <w:color w:val="auto"/>
              </w:rPr>
            </w:pPr>
          </w:p>
        </w:tc>
        <w:tc>
          <w:tcPr>
            <w:tcW w:w="520" w:type="dxa"/>
            <w:vAlign w:val="bottom"/>
            <w:tcBorders>
              <w:top w:val="single" w:sz="8" w:color="DBDBDB"/>
              <w:right w:val="single" w:sz="8" w:color="494949"/>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of participants in our executive compensation program.</w:t>
            </w:r>
          </w:p>
        </w:tc>
        <w:tc>
          <w:tcPr>
            <w:tcW w:w="460" w:type="dxa"/>
            <w:vAlign w:val="bottom"/>
            <w:tcBorders>
              <w:bottom w:val="single" w:sz="8" w:color="494949"/>
            </w:tcBorders>
            <w:shd w:val="clear" w:color="auto" w:fill="DBDBDB"/>
          </w:tcPr>
          <w:p>
            <w:pPr>
              <w:spacing w:after="0"/>
              <w:rPr>
                <w:sz w:val="19"/>
                <w:szCs w:val="19"/>
                <w:color w:val="auto"/>
              </w:rPr>
            </w:pPr>
          </w:p>
        </w:tc>
        <w:tc>
          <w:tcPr>
            <w:tcW w:w="180" w:type="dxa"/>
            <w:vAlign w:val="bottom"/>
            <w:tcBorders>
              <w:bottom w:val="single" w:sz="8" w:color="494949"/>
            </w:tcBorders>
            <w:shd w:val="clear" w:color="auto" w:fill="DBDBDB"/>
          </w:tcPr>
          <w:p>
            <w:pPr>
              <w:spacing w:after="0"/>
              <w:rPr>
                <w:sz w:val="19"/>
                <w:szCs w:val="19"/>
                <w:color w:val="auto"/>
              </w:rPr>
            </w:pPr>
          </w:p>
        </w:tc>
        <w:tc>
          <w:tcPr>
            <w:tcW w:w="500" w:type="dxa"/>
            <w:vAlign w:val="bottom"/>
            <w:tcBorders>
              <w:bottom w:val="single" w:sz="8" w:color="494949"/>
              <w:right w:val="single" w:sz="8" w:color="494949"/>
            </w:tcBorders>
            <w:shd w:val="clear" w:color="auto" w:fill="DBDBDB"/>
          </w:tcPr>
          <w:p>
            <w:pPr>
              <w:spacing w:after="0"/>
              <w:rPr>
                <w:sz w:val="19"/>
                <w:szCs w:val="19"/>
                <w:color w:val="auto"/>
              </w:rPr>
            </w:pPr>
          </w:p>
        </w:tc>
        <w:tc>
          <w:tcPr>
            <w:tcW w:w="4360" w:type="dxa"/>
            <w:vAlign w:val="bottom"/>
            <w:tcBorders>
              <w:bottom w:val="single" w:sz="8" w:color="auto"/>
              <w:right w:val="single" w:sz="8" w:color="auto"/>
            </w:tcBorders>
            <w:shd w:val="clear" w:color="auto" w:fill="DBDBDB"/>
          </w:tcPr>
          <w:p>
            <w:pPr>
              <w:spacing w:after="0"/>
              <w:rPr>
                <w:sz w:val="20"/>
                <w:szCs w:val="20"/>
                <w:color w:val="auto"/>
              </w:rPr>
            </w:pPr>
            <w:r>
              <w:rPr>
                <w:rFonts w:ascii="Arial" w:cs="Arial" w:eastAsia="Arial" w:hAnsi="Arial"/>
                <w:sz w:val="16"/>
                <w:szCs w:val="16"/>
                <w:color w:val="auto"/>
              </w:rPr>
              <w:t>material adverse effect on our Company.</w:t>
            </w:r>
          </w:p>
        </w:tc>
        <w:tc>
          <w:tcPr>
            <w:tcW w:w="480" w:type="dxa"/>
            <w:vAlign w:val="bottom"/>
            <w:tcBorders>
              <w:bottom w:val="single" w:sz="8" w:color="494949"/>
            </w:tcBorders>
            <w:shd w:val="clear" w:color="auto" w:fill="DBDBDB"/>
          </w:tcPr>
          <w:p>
            <w:pPr>
              <w:spacing w:after="0"/>
              <w:rPr>
                <w:sz w:val="19"/>
                <w:szCs w:val="19"/>
                <w:color w:val="auto"/>
              </w:rPr>
            </w:pPr>
          </w:p>
        </w:tc>
        <w:tc>
          <w:tcPr>
            <w:tcW w:w="180" w:type="dxa"/>
            <w:vAlign w:val="bottom"/>
            <w:tcBorders>
              <w:bottom w:val="single" w:sz="8" w:color="494949"/>
            </w:tcBorders>
            <w:shd w:val="clear" w:color="auto" w:fill="DBDBDB"/>
          </w:tcPr>
          <w:p>
            <w:pPr>
              <w:spacing w:after="0"/>
              <w:rPr>
                <w:sz w:val="19"/>
                <w:szCs w:val="19"/>
                <w:color w:val="auto"/>
              </w:rPr>
            </w:pPr>
          </w:p>
        </w:tc>
        <w:tc>
          <w:tcPr>
            <w:tcW w:w="520" w:type="dxa"/>
            <w:vAlign w:val="bottom"/>
            <w:tcBorders>
              <w:bottom w:val="single" w:sz="8" w:color="494949"/>
              <w:right w:val="single" w:sz="8" w:color="494949"/>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 mitigate undue compensation risk by utilizing caps on</w:t>
            </w:r>
          </w:p>
        </w:tc>
        <w:tc>
          <w:tcPr>
            <w:tcW w:w="1140" w:type="dxa"/>
            <w:vAlign w:val="bottom"/>
            <w:tcBorders>
              <w:right w:val="single" w:sz="8" w:color="494949"/>
            </w:tcBorders>
            <w:gridSpan w:val="3"/>
          </w:tcPr>
          <w:p>
            <w:pPr>
              <w:jc w:val="right"/>
              <w:ind w:right="500"/>
              <w:spacing w:after="0"/>
              <w:rPr>
                <w:sz w:val="20"/>
                <w:szCs w:val="20"/>
                <w:color w:val="auto"/>
              </w:rPr>
            </w:pPr>
            <w:r>
              <w:rPr>
                <w:rFonts w:ascii="Arial" w:cs="Arial" w:eastAsia="Arial" w:hAnsi="Arial"/>
                <w:sz w:val="16"/>
                <w:szCs w:val="16"/>
                <w:color w:val="05445E"/>
              </w:rPr>
              <w:t>52</w:t>
            </w:r>
          </w:p>
        </w:tc>
        <w:tc>
          <w:tcPr>
            <w:tcW w:w="4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 do not provide for excise tax “gross-ups” or “single</w:t>
            </w:r>
          </w:p>
        </w:tc>
        <w:tc>
          <w:tcPr>
            <w:tcW w:w="660" w:type="dxa"/>
            <w:vAlign w:val="bottom"/>
            <w:gridSpan w:val="2"/>
          </w:tcPr>
          <w:p>
            <w:pPr>
              <w:jc w:val="center"/>
              <w:ind w:left="399"/>
              <w:spacing w:after="0"/>
              <w:rPr>
                <w:sz w:val="20"/>
                <w:szCs w:val="20"/>
                <w:color w:val="auto"/>
              </w:rPr>
            </w:pPr>
            <w:r>
              <w:rPr>
                <w:rFonts w:ascii="Arial" w:cs="Arial" w:eastAsia="Arial" w:hAnsi="Arial"/>
                <w:sz w:val="16"/>
                <w:szCs w:val="16"/>
                <w:color w:val="05445E"/>
              </w:rPr>
              <w:t>61</w:t>
            </w:r>
          </w:p>
        </w:tc>
        <w:tc>
          <w:tcPr>
            <w:tcW w:w="520" w:type="dxa"/>
            <w:vAlign w:val="bottom"/>
            <w:tcBorders>
              <w:right w:val="single" w:sz="8" w:color="494949"/>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potential payments, multiple financial performance metrics,</w:t>
            </w:r>
          </w:p>
        </w:tc>
        <w:tc>
          <w:tcPr>
            <w:tcW w:w="460" w:type="dxa"/>
            <w:vAlign w:val="bottom"/>
          </w:tcPr>
          <w:p>
            <w:pPr>
              <w:spacing w:after="0"/>
              <w:rPr>
                <w:sz w:val="16"/>
                <w:szCs w:val="16"/>
                <w:color w:val="auto"/>
              </w:rPr>
            </w:pPr>
          </w:p>
        </w:tc>
        <w:tc>
          <w:tcPr>
            <w:tcW w:w="180" w:type="dxa"/>
            <w:vAlign w:val="bottom"/>
            <w:tcBorders>
              <w:top w:val="single" w:sz="8" w:color="05445E"/>
            </w:tcBorders>
          </w:tcPr>
          <w:p>
            <w:pPr>
              <w:spacing w:after="0"/>
              <w:rPr>
                <w:sz w:val="16"/>
                <w:szCs w:val="16"/>
                <w:color w:val="auto"/>
              </w:rPr>
            </w:pPr>
          </w:p>
        </w:tc>
        <w:tc>
          <w:tcPr>
            <w:tcW w:w="500" w:type="dxa"/>
            <w:vAlign w:val="bottom"/>
            <w:tcBorders>
              <w:right w:val="single" w:sz="8" w:color="494949"/>
            </w:tcBorders>
          </w:tcPr>
          <w:p>
            <w:pPr>
              <w:spacing w:after="0"/>
              <w:rPr>
                <w:sz w:val="16"/>
                <w:szCs w:val="16"/>
                <w:color w:val="auto"/>
              </w:rPr>
            </w:pPr>
          </w:p>
        </w:tc>
        <w:tc>
          <w:tcPr>
            <w:tcW w:w="43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triggers” in our change-in-control severance agreements.</w:t>
            </w:r>
          </w:p>
        </w:tc>
        <w:tc>
          <w:tcPr>
            <w:tcW w:w="480" w:type="dxa"/>
            <w:vAlign w:val="bottom"/>
          </w:tcPr>
          <w:p>
            <w:pPr>
              <w:spacing w:after="0"/>
              <w:rPr>
                <w:sz w:val="16"/>
                <w:szCs w:val="16"/>
                <w:color w:val="auto"/>
              </w:rPr>
            </w:pPr>
          </w:p>
        </w:tc>
        <w:tc>
          <w:tcPr>
            <w:tcW w:w="180" w:type="dxa"/>
            <w:vAlign w:val="bottom"/>
            <w:tcBorders>
              <w:top w:val="single" w:sz="8" w:color="05445E"/>
            </w:tcBorders>
          </w:tcPr>
          <w:p>
            <w:pPr>
              <w:spacing w:after="0"/>
              <w:rPr>
                <w:sz w:val="16"/>
                <w:szCs w:val="16"/>
                <w:color w:val="auto"/>
              </w:rPr>
            </w:pPr>
          </w:p>
        </w:tc>
        <w:tc>
          <w:tcPr>
            <w:tcW w:w="520" w:type="dxa"/>
            <w:vAlign w:val="bottom"/>
            <w:tcBorders>
              <w:right w:val="single" w:sz="8" w:color="494949"/>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and different metrics for our annual cash incentives and</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494949"/>
            </w:tcBorders>
          </w:tcPr>
          <w:p>
            <w:pPr>
              <w:spacing w:after="0"/>
              <w:rPr>
                <w:sz w:val="16"/>
                <w:szCs w:val="16"/>
                <w:color w:val="auto"/>
              </w:rPr>
            </w:pPr>
          </w:p>
        </w:tc>
        <w:tc>
          <w:tcPr>
            <w:tcW w:w="43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right w:val="single" w:sz="8" w:color="494949"/>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long-term performance awards, as well as having robust</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right w:val="single" w:sz="8" w:color="494949"/>
            </w:tcBorders>
          </w:tcPr>
          <w:p>
            <w:pPr>
              <w:spacing w:after="0"/>
              <w:rPr>
                <w:sz w:val="17"/>
                <w:szCs w:val="17"/>
                <w:color w:val="auto"/>
              </w:rPr>
            </w:pPr>
          </w:p>
        </w:tc>
        <w:tc>
          <w:tcPr>
            <w:tcW w:w="436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Borders>
              <w:right w:val="single" w:sz="8" w:color="494949"/>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Board and Board Committee processes to identify and</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right w:val="single" w:sz="8" w:color="494949"/>
            </w:tcBorders>
          </w:tcPr>
          <w:p>
            <w:pPr>
              <w:spacing w:after="0"/>
              <w:rPr>
                <w:sz w:val="16"/>
                <w:szCs w:val="16"/>
                <w:color w:val="auto"/>
              </w:rPr>
            </w:pPr>
          </w:p>
        </w:tc>
        <w:tc>
          <w:tcPr>
            <w:tcW w:w="43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right w:val="single" w:sz="8" w:color="494949"/>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manage risk.</w:t>
            </w:r>
          </w:p>
        </w:tc>
        <w:tc>
          <w:tcPr>
            <w:tcW w:w="460" w:type="dxa"/>
            <w:vAlign w:val="bottom"/>
            <w:tcBorders>
              <w:bottom w:val="single" w:sz="8" w:color="494949"/>
            </w:tcBorders>
          </w:tcPr>
          <w:p>
            <w:pPr>
              <w:spacing w:after="0"/>
              <w:rPr>
                <w:sz w:val="19"/>
                <w:szCs w:val="19"/>
                <w:color w:val="auto"/>
              </w:rPr>
            </w:pPr>
          </w:p>
        </w:tc>
        <w:tc>
          <w:tcPr>
            <w:tcW w:w="180" w:type="dxa"/>
            <w:vAlign w:val="bottom"/>
            <w:tcBorders>
              <w:bottom w:val="single" w:sz="8" w:color="494949"/>
            </w:tcBorders>
          </w:tcPr>
          <w:p>
            <w:pPr>
              <w:spacing w:after="0"/>
              <w:rPr>
                <w:sz w:val="19"/>
                <w:szCs w:val="19"/>
                <w:color w:val="auto"/>
              </w:rPr>
            </w:pPr>
          </w:p>
        </w:tc>
        <w:tc>
          <w:tcPr>
            <w:tcW w:w="500" w:type="dxa"/>
            <w:vAlign w:val="bottom"/>
            <w:tcBorders>
              <w:bottom w:val="single" w:sz="8" w:color="494949"/>
              <w:right w:val="single" w:sz="8" w:color="494949"/>
            </w:tcBorders>
          </w:tcPr>
          <w:p>
            <w:pPr>
              <w:spacing w:after="0"/>
              <w:rPr>
                <w:sz w:val="19"/>
                <w:szCs w:val="19"/>
                <w:color w:val="auto"/>
              </w:rPr>
            </w:pPr>
          </w:p>
        </w:tc>
        <w:tc>
          <w:tcPr>
            <w:tcW w:w="436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494949"/>
            </w:tcBorders>
          </w:tcPr>
          <w:p>
            <w:pPr>
              <w:spacing w:after="0"/>
              <w:rPr>
                <w:sz w:val="19"/>
                <w:szCs w:val="19"/>
                <w:color w:val="auto"/>
              </w:rPr>
            </w:pPr>
          </w:p>
        </w:tc>
        <w:tc>
          <w:tcPr>
            <w:tcW w:w="180" w:type="dxa"/>
            <w:vAlign w:val="bottom"/>
            <w:tcBorders>
              <w:bottom w:val="single" w:sz="8" w:color="494949"/>
            </w:tcBorders>
          </w:tcPr>
          <w:p>
            <w:pPr>
              <w:spacing w:after="0"/>
              <w:rPr>
                <w:sz w:val="19"/>
                <w:szCs w:val="19"/>
                <w:color w:val="auto"/>
              </w:rPr>
            </w:pPr>
          </w:p>
        </w:tc>
        <w:tc>
          <w:tcPr>
            <w:tcW w:w="520" w:type="dxa"/>
            <w:vAlign w:val="bottom"/>
            <w:tcBorders>
              <w:bottom w:val="single" w:sz="8" w:color="494949"/>
              <w:right w:val="single" w:sz="8" w:color="494949"/>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40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We have change-in-control severance agreements with all</w:t>
            </w:r>
          </w:p>
        </w:tc>
        <w:tc>
          <w:tcPr>
            <w:tcW w:w="1140" w:type="dxa"/>
            <w:vAlign w:val="bottom"/>
            <w:tcBorders>
              <w:right w:val="single" w:sz="8" w:color="494949"/>
            </w:tcBorders>
            <w:gridSpan w:val="3"/>
            <w:shd w:val="clear" w:color="auto" w:fill="DBDBDB"/>
          </w:tcPr>
          <w:p>
            <w:pPr>
              <w:jc w:val="right"/>
              <w:ind w:right="500"/>
              <w:spacing w:after="0"/>
              <w:rPr>
                <w:sz w:val="20"/>
                <w:szCs w:val="20"/>
                <w:color w:val="auto"/>
              </w:rPr>
            </w:pPr>
            <w:r>
              <w:rPr>
                <w:rFonts w:ascii="Arial" w:cs="Arial" w:eastAsia="Arial" w:hAnsi="Arial"/>
                <w:sz w:val="16"/>
                <w:szCs w:val="16"/>
                <w:color w:val="05445E"/>
              </w:rPr>
              <w:t>61</w:t>
            </w:r>
          </w:p>
        </w:tc>
        <w:tc>
          <w:tcPr>
            <w:tcW w:w="436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6"/>
                <w:szCs w:val="16"/>
                <w:color w:val="auto"/>
              </w:rPr>
              <w:t>We do not reprice underwater stock options or stock</w:t>
            </w:r>
          </w:p>
        </w:tc>
        <w:tc>
          <w:tcPr>
            <w:tcW w:w="4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520" w:type="dxa"/>
            <w:vAlign w:val="bottom"/>
            <w:tcBorders>
              <w:right w:val="single" w:sz="8" w:color="494949"/>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0" w:type="dxa"/>
            <w:vAlign w:val="bottom"/>
            <w:tcBorders>
              <w:top w:val="single" w:sz="8" w:color="DBDBDB"/>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of our Named Executive Officers that provide benefits only</w:t>
            </w:r>
          </w:p>
        </w:tc>
        <w:tc>
          <w:tcPr>
            <w:tcW w:w="460" w:type="dxa"/>
            <w:vAlign w:val="bottom"/>
            <w:tcBorders>
              <w:top w:val="single" w:sz="8" w:color="DBDBDB"/>
            </w:tcBorders>
            <w:shd w:val="clear" w:color="auto" w:fill="DBDBDB"/>
          </w:tcPr>
          <w:p>
            <w:pPr>
              <w:spacing w:after="0"/>
              <w:rPr>
                <w:sz w:val="16"/>
                <w:szCs w:val="16"/>
                <w:color w:val="auto"/>
              </w:rPr>
            </w:pPr>
          </w:p>
        </w:tc>
        <w:tc>
          <w:tcPr>
            <w:tcW w:w="180" w:type="dxa"/>
            <w:vAlign w:val="bottom"/>
            <w:tcBorders>
              <w:top w:val="single" w:sz="8" w:color="05445E"/>
            </w:tcBorders>
            <w:shd w:val="clear" w:color="auto" w:fill="DBDBDB"/>
          </w:tcPr>
          <w:p>
            <w:pPr>
              <w:spacing w:after="0"/>
              <w:rPr>
                <w:sz w:val="16"/>
                <w:szCs w:val="16"/>
                <w:color w:val="auto"/>
              </w:rPr>
            </w:pPr>
          </w:p>
        </w:tc>
        <w:tc>
          <w:tcPr>
            <w:tcW w:w="500" w:type="dxa"/>
            <w:vAlign w:val="bottom"/>
            <w:tcBorders>
              <w:top w:val="single" w:sz="8" w:color="DBDBDB"/>
              <w:right w:val="single" w:sz="8" w:color="494949"/>
            </w:tcBorders>
            <w:shd w:val="clear" w:color="auto" w:fill="DBDBDB"/>
          </w:tcPr>
          <w:p>
            <w:pPr>
              <w:spacing w:after="0"/>
              <w:rPr>
                <w:sz w:val="16"/>
                <w:szCs w:val="16"/>
                <w:color w:val="auto"/>
              </w:rPr>
            </w:pPr>
          </w:p>
        </w:tc>
        <w:tc>
          <w:tcPr>
            <w:tcW w:w="4360" w:type="dxa"/>
            <w:vAlign w:val="bottom"/>
            <w:tcBorders>
              <w:top w:val="single" w:sz="8" w:color="DBDBDB"/>
              <w:right w:val="single" w:sz="8" w:color="auto"/>
            </w:tcBorders>
            <w:shd w:val="clear" w:color="auto" w:fill="DBDBDB"/>
          </w:tcPr>
          <w:p>
            <w:pPr>
              <w:spacing w:after="0"/>
              <w:rPr>
                <w:sz w:val="20"/>
                <w:szCs w:val="20"/>
                <w:color w:val="auto"/>
              </w:rPr>
            </w:pPr>
            <w:r>
              <w:rPr>
                <w:rFonts w:ascii="Arial" w:cs="Arial" w:eastAsia="Arial" w:hAnsi="Arial"/>
                <w:sz w:val="16"/>
                <w:szCs w:val="16"/>
                <w:color w:val="auto"/>
              </w:rPr>
              <w:t>appreciation rights.</w:t>
            </w:r>
          </w:p>
        </w:tc>
        <w:tc>
          <w:tcPr>
            <w:tcW w:w="480" w:type="dxa"/>
            <w:vAlign w:val="bottom"/>
            <w:tcBorders>
              <w:top w:val="single" w:sz="8" w:color="DBDBDB"/>
            </w:tcBorders>
            <w:shd w:val="clear" w:color="auto" w:fill="DBDBDB"/>
          </w:tcPr>
          <w:p>
            <w:pPr>
              <w:spacing w:after="0"/>
              <w:rPr>
                <w:sz w:val="16"/>
                <w:szCs w:val="16"/>
                <w:color w:val="auto"/>
              </w:rPr>
            </w:pPr>
          </w:p>
        </w:tc>
        <w:tc>
          <w:tcPr>
            <w:tcW w:w="180" w:type="dxa"/>
            <w:vAlign w:val="bottom"/>
            <w:tcBorders>
              <w:top w:val="single" w:sz="8" w:color="DBDBDB"/>
            </w:tcBorders>
            <w:shd w:val="clear" w:color="auto" w:fill="DBDBDB"/>
          </w:tcPr>
          <w:p>
            <w:pPr>
              <w:spacing w:after="0"/>
              <w:rPr>
                <w:sz w:val="16"/>
                <w:szCs w:val="16"/>
                <w:color w:val="auto"/>
              </w:rPr>
            </w:pPr>
          </w:p>
        </w:tc>
        <w:tc>
          <w:tcPr>
            <w:tcW w:w="520" w:type="dxa"/>
            <w:vAlign w:val="bottom"/>
            <w:tcBorders>
              <w:top w:val="single" w:sz="8" w:color="DBDBDB"/>
              <w:right w:val="single" w:sz="8" w:color="494949"/>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upon a “double trigger.”</w:t>
            </w:r>
          </w:p>
        </w:tc>
        <w:tc>
          <w:tcPr>
            <w:tcW w:w="460" w:type="dxa"/>
            <w:vAlign w:val="bottom"/>
            <w:tcBorders>
              <w:bottom w:val="single" w:sz="8" w:color="auto"/>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500" w:type="dxa"/>
            <w:vAlign w:val="bottom"/>
            <w:tcBorders>
              <w:bottom w:val="single" w:sz="8" w:color="auto"/>
              <w:right w:val="single" w:sz="8" w:color="494949"/>
            </w:tcBorders>
            <w:shd w:val="clear" w:color="auto" w:fill="DBDBDB"/>
          </w:tcPr>
          <w:p>
            <w:pPr>
              <w:spacing w:after="0"/>
              <w:rPr>
                <w:sz w:val="19"/>
                <w:szCs w:val="19"/>
                <w:color w:val="auto"/>
              </w:rPr>
            </w:pPr>
          </w:p>
        </w:tc>
        <w:tc>
          <w:tcPr>
            <w:tcW w:w="4360" w:type="dxa"/>
            <w:vAlign w:val="bottom"/>
            <w:tcBorders>
              <w:bottom w:val="single" w:sz="8" w:color="auto"/>
              <w:right w:val="single" w:sz="8" w:color="auto"/>
            </w:tcBorders>
            <w:shd w:val="clear" w:color="auto" w:fill="DBDBDB"/>
          </w:tcPr>
          <w:p>
            <w:pPr>
              <w:spacing w:after="0"/>
              <w:rPr>
                <w:sz w:val="19"/>
                <w:szCs w:val="19"/>
                <w:color w:val="auto"/>
              </w:rPr>
            </w:pPr>
          </w:p>
        </w:tc>
        <w:tc>
          <w:tcPr>
            <w:tcW w:w="480" w:type="dxa"/>
            <w:vAlign w:val="bottom"/>
            <w:tcBorders>
              <w:bottom w:val="single" w:sz="8" w:color="494949"/>
            </w:tcBorders>
            <w:shd w:val="clear" w:color="auto" w:fill="DBDBDB"/>
          </w:tcPr>
          <w:p>
            <w:pPr>
              <w:spacing w:after="0"/>
              <w:rPr>
                <w:sz w:val="19"/>
                <w:szCs w:val="19"/>
                <w:color w:val="auto"/>
              </w:rPr>
            </w:pPr>
          </w:p>
        </w:tc>
        <w:tc>
          <w:tcPr>
            <w:tcW w:w="180" w:type="dxa"/>
            <w:vAlign w:val="bottom"/>
            <w:tcBorders>
              <w:bottom w:val="single" w:sz="8" w:color="494949"/>
            </w:tcBorders>
            <w:shd w:val="clear" w:color="auto" w:fill="DBDBDB"/>
          </w:tcPr>
          <w:p>
            <w:pPr>
              <w:spacing w:after="0"/>
              <w:rPr>
                <w:sz w:val="19"/>
                <w:szCs w:val="19"/>
                <w:color w:val="auto"/>
              </w:rPr>
            </w:pPr>
          </w:p>
        </w:tc>
        <w:tc>
          <w:tcPr>
            <w:tcW w:w="520" w:type="dxa"/>
            <w:vAlign w:val="bottom"/>
            <w:tcBorders>
              <w:bottom w:val="single" w:sz="8" w:color="494949"/>
              <w:right w:val="single" w:sz="8" w:color="494949"/>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1" w:name="page42"/>
    <w:bookmarkEnd w:id="41"/>
    <w:p>
      <w:pPr>
        <w:jc w:val="both"/>
        <w:spacing w:after="0" w:line="262" w:lineRule="auto"/>
        <w:rPr>
          <w:sz w:val="20"/>
          <w:szCs w:val="20"/>
          <w:color w:val="auto"/>
        </w:rPr>
      </w:pPr>
      <w:r>
        <w:rPr>
          <w:rFonts w:ascii="Arial" w:cs="Arial" w:eastAsia="Arial" w:hAnsi="Arial"/>
          <w:sz w:val="18"/>
          <w:szCs w:val="18"/>
          <w:b w:val="1"/>
          <w:bCs w:val="1"/>
          <w:u w:val="single" w:color="auto"/>
          <w:color w:val="auto"/>
        </w:rPr>
        <w:t>Our Executive Compensation Program</w:t>
      </w:r>
      <w:r>
        <w:rPr>
          <w:rFonts w:ascii="Arial" w:cs="Arial" w:eastAsia="Arial" w:hAnsi="Arial"/>
          <w:sz w:val="18"/>
          <w:szCs w:val="18"/>
          <w:color w:val="auto"/>
        </w:rPr>
        <w:t>. Total compensation for our executive officers includes a mix of short-term and long-term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fixed and performance-based compensation. The charts below illustrate the fiscal 2025 target mix of short-term and long-term incentives, and fixed and performance-based compensation, for Mr. Silberhorn and our Other Named Executive Officers. This information is used by the Committee as a guideline in making compensation awards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140970</wp:posOffset>
            </wp:positionV>
            <wp:extent cx="6360795"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60795" cy="308610"/>
                    </a:xfrm>
                    <a:prstGeom prst="rect">
                      <a:avLst/>
                    </a:prstGeom>
                    <a:noFill/>
                  </pic:spPr>
                </pic:pic>
              </a:graphicData>
            </a:graphic>
          </wp:anchor>
        </w:drawing>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Fiscal 2025 Target Compensation Mix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83185</wp:posOffset>
            </wp:positionV>
            <wp:extent cx="2400300" cy="27432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00300" cy="2743200"/>
                    </a:xfrm>
                    <a:prstGeom prst="rect">
                      <a:avLst/>
                    </a:prstGeom>
                    <a:noFill/>
                  </pic:spPr>
                </pic:pic>
              </a:graphicData>
            </a:graphic>
          </wp:anchor>
        </w:drawing>
      </w:r>
    </w:p>
    <w:p>
      <w:pPr>
        <w:spacing w:after="0" w:line="273" w:lineRule="exact"/>
        <w:rPr>
          <w:sz w:val="20"/>
          <w:szCs w:val="20"/>
          <w:color w:val="auto"/>
        </w:rPr>
      </w:pPr>
    </w:p>
    <w:tbl>
      <w:tblPr>
        <w:tblLayout w:type="fixed"/>
        <w:tblInd w:w="620" w:type="dxa"/>
        <w:tblCellMar>
          <w:top w:w="0" w:type="dxa"/>
          <w:left w:w="0" w:type="dxa"/>
          <w:bottom w:w="0" w:type="dxa"/>
          <w:right w:w="0" w:type="dxa"/>
        </w:tblCellMar>
      </w:tblPr>
      <w:tr>
        <w:trPr>
          <w:trHeight w:val="497"/>
        </w:trPr>
        <w:tc>
          <w:tcPr>
            <w:tcW w:w="9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shd w:val="clear" w:color="auto" w:fill="7FB9D5"/>
          </w:tcPr>
          <w:p>
            <w:pPr>
              <w:jc w:val="right"/>
              <w:ind w:right="348"/>
              <w:spacing w:after="0"/>
              <w:rPr>
                <w:sz w:val="20"/>
                <w:szCs w:val="20"/>
                <w:color w:val="auto"/>
              </w:rPr>
            </w:pPr>
            <w:r>
              <w:rPr>
                <w:rFonts w:ascii="Arial" w:cs="Arial" w:eastAsia="Arial" w:hAnsi="Arial"/>
                <w:sz w:val="14"/>
                <w:szCs w:val="14"/>
                <w:b w:val="1"/>
                <w:bCs w:val="1"/>
                <w:color w:val="FFFFFF"/>
              </w:rPr>
              <w:t>19%</w:t>
            </w:r>
          </w:p>
        </w:tc>
        <w:tc>
          <w:tcPr>
            <w:tcW w:w="7840" w:type="dxa"/>
            <w:vAlign w:val="bottom"/>
          </w:tcPr>
          <w:p>
            <w:pPr>
              <w:ind w:left="120"/>
              <w:spacing w:after="0"/>
              <w:rPr>
                <w:sz w:val="20"/>
                <w:szCs w:val="20"/>
                <w:color w:val="auto"/>
              </w:rPr>
            </w:pPr>
            <w:r>
              <w:rPr>
                <w:rFonts w:ascii="Arial" w:cs="Arial" w:eastAsia="Arial" w:hAnsi="Arial"/>
                <w:sz w:val="14"/>
                <w:szCs w:val="14"/>
                <w:b w:val="1"/>
                <w:bCs w:val="1"/>
                <w:color w:val="7C7C7C"/>
              </w:rPr>
              <w:t>Salary</w:t>
            </w:r>
          </w:p>
        </w:tc>
        <w:tc>
          <w:tcPr>
            <w:tcW w:w="0" w:type="dxa"/>
            <w:vAlign w:val="bottom"/>
          </w:tcPr>
          <w:p>
            <w:pPr>
              <w:spacing w:after="0"/>
              <w:rPr>
                <w:sz w:val="1"/>
                <w:szCs w:val="1"/>
                <w:color w:val="auto"/>
              </w:rPr>
            </w:pPr>
          </w:p>
        </w:tc>
      </w:tr>
      <w:tr>
        <w:trPr>
          <w:trHeight w:val="249"/>
        </w:trPr>
        <w:tc>
          <w:tcPr>
            <w:tcW w:w="960" w:type="dxa"/>
            <w:vAlign w:val="bottom"/>
            <w:tcBorders>
              <w:right w:val="single" w:sz="8" w:color="auto"/>
            </w:tcBorders>
          </w:tcPr>
          <w:p>
            <w:pPr>
              <w:jc w:val="center"/>
              <w:ind w:right="148"/>
              <w:spacing w:after="0"/>
              <w:rPr>
                <w:sz w:val="20"/>
                <w:szCs w:val="20"/>
                <w:color w:val="auto"/>
              </w:rPr>
            </w:pPr>
            <w:r>
              <w:rPr>
                <w:rFonts w:ascii="Arial" w:cs="Arial" w:eastAsia="Arial" w:hAnsi="Arial"/>
                <w:sz w:val="14"/>
                <w:szCs w:val="14"/>
                <w:b w:val="1"/>
                <w:bCs w:val="1"/>
                <w:color w:val="7C7C7C"/>
              </w:rPr>
              <w:t>Short</w:t>
            </w:r>
          </w:p>
        </w:tc>
        <w:tc>
          <w:tcPr>
            <w:tcW w:w="80" w:type="dxa"/>
            <w:vAlign w:val="bottom"/>
          </w:tcPr>
          <w:p>
            <w:pPr>
              <w:spacing w:after="0"/>
              <w:rPr>
                <w:sz w:val="21"/>
                <w:szCs w:val="21"/>
                <w:color w:val="auto"/>
              </w:rPr>
            </w:pPr>
          </w:p>
        </w:tc>
        <w:tc>
          <w:tcPr>
            <w:tcW w:w="1140" w:type="dxa"/>
            <w:vAlign w:val="bottom"/>
            <w:shd w:val="clear" w:color="auto" w:fill="7FB9D5"/>
          </w:tcPr>
          <w:p>
            <w:pPr>
              <w:spacing w:after="0"/>
              <w:rPr>
                <w:sz w:val="21"/>
                <w:szCs w:val="21"/>
                <w:color w:val="auto"/>
              </w:rPr>
            </w:pPr>
          </w:p>
        </w:tc>
        <w:tc>
          <w:tcPr>
            <w:tcW w:w="7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960" w:type="dxa"/>
            <w:vAlign w:val="bottom"/>
            <w:tcBorders>
              <w:right w:val="single" w:sz="8" w:color="auto"/>
            </w:tcBorders>
            <w:vMerge w:val="restart"/>
          </w:tcPr>
          <w:p>
            <w:pPr>
              <w:jc w:val="center"/>
              <w:ind w:right="148"/>
              <w:spacing w:after="0" w:line="155" w:lineRule="exact"/>
              <w:rPr>
                <w:sz w:val="20"/>
                <w:szCs w:val="20"/>
                <w:color w:val="auto"/>
              </w:rPr>
            </w:pPr>
            <w:r>
              <w:rPr>
                <w:rFonts w:ascii="Arial" w:cs="Arial" w:eastAsia="Arial" w:hAnsi="Arial"/>
                <w:sz w:val="14"/>
                <w:szCs w:val="14"/>
                <w:b w:val="1"/>
                <w:bCs w:val="1"/>
                <w:color w:val="7C7C7C"/>
                <w:w w:val="99"/>
              </w:rPr>
              <w:t>Term</w:t>
            </w:r>
          </w:p>
        </w:tc>
        <w:tc>
          <w:tcPr>
            <w:tcW w:w="80" w:type="dxa"/>
            <w:vAlign w:val="bottom"/>
            <w:vMerge w:val="restart"/>
          </w:tcPr>
          <w:p>
            <w:pPr>
              <w:spacing w:after="0"/>
              <w:rPr>
                <w:sz w:val="5"/>
                <w:szCs w:val="5"/>
                <w:color w:val="auto"/>
              </w:rPr>
            </w:pPr>
          </w:p>
        </w:tc>
        <w:tc>
          <w:tcPr>
            <w:tcW w:w="1140" w:type="dxa"/>
            <w:vAlign w:val="bottom"/>
            <w:shd w:val="clear" w:color="auto" w:fill="7FB9D5"/>
          </w:tcPr>
          <w:p>
            <w:pPr>
              <w:spacing w:after="0"/>
              <w:rPr>
                <w:sz w:val="5"/>
                <w:szCs w:val="5"/>
                <w:color w:val="auto"/>
              </w:rPr>
            </w:pPr>
          </w:p>
        </w:tc>
        <w:tc>
          <w:tcPr>
            <w:tcW w:w="7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960" w:type="dxa"/>
            <w:vAlign w:val="bottom"/>
            <w:tcBorders>
              <w:right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140" w:type="dxa"/>
            <w:vAlign w:val="bottom"/>
            <w:tcBorders>
              <w:bottom w:val="single" w:sz="8" w:color="04445F"/>
            </w:tcBorders>
          </w:tcPr>
          <w:p>
            <w:pPr>
              <w:spacing w:after="0"/>
              <w:rPr>
                <w:sz w:val="8"/>
                <w:szCs w:val="8"/>
                <w:color w:val="auto"/>
              </w:rPr>
            </w:pPr>
          </w:p>
        </w:tc>
        <w:tc>
          <w:tcPr>
            <w:tcW w:w="7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96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b w:val="1"/>
                <w:bCs w:val="1"/>
                <w:color w:val="7C7C7C"/>
                <w:w w:val="99"/>
              </w:rPr>
              <w:t>38%</w:t>
            </w:r>
          </w:p>
        </w:tc>
        <w:tc>
          <w:tcPr>
            <w:tcW w:w="80" w:type="dxa"/>
            <w:vAlign w:val="bottom"/>
          </w:tcPr>
          <w:p>
            <w:pPr>
              <w:spacing w:after="0"/>
              <w:rPr>
                <w:sz w:val="17"/>
                <w:szCs w:val="17"/>
                <w:color w:val="auto"/>
              </w:rPr>
            </w:pPr>
          </w:p>
        </w:tc>
        <w:tc>
          <w:tcPr>
            <w:tcW w:w="1140" w:type="dxa"/>
            <w:vAlign w:val="bottom"/>
            <w:shd w:val="clear" w:color="auto" w:fill="04445F"/>
          </w:tcPr>
          <w:p>
            <w:pPr>
              <w:spacing w:after="0"/>
              <w:rPr>
                <w:sz w:val="17"/>
                <w:szCs w:val="17"/>
                <w:color w:val="auto"/>
              </w:rPr>
            </w:pPr>
          </w:p>
        </w:tc>
        <w:tc>
          <w:tcPr>
            <w:tcW w:w="7840" w:type="dxa"/>
            <w:vAlign w:val="bottom"/>
            <w:vMerge w:val="restart"/>
          </w:tcPr>
          <w:p>
            <w:pPr>
              <w:ind w:left="120"/>
              <w:spacing w:after="0"/>
              <w:rPr>
                <w:sz w:val="20"/>
                <w:szCs w:val="20"/>
                <w:color w:val="auto"/>
              </w:rPr>
            </w:pPr>
            <w:r>
              <w:rPr>
                <w:rFonts w:ascii="Arial" w:cs="Arial" w:eastAsia="Arial" w:hAnsi="Arial"/>
                <w:sz w:val="14"/>
                <w:szCs w:val="14"/>
                <w:b w:val="1"/>
                <w:bCs w:val="1"/>
                <w:color w:val="7C7C7C"/>
              </w:rPr>
              <w:t>Annual Cash Incentive at</w:t>
            </w:r>
          </w:p>
        </w:tc>
        <w:tc>
          <w:tcPr>
            <w:tcW w:w="0" w:type="dxa"/>
            <w:vAlign w:val="bottom"/>
          </w:tcPr>
          <w:p>
            <w:pPr>
              <w:spacing w:after="0"/>
              <w:rPr>
                <w:sz w:val="1"/>
                <w:szCs w:val="1"/>
                <w:color w:val="auto"/>
              </w:rPr>
            </w:pPr>
          </w:p>
        </w:tc>
      </w:tr>
      <w:tr>
        <w:trPr>
          <w:trHeight w:val="141"/>
        </w:trPr>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vMerge w:val="restart"/>
            <w:shd w:val="clear" w:color="auto" w:fill="04445F"/>
          </w:tcPr>
          <w:p>
            <w:pPr>
              <w:jc w:val="right"/>
              <w:ind w:right="348"/>
              <w:spacing w:after="0"/>
              <w:rPr>
                <w:sz w:val="20"/>
                <w:szCs w:val="20"/>
                <w:color w:val="auto"/>
              </w:rPr>
            </w:pPr>
            <w:r>
              <w:rPr>
                <w:rFonts w:ascii="Arial" w:cs="Arial" w:eastAsia="Arial" w:hAnsi="Arial"/>
                <w:sz w:val="14"/>
                <w:szCs w:val="14"/>
                <w:b w:val="1"/>
                <w:bCs w:val="1"/>
                <w:color w:val="FFFFFF"/>
              </w:rPr>
              <w:t>19%</w:t>
            </w:r>
          </w:p>
        </w:tc>
        <w:tc>
          <w:tcPr>
            <w:tcW w:w="7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9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continue"/>
            <w:shd w:val="clear" w:color="auto" w:fill="04445F"/>
          </w:tcPr>
          <w:p>
            <w:pPr>
              <w:spacing w:after="0"/>
              <w:rPr>
                <w:sz w:val="8"/>
                <w:szCs w:val="8"/>
                <w:color w:val="auto"/>
              </w:rPr>
            </w:pPr>
          </w:p>
        </w:tc>
        <w:tc>
          <w:tcPr>
            <w:tcW w:w="7840" w:type="dxa"/>
            <w:vAlign w:val="bottom"/>
            <w:vMerge w:val="restart"/>
          </w:tcPr>
          <w:p>
            <w:pPr>
              <w:ind w:left="120"/>
              <w:spacing w:after="0"/>
              <w:rPr>
                <w:sz w:val="20"/>
                <w:szCs w:val="20"/>
                <w:color w:val="auto"/>
              </w:rPr>
            </w:pPr>
            <w:r>
              <w:rPr>
                <w:rFonts w:ascii="Arial" w:cs="Arial" w:eastAsia="Arial" w:hAnsi="Arial"/>
                <w:sz w:val="14"/>
                <w:szCs w:val="14"/>
                <w:b w:val="1"/>
                <w:bCs w:val="1"/>
                <w:color w:val="7C7C7C"/>
              </w:rPr>
              <w:t>Target</w:t>
            </w:r>
          </w:p>
        </w:tc>
        <w:tc>
          <w:tcPr>
            <w:tcW w:w="0" w:type="dxa"/>
            <w:vAlign w:val="bottom"/>
          </w:tcPr>
          <w:p>
            <w:pPr>
              <w:spacing w:after="0"/>
              <w:rPr>
                <w:sz w:val="1"/>
                <w:szCs w:val="1"/>
                <w:color w:val="auto"/>
              </w:rPr>
            </w:pPr>
          </w:p>
        </w:tc>
      </w:tr>
      <w:tr>
        <w:trPr>
          <w:trHeight w:val="94"/>
        </w:trPr>
        <w:tc>
          <w:tcPr>
            <w:tcW w:w="9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shd w:val="clear" w:color="auto" w:fill="04445F"/>
          </w:tcPr>
          <w:p>
            <w:pPr>
              <w:spacing w:after="0"/>
              <w:rPr>
                <w:sz w:val="8"/>
                <w:szCs w:val="8"/>
                <w:color w:val="auto"/>
              </w:rPr>
            </w:pPr>
          </w:p>
        </w:tc>
        <w:tc>
          <w:tcPr>
            <w:tcW w:w="7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9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shd w:val="clear" w:color="auto" w:fill="04445F"/>
          </w:tcPr>
          <w:p>
            <w:pPr>
              <w:spacing w:after="0"/>
              <w:rPr>
                <w:sz w:val="18"/>
                <w:szCs w:val="18"/>
                <w:color w:val="auto"/>
              </w:rPr>
            </w:pPr>
          </w:p>
        </w:tc>
        <w:tc>
          <w:tcPr>
            <w:tcW w:w="7840" w:type="dxa"/>
            <w:vAlign w:val="bottom"/>
            <w:vMerge w:val="restart"/>
          </w:tcPr>
          <w:p>
            <w:pPr>
              <w:ind w:left="120"/>
              <w:spacing w:after="0"/>
              <w:rPr>
                <w:sz w:val="20"/>
                <w:szCs w:val="20"/>
                <w:color w:val="auto"/>
              </w:rPr>
            </w:pPr>
            <w:r>
              <w:rPr>
                <w:rFonts w:ascii="Arial" w:cs="Arial" w:eastAsia="Arial" w:hAnsi="Arial"/>
                <w:sz w:val="14"/>
                <w:szCs w:val="14"/>
                <w:b w:val="1"/>
                <w:bCs w:val="1"/>
                <w:color w:val="7C7C7C"/>
              </w:rPr>
              <w:t>Restricted Stock Awards</w:t>
            </w: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9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vMerge w:val="restart"/>
            <w:shd w:val="clear" w:color="auto" w:fill="7FB9D5"/>
          </w:tcPr>
          <w:p>
            <w:pPr>
              <w:jc w:val="right"/>
              <w:ind w:right="348"/>
              <w:spacing w:after="0"/>
              <w:rPr>
                <w:sz w:val="20"/>
                <w:szCs w:val="20"/>
                <w:color w:val="auto"/>
              </w:rPr>
            </w:pPr>
            <w:r>
              <w:rPr>
                <w:rFonts w:ascii="Arial" w:cs="Arial" w:eastAsia="Arial" w:hAnsi="Arial"/>
                <w:sz w:val="14"/>
                <w:szCs w:val="14"/>
                <w:b w:val="1"/>
                <w:bCs w:val="1"/>
                <w:color w:val="FFFFFF"/>
              </w:rPr>
              <w:t>25%</w:t>
            </w:r>
          </w:p>
        </w:tc>
        <w:tc>
          <w:tcPr>
            <w:tcW w:w="7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vMerge w:val="continue"/>
            <w:shd w:val="clear" w:color="auto" w:fill="7FB9D5"/>
          </w:tcPr>
          <w:p>
            <w:pPr>
              <w:spacing w:after="0"/>
              <w:rPr>
                <w:sz w:val="15"/>
                <w:szCs w:val="15"/>
                <w:color w:val="auto"/>
              </w:rPr>
            </w:pPr>
          </w:p>
        </w:tc>
        <w:tc>
          <w:tcPr>
            <w:tcW w:w="7840" w:type="dxa"/>
            <w:vAlign w:val="bottom"/>
          </w:tcPr>
          <w:p>
            <w:pPr>
              <w:ind w:left="120"/>
              <w:spacing w:after="0"/>
              <w:rPr>
                <w:sz w:val="20"/>
                <w:szCs w:val="20"/>
                <w:color w:val="auto"/>
              </w:rPr>
            </w:pPr>
            <w:r>
              <w:rPr>
                <w:rFonts w:ascii="Arial" w:cs="Arial" w:eastAsia="Arial" w:hAnsi="Arial"/>
                <w:sz w:val="14"/>
                <w:szCs w:val="14"/>
                <w:b w:val="1"/>
                <w:bCs w:val="1"/>
                <w:color w:val="7C7C7C"/>
              </w:rPr>
              <w:t>with Service-Based</w:t>
            </w:r>
          </w:p>
        </w:tc>
        <w:tc>
          <w:tcPr>
            <w:tcW w:w="0" w:type="dxa"/>
            <w:vAlign w:val="bottom"/>
          </w:tcPr>
          <w:p>
            <w:pPr>
              <w:spacing w:after="0"/>
              <w:rPr>
                <w:sz w:val="1"/>
                <w:szCs w:val="1"/>
                <w:color w:val="auto"/>
              </w:rPr>
            </w:pPr>
          </w:p>
        </w:tc>
      </w:tr>
      <w:tr>
        <w:trPr>
          <w:trHeight w:val="196"/>
        </w:trPr>
        <w:tc>
          <w:tcPr>
            <w:tcW w:w="9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shd w:val="clear" w:color="auto" w:fill="7FB9D5"/>
          </w:tcPr>
          <w:p>
            <w:pPr>
              <w:spacing w:after="0"/>
              <w:rPr>
                <w:sz w:val="17"/>
                <w:szCs w:val="17"/>
                <w:color w:val="auto"/>
              </w:rPr>
            </w:pPr>
          </w:p>
        </w:tc>
        <w:tc>
          <w:tcPr>
            <w:tcW w:w="7840" w:type="dxa"/>
            <w:vAlign w:val="bottom"/>
          </w:tcPr>
          <w:p>
            <w:pPr>
              <w:ind w:left="120"/>
              <w:spacing w:after="0"/>
              <w:rPr>
                <w:sz w:val="20"/>
                <w:szCs w:val="20"/>
                <w:color w:val="auto"/>
              </w:rPr>
            </w:pPr>
            <w:r>
              <w:rPr>
                <w:rFonts w:ascii="Arial" w:cs="Arial" w:eastAsia="Arial" w:hAnsi="Arial"/>
                <w:sz w:val="14"/>
                <w:szCs w:val="14"/>
                <w:b w:val="1"/>
                <w:bCs w:val="1"/>
                <w:color w:val="7C7C7C"/>
              </w:rPr>
              <w:t>Vesting</w:t>
            </w:r>
          </w:p>
        </w:tc>
        <w:tc>
          <w:tcPr>
            <w:tcW w:w="0" w:type="dxa"/>
            <w:vAlign w:val="bottom"/>
          </w:tcPr>
          <w:p>
            <w:pPr>
              <w:spacing w:after="0"/>
              <w:rPr>
                <w:sz w:val="1"/>
                <w:szCs w:val="1"/>
                <w:color w:val="auto"/>
              </w:rPr>
            </w:pPr>
          </w:p>
        </w:tc>
      </w:tr>
      <w:tr>
        <w:trPr>
          <w:trHeight w:val="123"/>
        </w:trPr>
        <w:tc>
          <w:tcPr>
            <w:tcW w:w="960" w:type="dxa"/>
            <w:vAlign w:val="bottom"/>
            <w:tcBorders>
              <w:right w:val="single" w:sz="8" w:color="auto"/>
            </w:tcBorders>
            <w:vMerge w:val="restart"/>
          </w:tcPr>
          <w:p>
            <w:pPr>
              <w:jc w:val="center"/>
              <w:ind w:right="128"/>
              <w:spacing w:after="0"/>
              <w:rPr>
                <w:sz w:val="20"/>
                <w:szCs w:val="20"/>
                <w:color w:val="auto"/>
              </w:rPr>
            </w:pPr>
            <w:r>
              <w:rPr>
                <w:rFonts w:ascii="Arial" w:cs="Arial" w:eastAsia="Arial" w:hAnsi="Arial"/>
                <w:sz w:val="14"/>
                <w:szCs w:val="14"/>
                <w:b w:val="1"/>
                <w:bCs w:val="1"/>
                <w:color w:val="7C7C7C"/>
              </w:rPr>
              <w:t>Long</w:t>
            </w:r>
          </w:p>
        </w:tc>
        <w:tc>
          <w:tcPr>
            <w:tcW w:w="80" w:type="dxa"/>
            <w:vAlign w:val="bottom"/>
            <w:vMerge w:val="restart"/>
          </w:tcPr>
          <w:p>
            <w:pPr>
              <w:spacing w:after="0"/>
              <w:rPr>
                <w:sz w:val="10"/>
                <w:szCs w:val="10"/>
                <w:color w:val="auto"/>
              </w:rPr>
            </w:pPr>
          </w:p>
        </w:tc>
        <w:tc>
          <w:tcPr>
            <w:tcW w:w="1140" w:type="dxa"/>
            <w:vAlign w:val="bottom"/>
            <w:shd w:val="clear" w:color="auto" w:fill="7FB9D5"/>
          </w:tcPr>
          <w:p>
            <w:pPr>
              <w:spacing w:after="0"/>
              <w:rPr>
                <w:sz w:val="10"/>
                <w:szCs w:val="10"/>
                <w:color w:val="auto"/>
              </w:rPr>
            </w:pPr>
          </w:p>
        </w:tc>
        <w:tc>
          <w:tcPr>
            <w:tcW w:w="7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960" w:type="dxa"/>
            <w:vAlign w:val="bottom"/>
            <w:tcBorders>
              <w:right w:val="single" w:sz="8" w:color="auto"/>
            </w:tcBorders>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140" w:type="dxa"/>
            <w:vAlign w:val="bottom"/>
            <w:tcBorders>
              <w:bottom w:val="single" w:sz="8" w:color="04445F"/>
            </w:tcBorders>
          </w:tcPr>
          <w:p>
            <w:pPr>
              <w:spacing w:after="0"/>
              <w:rPr>
                <w:sz w:val="6"/>
                <w:szCs w:val="6"/>
                <w:color w:val="auto"/>
              </w:rPr>
            </w:pPr>
          </w:p>
        </w:tc>
        <w:tc>
          <w:tcPr>
            <w:tcW w:w="7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960" w:type="dxa"/>
            <w:vAlign w:val="bottom"/>
            <w:tcBorders>
              <w:right w:val="single" w:sz="8" w:color="auto"/>
            </w:tcBorders>
          </w:tcPr>
          <w:p>
            <w:pPr>
              <w:jc w:val="center"/>
              <w:ind w:right="148"/>
              <w:spacing w:after="0"/>
              <w:rPr>
                <w:sz w:val="20"/>
                <w:szCs w:val="20"/>
                <w:color w:val="auto"/>
              </w:rPr>
            </w:pPr>
            <w:r>
              <w:rPr>
                <w:rFonts w:ascii="Arial" w:cs="Arial" w:eastAsia="Arial" w:hAnsi="Arial"/>
                <w:sz w:val="14"/>
                <w:szCs w:val="14"/>
                <w:b w:val="1"/>
                <w:bCs w:val="1"/>
                <w:color w:val="7C7C7C"/>
                <w:w w:val="99"/>
              </w:rPr>
              <w:t>Term</w:t>
            </w:r>
          </w:p>
        </w:tc>
        <w:tc>
          <w:tcPr>
            <w:tcW w:w="80" w:type="dxa"/>
            <w:vAlign w:val="bottom"/>
          </w:tcPr>
          <w:p>
            <w:pPr>
              <w:spacing w:after="0"/>
              <w:rPr>
                <w:sz w:val="15"/>
                <w:szCs w:val="15"/>
                <w:color w:val="auto"/>
              </w:rPr>
            </w:pPr>
          </w:p>
        </w:tc>
        <w:tc>
          <w:tcPr>
            <w:tcW w:w="1140" w:type="dxa"/>
            <w:vAlign w:val="bottom"/>
            <w:shd w:val="clear" w:color="auto" w:fill="04445F"/>
          </w:tcPr>
          <w:p>
            <w:pPr>
              <w:spacing w:after="0"/>
              <w:rPr>
                <w:sz w:val="15"/>
                <w:szCs w:val="15"/>
                <w:color w:val="auto"/>
              </w:rPr>
            </w:pPr>
          </w:p>
        </w:tc>
        <w:tc>
          <w:tcPr>
            <w:tcW w:w="7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60" w:type="dxa"/>
            <w:vAlign w:val="bottom"/>
            <w:tcBorders>
              <w:right w:val="single" w:sz="8" w:color="auto"/>
            </w:tcBorders>
          </w:tcPr>
          <w:p>
            <w:pPr>
              <w:jc w:val="center"/>
              <w:ind w:right="128"/>
              <w:spacing w:after="0"/>
              <w:rPr>
                <w:sz w:val="20"/>
                <w:szCs w:val="20"/>
                <w:color w:val="auto"/>
              </w:rPr>
            </w:pPr>
            <w:r>
              <w:rPr>
                <w:rFonts w:ascii="Arial" w:cs="Arial" w:eastAsia="Arial" w:hAnsi="Arial"/>
                <w:sz w:val="14"/>
                <w:szCs w:val="14"/>
                <w:b w:val="1"/>
                <w:bCs w:val="1"/>
                <w:color w:val="7C7C7C"/>
                <w:w w:val="99"/>
              </w:rPr>
              <w:t>62%</w:t>
            </w:r>
          </w:p>
        </w:tc>
        <w:tc>
          <w:tcPr>
            <w:tcW w:w="80" w:type="dxa"/>
            <w:vAlign w:val="bottom"/>
          </w:tcPr>
          <w:p>
            <w:pPr>
              <w:spacing w:after="0"/>
              <w:rPr>
                <w:sz w:val="17"/>
                <w:szCs w:val="17"/>
                <w:color w:val="auto"/>
              </w:rPr>
            </w:pPr>
          </w:p>
        </w:tc>
        <w:tc>
          <w:tcPr>
            <w:tcW w:w="1140" w:type="dxa"/>
            <w:vAlign w:val="bottom"/>
            <w:shd w:val="clear" w:color="auto" w:fill="04445F"/>
          </w:tcPr>
          <w:p>
            <w:pPr>
              <w:spacing w:after="0"/>
              <w:rPr>
                <w:sz w:val="17"/>
                <w:szCs w:val="17"/>
                <w:color w:val="auto"/>
              </w:rPr>
            </w:pPr>
          </w:p>
        </w:tc>
        <w:tc>
          <w:tcPr>
            <w:tcW w:w="7840" w:type="dxa"/>
            <w:vAlign w:val="bottom"/>
            <w:vMerge w:val="restart"/>
          </w:tcPr>
          <w:p>
            <w:pPr>
              <w:ind w:left="120"/>
              <w:spacing w:after="0"/>
              <w:rPr>
                <w:sz w:val="20"/>
                <w:szCs w:val="20"/>
                <w:color w:val="auto"/>
              </w:rPr>
            </w:pPr>
            <w:r>
              <w:rPr>
                <w:rFonts w:ascii="Arial" w:cs="Arial" w:eastAsia="Arial" w:hAnsi="Arial"/>
                <w:sz w:val="14"/>
                <w:szCs w:val="14"/>
                <w:b w:val="1"/>
                <w:bCs w:val="1"/>
                <w:color w:val="7C7C7C"/>
              </w:rPr>
              <w:t>Performance Awards at</w:t>
            </w:r>
          </w:p>
        </w:tc>
        <w:tc>
          <w:tcPr>
            <w:tcW w:w="0" w:type="dxa"/>
            <w:vAlign w:val="bottom"/>
          </w:tcPr>
          <w:p>
            <w:pPr>
              <w:spacing w:after="0"/>
              <w:rPr>
                <w:sz w:val="1"/>
                <w:szCs w:val="1"/>
                <w:color w:val="auto"/>
              </w:rPr>
            </w:pPr>
          </w:p>
        </w:tc>
      </w:tr>
      <w:tr>
        <w:trPr>
          <w:trHeight w:val="141"/>
        </w:trPr>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vMerge w:val="restart"/>
            <w:shd w:val="clear" w:color="auto" w:fill="04445F"/>
          </w:tcPr>
          <w:p>
            <w:pPr>
              <w:jc w:val="right"/>
              <w:ind w:right="348"/>
              <w:spacing w:after="0"/>
              <w:rPr>
                <w:sz w:val="20"/>
                <w:szCs w:val="20"/>
                <w:color w:val="auto"/>
              </w:rPr>
            </w:pPr>
            <w:r>
              <w:rPr>
                <w:rFonts w:ascii="Arial" w:cs="Arial" w:eastAsia="Arial" w:hAnsi="Arial"/>
                <w:sz w:val="14"/>
                <w:szCs w:val="14"/>
                <w:b w:val="1"/>
                <w:bCs w:val="1"/>
                <w:color w:val="FFFFFF"/>
              </w:rPr>
              <w:t>37%</w:t>
            </w:r>
          </w:p>
        </w:tc>
        <w:tc>
          <w:tcPr>
            <w:tcW w:w="7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9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continue"/>
            <w:shd w:val="clear" w:color="auto" w:fill="04445F"/>
          </w:tcPr>
          <w:p>
            <w:pPr>
              <w:spacing w:after="0"/>
              <w:rPr>
                <w:sz w:val="8"/>
                <w:szCs w:val="8"/>
                <w:color w:val="auto"/>
              </w:rPr>
            </w:pPr>
          </w:p>
        </w:tc>
        <w:tc>
          <w:tcPr>
            <w:tcW w:w="7840" w:type="dxa"/>
            <w:vAlign w:val="bottom"/>
            <w:vMerge w:val="restart"/>
          </w:tcPr>
          <w:p>
            <w:pPr>
              <w:ind w:left="120"/>
              <w:spacing w:after="0"/>
              <w:rPr>
                <w:sz w:val="20"/>
                <w:szCs w:val="20"/>
                <w:color w:val="auto"/>
              </w:rPr>
            </w:pPr>
            <w:r>
              <w:rPr>
                <w:rFonts w:ascii="Arial" w:cs="Arial" w:eastAsia="Arial" w:hAnsi="Arial"/>
                <w:sz w:val="14"/>
                <w:szCs w:val="14"/>
                <w:b w:val="1"/>
                <w:bCs w:val="1"/>
                <w:color w:val="7C7C7C"/>
              </w:rPr>
              <w:t>Target</w:t>
            </w:r>
          </w:p>
        </w:tc>
        <w:tc>
          <w:tcPr>
            <w:tcW w:w="0" w:type="dxa"/>
            <w:vAlign w:val="bottom"/>
          </w:tcPr>
          <w:p>
            <w:pPr>
              <w:spacing w:after="0"/>
              <w:rPr>
                <w:sz w:val="1"/>
                <w:szCs w:val="1"/>
                <w:color w:val="auto"/>
              </w:rPr>
            </w:pPr>
          </w:p>
        </w:tc>
      </w:tr>
      <w:tr>
        <w:trPr>
          <w:trHeight w:val="94"/>
        </w:trPr>
        <w:tc>
          <w:tcPr>
            <w:tcW w:w="9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shd w:val="clear" w:color="auto" w:fill="04445F"/>
          </w:tcPr>
          <w:p>
            <w:pPr>
              <w:spacing w:after="0"/>
              <w:rPr>
                <w:sz w:val="8"/>
                <w:szCs w:val="8"/>
                <w:color w:val="auto"/>
              </w:rPr>
            </w:pPr>
          </w:p>
        </w:tc>
        <w:tc>
          <w:tcPr>
            <w:tcW w:w="7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0"/>
        </w:trPr>
        <w:tc>
          <w:tcPr>
            <w:tcW w:w="9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shd w:val="clear" w:color="auto" w:fill="04445F"/>
          </w:tcPr>
          <w:p>
            <w:pPr>
              <w:spacing w:after="0"/>
              <w:rPr>
                <w:sz w:val="24"/>
                <w:szCs w:val="24"/>
                <w:color w:val="auto"/>
              </w:rPr>
            </w:pPr>
          </w:p>
        </w:tc>
        <w:tc>
          <w:tcPr>
            <w:tcW w:w="7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85725</wp:posOffset>
            </wp:positionV>
            <wp:extent cx="6360795" cy="308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60795" cy="308610"/>
                    </a:xfrm>
                    <a:prstGeom prst="rect">
                      <a:avLst/>
                    </a:prstGeom>
                    <a:noFill/>
                  </pic:spPr>
                </pic:pic>
              </a:graphicData>
            </a:graphic>
          </wp:anchor>
        </w:drawing>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Fiscal 2025 Target Compensation Mix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Average -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186055</wp:posOffset>
            </wp:positionV>
            <wp:extent cx="788670" cy="12687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88670" cy="126873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74930</wp:posOffset>
            </wp:positionV>
            <wp:extent cx="2400300" cy="27432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003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80"/>
        <w:spacing w:after="0"/>
        <w:tabs>
          <w:tab w:leader="none" w:pos="2900" w:val="left"/>
        </w:tabs>
        <w:rPr>
          <w:sz w:val="20"/>
          <w:szCs w:val="20"/>
          <w:color w:val="auto"/>
        </w:rPr>
      </w:pPr>
      <w:r>
        <w:rPr>
          <w:rFonts w:ascii="Arial" w:cs="Arial" w:eastAsia="Arial" w:hAnsi="Arial"/>
          <w:sz w:val="14"/>
          <w:szCs w:val="14"/>
          <w:b w:val="1"/>
          <w:bCs w:val="1"/>
          <w:color w:val="FFFFFF"/>
        </w:rPr>
        <w:t>33%</w:t>
      </w:r>
      <w:r>
        <w:rPr>
          <w:sz w:val="20"/>
          <w:szCs w:val="20"/>
          <w:color w:val="auto"/>
        </w:rPr>
        <w:tab/>
      </w:r>
      <w:r>
        <w:rPr>
          <w:rFonts w:ascii="Arial" w:cs="Arial" w:eastAsia="Arial" w:hAnsi="Arial"/>
          <w:sz w:val="14"/>
          <w:szCs w:val="14"/>
          <w:b w:val="1"/>
          <w:bCs w:val="1"/>
          <w:color w:val="7C7C7C"/>
        </w:rPr>
        <w:t>Base Salary</w:t>
      </w:r>
    </w:p>
    <w:p>
      <w:pPr>
        <w:spacing w:after="0" w:line="109"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7C7C7C"/>
        </w:rPr>
        <w:t>Short</w:t>
      </w:r>
    </w:p>
    <w:p>
      <w:pPr>
        <w:spacing w:after="0" w:line="29"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7C7C7C"/>
        </w:rPr>
        <w:t>Term</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7C7C7C"/>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-44450</wp:posOffset>
            </wp:positionV>
            <wp:extent cx="720090" cy="514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090" cy="51435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7C7C7C"/>
        </w:rPr>
        <w:t>Long</w:t>
      </w:r>
    </w:p>
    <w:p>
      <w:pPr>
        <w:spacing w:after="0" w:line="29"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7C7C7C"/>
        </w:rPr>
        <w:t>Term</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7C7C7C"/>
        </w:rPr>
        <w:t>46%</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420" w:type="dxa"/>
        <w:tblCellMar>
          <w:top w:w="0" w:type="dxa"/>
          <w:left w:w="0" w:type="dxa"/>
          <w:bottom w:w="0" w:type="dxa"/>
          <w:right w:w="0" w:type="dxa"/>
        </w:tblCellMar>
      </w:tblPr>
      <w:tr>
        <w:trPr>
          <w:trHeight w:val="175"/>
        </w:trPr>
        <w:tc>
          <w:tcPr>
            <w:tcW w:w="5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FFFFFF"/>
                <w:w w:val="99"/>
              </w:rPr>
              <w:t>21%</w:t>
            </w:r>
          </w:p>
        </w:tc>
        <w:tc>
          <w:tcPr>
            <w:tcW w:w="2000" w:type="dxa"/>
            <w:vAlign w:val="bottom"/>
          </w:tcPr>
          <w:p>
            <w:pPr>
              <w:ind w:left="280"/>
              <w:spacing w:after="0"/>
              <w:rPr>
                <w:sz w:val="20"/>
                <w:szCs w:val="20"/>
                <w:color w:val="auto"/>
              </w:rPr>
            </w:pPr>
            <w:r>
              <w:rPr>
                <w:rFonts w:ascii="Arial" w:cs="Arial" w:eastAsia="Arial" w:hAnsi="Arial"/>
                <w:sz w:val="14"/>
                <w:szCs w:val="14"/>
                <w:b w:val="1"/>
                <w:bCs w:val="1"/>
                <w:color w:val="7C7C7C"/>
              </w:rPr>
              <w:t>Annual Cash Incentive at</w:t>
            </w:r>
          </w:p>
        </w:tc>
        <w:tc>
          <w:tcPr>
            <w:tcW w:w="0" w:type="dxa"/>
            <w:vAlign w:val="bottom"/>
          </w:tcPr>
          <w:p>
            <w:pPr>
              <w:spacing w:after="0"/>
              <w:rPr>
                <w:sz w:val="1"/>
                <w:szCs w:val="1"/>
                <w:color w:val="auto"/>
              </w:rPr>
            </w:pPr>
          </w:p>
        </w:tc>
      </w:tr>
      <w:tr>
        <w:trPr>
          <w:trHeight w:val="102"/>
        </w:trPr>
        <w:tc>
          <w:tcPr>
            <w:tcW w:w="560" w:type="dxa"/>
            <w:vAlign w:val="bottom"/>
            <w:vMerge w:val="continue"/>
          </w:tcPr>
          <w:p>
            <w:pPr>
              <w:spacing w:after="0"/>
              <w:rPr>
                <w:sz w:val="8"/>
                <w:szCs w:val="8"/>
                <w:color w:val="auto"/>
              </w:rPr>
            </w:pPr>
          </w:p>
        </w:tc>
        <w:tc>
          <w:tcPr>
            <w:tcW w:w="2000" w:type="dxa"/>
            <w:vAlign w:val="bottom"/>
            <w:vMerge w:val="restart"/>
          </w:tcPr>
          <w:p>
            <w:pPr>
              <w:ind w:left="280"/>
              <w:spacing w:after="0"/>
              <w:rPr>
                <w:sz w:val="20"/>
                <w:szCs w:val="20"/>
                <w:color w:val="auto"/>
              </w:rPr>
            </w:pPr>
            <w:r>
              <w:rPr>
                <w:rFonts w:ascii="Arial" w:cs="Arial" w:eastAsia="Arial" w:hAnsi="Arial"/>
                <w:sz w:val="14"/>
                <w:szCs w:val="14"/>
                <w:b w:val="1"/>
                <w:bCs w:val="1"/>
                <w:color w:val="7C7C7C"/>
              </w:rPr>
              <w:t>Target</w:t>
            </w: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2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172720</wp:posOffset>
            </wp:positionV>
            <wp:extent cx="788670" cy="1062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88670" cy="1062990"/>
                    </a:xfrm>
                    <a:prstGeom prst="rect">
                      <a:avLst/>
                    </a:prstGeom>
                    <a:noFill/>
                  </pic:spPr>
                </pic:pic>
              </a:graphicData>
            </a:graphic>
          </wp:anchor>
        </w:drawing>
      </w: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7C7C7C"/>
        </w:rPr>
        <w:t>Restricted Stock Award</w:t>
      </w:r>
    </w:p>
    <w:p>
      <w:pPr>
        <w:spacing w:after="0" w:line="15"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4"/>
          <w:szCs w:val="14"/>
          <w:b w:val="1"/>
          <w:bCs w:val="1"/>
          <w:color w:val="FFFFFF"/>
        </w:rPr>
        <w:t>23%</w:t>
      </w:r>
      <w:r>
        <w:rPr>
          <w:sz w:val="20"/>
          <w:szCs w:val="20"/>
          <w:color w:val="auto"/>
        </w:rPr>
        <w:tab/>
      </w:r>
      <w:r>
        <w:rPr>
          <w:rFonts w:ascii="Arial" w:cs="Arial" w:eastAsia="Arial" w:hAnsi="Arial"/>
          <w:sz w:val="14"/>
          <w:szCs w:val="14"/>
          <w:b w:val="1"/>
          <w:bCs w:val="1"/>
          <w:color w:val="7C7C7C"/>
        </w:rPr>
        <w:t>with Service-Based</w:t>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7C7C7C"/>
        </w:rPr>
        <w:t>Vesting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396"/>
        </w:trPr>
        <w:tc>
          <w:tcPr>
            <w:tcW w:w="1140" w:type="dxa"/>
            <w:vAlign w:val="bottom"/>
            <w:vMerge w:val="restart"/>
            <w:shd w:val="clear" w:color="auto" w:fill="04445F"/>
          </w:tcPr>
          <w:p>
            <w:pPr>
              <w:jc w:val="right"/>
              <w:ind w:right="348"/>
              <w:spacing w:after="0"/>
              <w:rPr>
                <w:sz w:val="20"/>
                <w:szCs w:val="20"/>
                <w:color w:val="auto"/>
              </w:rPr>
            </w:pPr>
            <w:r>
              <w:rPr>
                <w:rFonts w:ascii="Arial" w:cs="Arial" w:eastAsia="Arial" w:hAnsi="Arial"/>
                <w:sz w:val="14"/>
                <w:szCs w:val="14"/>
                <w:b w:val="1"/>
                <w:bCs w:val="1"/>
                <w:color w:val="FFFFFF"/>
              </w:rPr>
              <w:t>23%</w:t>
            </w:r>
          </w:p>
        </w:tc>
        <w:tc>
          <w:tcPr>
            <w:tcW w:w="1720" w:type="dxa"/>
            <w:vAlign w:val="bottom"/>
          </w:tcPr>
          <w:p>
            <w:pPr>
              <w:ind w:left="120"/>
              <w:spacing w:after="0"/>
              <w:rPr>
                <w:sz w:val="20"/>
                <w:szCs w:val="20"/>
                <w:color w:val="auto"/>
              </w:rPr>
            </w:pPr>
            <w:r>
              <w:rPr>
                <w:rFonts w:ascii="Arial" w:cs="Arial" w:eastAsia="Arial" w:hAnsi="Arial"/>
                <w:sz w:val="14"/>
                <w:szCs w:val="14"/>
                <w:b w:val="1"/>
                <w:bCs w:val="1"/>
                <w:color w:val="7C7C7C"/>
              </w:rPr>
              <w:t>Performance Awards at</w:t>
            </w:r>
          </w:p>
        </w:tc>
        <w:tc>
          <w:tcPr>
            <w:tcW w:w="0" w:type="dxa"/>
            <w:vAlign w:val="bottom"/>
          </w:tcPr>
          <w:p>
            <w:pPr>
              <w:spacing w:after="0"/>
              <w:rPr>
                <w:sz w:val="1"/>
                <w:szCs w:val="1"/>
                <w:color w:val="auto"/>
              </w:rPr>
            </w:pPr>
          </w:p>
        </w:tc>
      </w:tr>
      <w:tr>
        <w:trPr>
          <w:trHeight w:val="102"/>
        </w:trPr>
        <w:tc>
          <w:tcPr>
            <w:tcW w:w="1140" w:type="dxa"/>
            <w:vAlign w:val="bottom"/>
            <w:vMerge w:val="continue"/>
            <w:shd w:val="clear" w:color="auto" w:fill="04445F"/>
          </w:tcPr>
          <w:p>
            <w:pPr>
              <w:spacing w:after="0"/>
              <w:rPr>
                <w:sz w:val="8"/>
                <w:szCs w:val="8"/>
                <w:color w:val="auto"/>
              </w:rPr>
            </w:pPr>
          </w:p>
        </w:tc>
        <w:tc>
          <w:tcPr>
            <w:tcW w:w="1720" w:type="dxa"/>
            <w:vAlign w:val="bottom"/>
            <w:vMerge w:val="restart"/>
          </w:tcPr>
          <w:p>
            <w:pPr>
              <w:ind w:left="120"/>
              <w:spacing w:after="0"/>
              <w:rPr>
                <w:sz w:val="20"/>
                <w:szCs w:val="20"/>
                <w:color w:val="auto"/>
              </w:rPr>
            </w:pPr>
            <w:r>
              <w:rPr>
                <w:rFonts w:ascii="Arial" w:cs="Arial" w:eastAsia="Arial" w:hAnsi="Arial"/>
                <w:sz w:val="14"/>
                <w:szCs w:val="14"/>
                <w:b w:val="1"/>
                <w:bCs w:val="1"/>
                <w:color w:val="7C7C7C"/>
              </w:rPr>
              <w:t>Target</w:t>
            </w:r>
          </w:p>
        </w:tc>
        <w:tc>
          <w:tcPr>
            <w:tcW w:w="0" w:type="dxa"/>
            <w:vAlign w:val="bottom"/>
          </w:tcPr>
          <w:p>
            <w:pPr>
              <w:spacing w:after="0"/>
              <w:rPr>
                <w:sz w:val="1"/>
                <w:szCs w:val="1"/>
                <w:color w:val="auto"/>
              </w:rPr>
            </w:pPr>
          </w:p>
        </w:tc>
      </w:tr>
      <w:tr>
        <w:trPr>
          <w:trHeight w:val="94"/>
        </w:trPr>
        <w:tc>
          <w:tcPr>
            <w:tcW w:w="1140" w:type="dxa"/>
            <w:vAlign w:val="bottom"/>
            <w:shd w:val="clear" w:color="auto" w:fill="04445F"/>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140" w:type="dxa"/>
            <w:vAlign w:val="bottom"/>
            <w:shd w:val="clear" w:color="auto" w:fill="04445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55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56515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180" w:space="480"/>
            <w:col w:w="9580"/>
          </w:cols>
          <w:pgMar w:left="320" w:top="1147" w:right="339" w:bottom="1440" w:gutter="0" w:footer="0" w:header="0"/>
          <w:type w:val="continuous"/>
        </w:sectPr>
      </w:pPr>
    </w:p>
    <w:bookmarkStart w:id="42" w:name="page43"/>
    <w:bookmarkEnd w:id="42"/>
    <w:p>
      <w:pPr>
        <w:jc w:val="both"/>
        <w:spacing w:after="0" w:line="259" w:lineRule="auto"/>
        <w:rPr>
          <w:sz w:val="20"/>
          <w:szCs w:val="20"/>
          <w:color w:val="auto"/>
        </w:rPr>
      </w:pPr>
      <w:r>
        <w:rPr>
          <w:rFonts w:ascii="Arial" w:cs="Arial" w:eastAsia="Arial" w:hAnsi="Arial"/>
          <w:sz w:val="18"/>
          <w:szCs w:val="18"/>
          <w:b w:val="1"/>
          <w:bCs w:val="1"/>
          <w:u w:val="single" w:color="auto"/>
          <w:color w:val="auto"/>
        </w:rPr>
        <w:t>The Role of Shareholder Vote on Say on Pay Proposal</w:t>
      </w:r>
      <w:r>
        <w:rPr>
          <w:rFonts w:ascii="Arial" w:cs="Arial" w:eastAsia="Arial" w:hAnsi="Arial"/>
          <w:sz w:val="18"/>
          <w:szCs w:val="18"/>
          <w:color w:val="auto"/>
        </w:rPr>
        <w:t>. Our Company provides our shareholders with the opportunity to cast an advisory</w:t>
      </w:r>
      <w:r>
        <w:rPr>
          <w:rFonts w:ascii="Arial" w:cs="Arial" w:eastAsia="Arial" w:hAnsi="Arial"/>
          <w:sz w:val="18"/>
          <w:szCs w:val="18"/>
          <w:b w:val="1"/>
          <w:bCs w:val="1"/>
          <w:color w:val="auto"/>
        </w:rPr>
        <w:t xml:space="preserve"> </w:t>
      </w:r>
      <w:r>
        <w:rPr>
          <w:rFonts w:ascii="Arial" w:cs="Arial" w:eastAsia="Arial" w:hAnsi="Arial"/>
          <w:sz w:val="18"/>
          <w:szCs w:val="18"/>
          <w:color w:val="auto"/>
        </w:rPr>
        <w:t>vote on our Say on Pay Proposal annually. At our Company’s 2024 Annual Meeting of Shareholders held on June 20, 2024, 97.12% of the votes cast on the Say on Pay Proposal were voted in favor of ratification of the proposal. The Committee did not make any changes to its programs in response to this vote. The Committee will consider the outcome of our Company’s Say on Pay Proposal when making future compensation decisions.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u w:val="single" w:color="auto"/>
          <w:color w:val="auto"/>
        </w:rPr>
        <w:t>Highlights of Fiscal 2025 Compensation Actions</w:t>
      </w:r>
      <w:r>
        <w:rPr>
          <w:rFonts w:ascii="Arial" w:cs="Arial" w:eastAsia="Arial" w:hAnsi="Arial"/>
          <w:sz w:val="18"/>
          <w:szCs w:val="18"/>
          <w:color w:val="auto"/>
        </w:rPr>
        <w:t>. The following section highlights the Committee’s key compensation decisions for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2025. These decisions were made after the Committee reviewed compensation data provided by its independent compensation consultant.</w:t>
      </w:r>
    </w:p>
    <w:p>
      <w:pPr>
        <w:spacing w:after="0" w:line="153" w:lineRule="exact"/>
        <w:rPr>
          <w:sz w:val="20"/>
          <w:szCs w:val="20"/>
          <w:color w:val="auto"/>
        </w:rPr>
      </w:pPr>
    </w:p>
    <w:p>
      <w:pPr>
        <w:jc w:val="both"/>
        <w:ind w:left="980" w:hanging="324"/>
        <w:spacing w:after="0" w:line="259" w:lineRule="auto"/>
        <w:tabs>
          <w:tab w:leader="none" w:pos="975" w:val="left"/>
        </w:tabs>
        <w:numPr>
          <w:ilvl w:val="0"/>
          <w:numId w:val="27"/>
        </w:numPr>
        <w:rPr>
          <w:rFonts w:ascii="Arial" w:cs="Arial" w:eastAsia="Arial" w:hAnsi="Arial"/>
          <w:sz w:val="18"/>
          <w:szCs w:val="18"/>
          <w:b w:val="1"/>
          <w:bCs w:val="1"/>
          <w:color w:val="05225E"/>
        </w:rPr>
      </w:pPr>
      <w:r>
        <w:rPr>
          <w:rFonts w:ascii="Arial" w:cs="Arial" w:eastAsia="Arial" w:hAnsi="Arial"/>
          <w:sz w:val="18"/>
          <w:szCs w:val="18"/>
          <w:u w:val="single" w:color="auto"/>
          <w:color w:val="auto"/>
        </w:rPr>
        <w:t>Base Salaries</w:t>
      </w:r>
      <w:r>
        <w:rPr>
          <w:rFonts w:ascii="Arial" w:cs="Arial" w:eastAsia="Arial" w:hAnsi="Arial"/>
          <w:sz w:val="18"/>
          <w:szCs w:val="18"/>
          <w:color w:val="auto"/>
        </w:rPr>
        <w:t xml:space="preserve">. For fiscal 2025, Mr. Silberhorn, our Chief Executive Officer received a base salary increase of 3.56%. Among our Other Named Executive Officers, Messrs. Osberg, Jewell, and T. Johnson received base salary increases ranging from 2.39% to 2.71%. Ms. Trende, who joined the Company during fiscal 2025, did not receive a base salary increase. See "Fiscal 2025 Individual Compensation Actions" beginning on page </w:t>
      </w:r>
      <w:r>
        <w:rPr>
          <w:rFonts w:ascii="Arial" w:cs="Arial" w:eastAsia="Arial" w:hAnsi="Arial"/>
          <w:sz w:val="18"/>
          <w:szCs w:val="18"/>
          <w:u w:val="single" w:color="auto"/>
          <w:color w:val="0000FF"/>
        </w:rPr>
        <w:t>42</w:t>
      </w:r>
      <w:r>
        <w:rPr>
          <w:rFonts w:ascii="Arial" w:cs="Arial" w:eastAsia="Arial" w:hAnsi="Arial"/>
          <w:sz w:val="18"/>
          <w:szCs w:val="18"/>
          <w:color w:val="auto"/>
        </w:rPr>
        <w:t xml:space="preserve"> for a discussion of factors considering in establishing base salaries and subsequent increases.</w:t>
      </w:r>
    </w:p>
    <w:p>
      <w:pPr>
        <w:spacing w:after="0" w:line="179" w:lineRule="exact"/>
        <w:rPr>
          <w:rFonts w:ascii="Arial" w:cs="Arial" w:eastAsia="Arial" w:hAnsi="Arial"/>
          <w:sz w:val="18"/>
          <w:szCs w:val="18"/>
          <w:b w:val="1"/>
          <w:bCs w:val="1"/>
          <w:color w:val="05225E"/>
        </w:rPr>
      </w:pPr>
    </w:p>
    <w:p>
      <w:pPr>
        <w:jc w:val="both"/>
        <w:ind w:left="980" w:hanging="324"/>
        <w:spacing w:after="0" w:line="256" w:lineRule="auto"/>
        <w:tabs>
          <w:tab w:leader="none" w:pos="975" w:val="left"/>
        </w:tabs>
        <w:numPr>
          <w:ilvl w:val="0"/>
          <w:numId w:val="27"/>
        </w:numPr>
        <w:rPr>
          <w:rFonts w:ascii="Arial" w:cs="Arial" w:eastAsia="Arial" w:hAnsi="Arial"/>
          <w:sz w:val="18"/>
          <w:szCs w:val="18"/>
          <w:b w:val="1"/>
          <w:bCs w:val="1"/>
          <w:color w:val="05225E"/>
        </w:rPr>
      </w:pPr>
      <w:r>
        <w:rPr>
          <w:rFonts w:ascii="Arial" w:cs="Arial" w:eastAsia="Arial" w:hAnsi="Arial"/>
          <w:sz w:val="18"/>
          <w:szCs w:val="18"/>
          <w:u w:val="single" w:color="auto"/>
          <w:color w:val="auto"/>
        </w:rPr>
        <w:t>Annual Cash Incentive Payouts</w:t>
      </w:r>
      <w:r>
        <w:rPr>
          <w:rFonts w:ascii="Arial" w:cs="Arial" w:eastAsia="Arial" w:hAnsi="Arial"/>
          <w:sz w:val="18"/>
          <w:szCs w:val="18"/>
          <w:color w:val="auto"/>
        </w:rPr>
        <w:t xml:space="preserve">. Our annual cash incentive awards are designed to reward achievement of financial goals established in our annual operating plan. For Messrs. Silberhorn and Osberg, whose payouts were based on consolidated performance metrics, the fiscal 2025 annual cash incentive paid out at 84.04% of target, and for Messrs. Jewell and T. Johnson, the fiscal annual 2025 annual cash incentive paid out at 123.38% and 170.22% of target respectively. Ms. Trende, who joined the Company during fiscal 2025, received a fiscal 2025 cash incentive paid out at 100% of target as set forth in her "Offer Letter" as described below. See “Fiscal 2025 Annual Cash Incentive Payouts” on page </w:t>
      </w:r>
      <w:r>
        <w:rPr>
          <w:rFonts w:ascii="Arial" w:cs="Arial" w:eastAsia="Arial" w:hAnsi="Arial"/>
          <w:sz w:val="18"/>
          <w:szCs w:val="18"/>
          <w:u w:val="single" w:color="auto"/>
          <w:color w:val="0000FF"/>
        </w:rPr>
        <w:t>44</w:t>
      </w:r>
      <w:r>
        <w:rPr>
          <w:rFonts w:ascii="Arial" w:cs="Arial" w:eastAsia="Arial" w:hAnsi="Arial"/>
          <w:sz w:val="18"/>
          <w:szCs w:val="18"/>
          <w:color w:val="auto"/>
        </w:rPr>
        <w:t xml:space="preserve"> for a discussion of the metrics, goals and amounts paid to our Named Executive Officers for our annual cash incentive awards in fiscal 2025.</w:t>
      </w:r>
    </w:p>
    <w:p>
      <w:pPr>
        <w:spacing w:after="0" w:line="182" w:lineRule="exact"/>
        <w:rPr>
          <w:rFonts w:ascii="Arial" w:cs="Arial" w:eastAsia="Arial" w:hAnsi="Arial"/>
          <w:sz w:val="18"/>
          <w:szCs w:val="18"/>
          <w:b w:val="1"/>
          <w:bCs w:val="1"/>
          <w:color w:val="05225E"/>
        </w:rPr>
      </w:pPr>
    </w:p>
    <w:p>
      <w:pPr>
        <w:jc w:val="both"/>
        <w:ind w:left="980" w:hanging="324"/>
        <w:spacing w:after="0" w:line="253" w:lineRule="auto"/>
        <w:tabs>
          <w:tab w:leader="none" w:pos="975" w:val="left"/>
        </w:tabs>
        <w:numPr>
          <w:ilvl w:val="0"/>
          <w:numId w:val="27"/>
        </w:numPr>
        <w:rPr>
          <w:rFonts w:ascii="Arial" w:cs="Arial" w:eastAsia="Arial" w:hAnsi="Arial"/>
          <w:sz w:val="18"/>
          <w:szCs w:val="18"/>
          <w:b w:val="1"/>
          <w:bCs w:val="1"/>
          <w:color w:val="05225E"/>
        </w:rPr>
      </w:pPr>
      <w:r>
        <w:rPr>
          <w:rFonts w:ascii="Arial" w:cs="Arial" w:eastAsia="Arial" w:hAnsi="Arial"/>
          <w:sz w:val="18"/>
          <w:szCs w:val="18"/>
          <w:u w:val="single" w:color="auto"/>
          <w:color w:val="auto"/>
        </w:rPr>
        <w:t>Long-Term Incentive Awards</w:t>
      </w:r>
      <w:r>
        <w:rPr>
          <w:rFonts w:ascii="Arial" w:cs="Arial" w:eastAsia="Arial" w:hAnsi="Arial"/>
          <w:sz w:val="18"/>
          <w:szCs w:val="18"/>
          <w:color w:val="auto"/>
        </w:rPr>
        <w:t xml:space="preserve">. Our long-term incentive program for our Other Named Executive Officers is comprised of: (i) 50% time-based restricted stock awards that vest ratably over three years; and (ii) 50% performance awards with a three-year performance period, which settle 50% in cash and 50% in stock and are paid out at the end of the period based on the Company's cumulative Adjusted Diluted EPS and average Adjusted ROIC over the three-year performance period. We added Adjusted Diluted EPS in order to diversify and balance our performance metrics, incentivizing earnings growth as well as return on invested capital. Mr. Silberhorn's long-term incentive award in fiscal 2025 consisted of 40% time-based restricted stock and 60% performance awards with terms consistent with those provided to our Other Named Executive Officers. In fiscal 2025, Mr. Silberhorn received a restricted stock award valued at $1,211,581 and a performance award with a target payout of $1,817,386 and Messrs. Osberg, Jewell, and T. Johnson received stock awards with values ranging from $192,592 to $484,483 and performance awards with target payouts ranging from $256,774 to $484,491. Ms. Trende joined the Company on July 29, 2024. On that date, in addition to her new hire inducement award, Ms. Trende received a restricted award with a value of $245,970 and a performance award with a target payout of $246,019. See "Long-Term Incentive Compensation" beginning on page </w:t>
      </w:r>
      <w:r>
        <w:rPr>
          <w:rFonts w:ascii="Arial" w:cs="Arial" w:eastAsia="Arial" w:hAnsi="Arial"/>
          <w:sz w:val="18"/>
          <w:szCs w:val="18"/>
          <w:u w:val="single" w:color="auto"/>
          <w:color w:val="0000FF"/>
        </w:rPr>
        <w:t>46</w:t>
      </w:r>
      <w:r>
        <w:rPr>
          <w:rFonts w:ascii="Arial" w:cs="Arial" w:eastAsia="Arial" w:hAnsi="Arial"/>
          <w:sz w:val="18"/>
          <w:szCs w:val="18"/>
          <w:color w:val="auto"/>
        </w:rPr>
        <w:t xml:space="preserve"> for additional information about our long-term incentive program and fiscal 2025 awards.</w:t>
      </w:r>
    </w:p>
    <w:p>
      <w:pPr>
        <w:spacing w:after="0" w:line="187" w:lineRule="exact"/>
        <w:rPr>
          <w:rFonts w:ascii="Arial" w:cs="Arial" w:eastAsia="Arial" w:hAnsi="Arial"/>
          <w:sz w:val="18"/>
          <w:szCs w:val="18"/>
          <w:b w:val="1"/>
          <w:bCs w:val="1"/>
          <w:color w:val="05225E"/>
        </w:rPr>
      </w:pPr>
    </w:p>
    <w:p>
      <w:pPr>
        <w:jc w:val="both"/>
        <w:ind w:left="980" w:hanging="324"/>
        <w:spacing w:after="0" w:line="254" w:lineRule="auto"/>
        <w:tabs>
          <w:tab w:leader="none" w:pos="97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New Executive Vice President and Chief Human Resources Officer Appointment</w:t>
      </w:r>
      <w:r>
        <w:rPr>
          <w:rFonts w:ascii="Arial" w:cs="Arial" w:eastAsia="Arial" w:hAnsi="Arial"/>
          <w:sz w:val="18"/>
          <w:szCs w:val="18"/>
          <w:color w:val="auto"/>
        </w:rPr>
        <w:t xml:space="preserve">. In connection with Ms. Trende's appointment as Executive Vice President and Chief Human Resources Officer effective July 29, 2024, the Company and Ms. Trende entered into an "Offer Letter Agreement" (the "Offer Letter"). Pursuant to the terms of the Offer Letter, Ms. Trende is entitled to an initial annual base salary of $410,000 per year and a one-time sign-on bonus of $200,000 (which is subject to repayment if Ms. Trende left the Company during the first twelve months of her employment). This bonus was included in the Bonus column for fiscal 2025 in the "Summary Compensation Table" beginning on page </w:t>
      </w:r>
      <w:r>
        <w:rPr>
          <w:rFonts w:ascii="Arial" w:cs="Arial" w:eastAsia="Arial" w:hAnsi="Arial"/>
          <w:sz w:val="18"/>
          <w:szCs w:val="18"/>
          <w:u w:val="single" w:color="auto"/>
          <w:color w:val="0000FF"/>
        </w:rPr>
        <w:t>53</w:t>
      </w:r>
      <w:r>
        <w:rPr>
          <w:rFonts w:ascii="Arial" w:cs="Arial" w:eastAsia="Arial" w:hAnsi="Arial"/>
          <w:sz w:val="18"/>
          <w:szCs w:val="18"/>
          <w:color w:val="auto"/>
        </w:rPr>
        <w:t>. The Offer Letter also provided for the grant to Ms. Trende of $475,000 worth of restricted shares of the Company's stock, based on the closing price on Ms. Trende's hire date, which was included in the Stock Awards column for fiscal 2025 in the "Summary Compensation Table." Based on continued employment with the Company, 50% of such restricted shares vest twelve months after her hire date, and the remaining 50% will vest twenty-four months after her hire date. Ms. Trende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3" w:name="page44"/>
    <w:bookmarkEnd w:id="43"/>
    <w:p>
      <w:pPr>
        <w:jc w:val="both"/>
        <w:ind w:left="980"/>
        <w:spacing w:after="0" w:line="262" w:lineRule="auto"/>
        <w:rPr>
          <w:sz w:val="20"/>
          <w:szCs w:val="20"/>
          <w:color w:val="auto"/>
        </w:rPr>
      </w:pPr>
      <w:r>
        <w:rPr>
          <w:rFonts w:ascii="Arial" w:cs="Arial" w:eastAsia="Arial" w:hAnsi="Arial"/>
          <w:sz w:val="18"/>
          <w:szCs w:val="18"/>
          <w:color w:val="auto"/>
        </w:rPr>
        <w:t>participates in the Company's annual cash incentive plan, with a target cash incentive of 60% of base salary. The Offer Letter also provided Ms. Trende with a guaranteed fiscal 2025 annual cash incentive paid out at 100% of target. She received long-term incentive awards of time-based restricted stock valued at 60% of base salary, and a performance award with a target payout of 60% of base salary, with terms consistent with those provided to the Other Named Executive Officers.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Primary Compensation Elements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an overview of the three primary compensation elements of our executive compensation program in fiscal 2025.</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gridSpan w:val="2"/>
          </w:tcPr>
          <w:p>
            <w:pPr>
              <w:ind w:left="500"/>
              <w:spacing w:after="0"/>
              <w:rPr>
                <w:sz w:val="20"/>
                <w:szCs w:val="20"/>
                <w:color w:val="auto"/>
              </w:rPr>
            </w:pPr>
            <w:r>
              <w:rPr>
                <w:rFonts w:ascii="Arial" w:cs="Arial" w:eastAsia="Arial" w:hAnsi="Arial"/>
                <w:sz w:val="16"/>
                <w:szCs w:val="16"/>
                <w:b w:val="1"/>
                <w:bCs w:val="1"/>
                <w:color w:val="05445E"/>
              </w:rPr>
              <w:t>Compensation</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ind w:left="360"/>
              <w:spacing w:after="0"/>
              <w:rPr>
                <w:sz w:val="20"/>
                <w:szCs w:val="20"/>
                <w:color w:val="auto"/>
              </w:rPr>
            </w:pPr>
            <w:r>
              <w:rPr>
                <w:rFonts w:ascii="Arial" w:cs="Arial" w:eastAsia="Arial" w:hAnsi="Arial"/>
                <w:sz w:val="16"/>
                <w:szCs w:val="16"/>
                <w:b w:val="1"/>
                <w:bCs w:val="1"/>
                <w:color w:val="05445E"/>
              </w:rPr>
              <w:t>How Impacted by</w:t>
            </w:r>
          </w:p>
        </w:tc>
        <w:tc>
          <w:tcPr>
            <w:tcW w:w="0" w:type="dxa"/>
            <w:vAlign w:val="bottom"/>
          </w:tcPr>
          <w:p>
            <w:pPr>
              <w:spacing w:after="0"/>
              <w:rPr>
                <w:sz w:val="1"/>
                <w:szCs w:val="1"/>
                <w:color w:val="auto"/>
              </w:rPr>
            </w:pPr>
          </w:p>
        </w:tc>
      </w:tr>
      <w:tr>
        <w:trPr>
          <w:trHeight w:val="244"/>
        </w:trPr>
        <w:tc>
          <w:tcPr>
            <w:tcW w:w="218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05445E"/>
              </w:rPr>
              <w:t>Element</w:t>
            </w:r>
          </w:p>
        </w:tc>
        <w:tc>
          <w:tcPr>
            <w:tcW w:w="100" w:type="dxa"/>
            <w:vAlign w:val="bottom"/>
            <w:tcBorders>
              <w:bottom w:val="single" w:sz="8" w:color="D9D9D9"/>
            </w:tcBorders>
          </w:tcPr>
          <w:p>
            <w:pPr>
              <w:spacing w:after="0"/>
              <w:rPr>
                <w:sz w:val="21"/>
                <w:szCs w:val="21"/>
                <w:color w:val="auto"/>
              </w:rPr>
            </w:pPr>
          </w:p>
        </w:tc>
        <w:tc>
          <w:tcPr>
            <w:tcW w:w="212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05445E"/>
              </w:rPr>
              <w:t>Objective</w:t>
            </w:r>
          </w:p>
        </w:tc>
        <w:tc>
          <w:tcPr>
            <w:tcW w:w="80" w:type="dxa"/>
            <w:vAlign w:val="bottom"/>
            <w:tcBorders>
              <w:bottom w:val="single" w:sz="8" w:color="D9D9D9"/>
            </w:tcBorders>
          </w:tcPr>
          <w:p>
            <w:pPr>
              <w:spacing w:after="0"/>
              <w:rPr>
                <w:sz w:val="21"/>
                <w:szCs w:val="21"/>
                <w:color w:val="auto"/>
              </w:rPr>
            </w:pPr>
          </w:p>
        </w:tc>
        <w:tc>
          <w:tcPr>
            <w:tcW w:w="21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05445E"/>
              </w:rPr>
              <w:t>How Determined</w:t>
            </w:r>
          </w:p>
        </w:tc>
        <w:tc>
          <w:tcPr>
            <w:tcW w:w="100" w:type="dxa"/>
            <w:vAlign w:val="bottom"/>
            <w:tcBorders>
              <w:bottom w:val="single" w:sz="8" w:color="D9D9D9"/>
            </w:tcBorders>
          </w:tcPr>
          <w:p>
            <w:pPr>
              <w:spacing w:after="0"/>
              <w:rPr>
                <w:sz w:val="21"/>
                <w:szCs w:val="21"/>
                <w:color w:val="auto"/>
              </w:rPr>
            </w:pPr>
          </w:p>
        </w:tc>
        <w:tc>
          <w:tcPr>
            <w:tcW w:w="21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05445E"/>
              </w:rPr>
              <w:t>Market Positioning</w:t>
            </w:r>
            <w:r>
              <w:rPr>
                <w:rFonts w:ascii="Arial" w:cs="Arial" w:eastAsia="Arial" w:hAnsi="Arial"/>
                <w:sz w:val="21"/>
                <w:szCs w:val="21"/>
                <w:b w:val="1"/>
                <w:bCs w:val="1"/>
                <w:color w:val="05445E"/>
                <w:vertAlign w:val="superscript"/>
              </w:rPr>
              <w:t>(1)</w:t>
            </w:r>
          </w:p>
        </w:tc>
        <w:tc>
          <w:tcPr>
            <w:tcW w:w="100" w:type="dxa"/>
            <w:vAlign w:val="bottom"/>
            <w:tcBorders>
              <w:bottom w:val="single" w:sz="8" w:color="D9D9D9"/>
            </w:tcBorders>
          </w:tcPr>
          <w:p>
            <w:pPr>
              <w:spacing w:after="0"/>
              <w:rPr>
                <w:sz w:val="21"/>
                <w:szCs w:val="21"/>
                <w:color w:val="auto"/>
              </w:rPr>
            </w:pPr>
          </w:p>
        </w:tc>
        <w:tc>
          <w:tcPr>
            <w:tcW w:w="212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05445E"/>
              </w:rPr>
              <w:t>Performance</w:t>
            </w:r>
          </w:p>
        </w:tc>
        <w:tc>
          <w:tcPr>
            <w:tcW w:w="0" w:type="dxa"/>
            <w:vAlign w:val="bottom"/>
          </w:tcPr>
          <w:p>
            <w:pPr>
              <w:spacing w:after="0"/>
              <w:rPr>
                <w:sz w:val="1"/>
                <w:szCs w:val="1"/>
                <w:color w:val="auto"/>
              </w:rPr>
            </w:pPr>
          </w:p>
        </w:tc>
      </w:tr>
      <w:tr>
        <w:trPr>
          <w:trHeight w:val="195"/>
        </w:trPr>
        <w:tc>
          <w:tcPr>
            <w:tcW w:w="228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Base Salary and Benefits</w:t>
            </w:r>
          </w:p>
        </w:tc>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Attract and retain executive</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Individual performance,</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Targeted to be around the</w:t>
            </w:r>
          </w:p>
        </w:tc>
        <w:tc>
          <w:tcPr>
            <w:tcW w:w="2120" w:type="dxa"/>
            <w:vAlign w:val="bottom"/>
            <w:shd w:val="clear" w:color="auto" w:fill="D9D9D9"/>
          </w:tcPr>
          <w:p>
            <w:pPr>
              <w:ind w:left="20"/>
              <w:spacing w:after="0"/>
              <w:rPr>
                <w:sz w:val="20"/>
                <w:szCs w:val="20"/>
                <w:color w:val="auto"/>
              </w:rPr>
            </w:pPr>
            <w:r>
              <w:rPr>
                <w:rFonts w:ascii="Arial" w:cs="Arial" w:eastAsia="Arial" w:hAnsi="Arial"/>
                <w:sz w:val="16"/>
                <w:szCs w:val="16"/>
                <w:color w:val="auto"/>
              </w:rPr>
              <w:t>Adjusted based on factors</w:t>
            </w:r>
          </w:p>
        </w:tc>
        <w:tc>
          <w:tcPr>
            <w:tcW w:w="0" w:type="dxa"/>
            <w:vAlign w:val="bottom"/>
          </w:tcPr>
          <w:p>
            <w:pPr>
              <w:spacing w:after="0"/>
              <w:rPr>
                <w:sz w:val="1"/>
                <w:szCs w:val="1"/>
                <w:color w:val="auto"/>
              </w:rPr>
            </w:pPr>
          </w:p>
        </w:tc>
      </w:tr>
      <w:tr>
        <w:trPr>
          <w:trHeight w:val="203"/>
        </w:trPr>
        <w:tc>
          <w:tcPr>
            <w:tcW w:w="21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officers through competitive</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experience, tenure,</w:t>
            </w:r>
          </w:p>
        </w:tc>
        <w:tc>
          <w:tcPr>
            <w:tcW w:w="2220" w:type="dxa"/>
            <w:vAlign w:val="bottom"/>
            <w:gridSpan w:val="2"/>
            <w:shd w:val="clear" w:color="auto" w:fill="D9D9D9"/>
          </w:tcPr>
          <w:p>
            <w:pPr>
              <w:ind w:left="20"/>
              <w:spacing w:after="0" w:line="203" w:lineRule="exact"/>
              <w:rPr>
                <w:sz w:val="20"/>
                <w:szCs w:val="20"/>
                <w:color w:val="auto"/>
              </w:rPr>
            </w:pPr>
            <w:r>
              <w:rPr>
                <w:rFonts w:ascii="Arial" w:cs="Arial" w:eastAsia="Arial" w:hAnsi="Arial"/>
                <w:sz w:val="16"/>
                <w:szCs w:val="16"/>
                <w:color w:val="auto"/>
              </w:rPr>
              <w:t>50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of for</w:t>
            </w:r>
          </w:p>
        </w:tc>
        <w:tc>
          <w:tcPr>
            <w:tcW w:w="2120" w:type="dxa"/>
            <w:vAlign w:val="bottom"/>
            <w:shd w:val="clear" w:color="auto" w:fill="D9D9D9"/>
          </w:tcPr>
          <w:p>
            <w:pPr>
              <w:ind w:left="20"/>
              <w:spacing w:after="0"/>
              <w:rPr>
                <w:sz w:val="20"/>
                <w:szCs w:val="20"/>
                <w:color w:val="auto"/>
              </w:rPr>
            </w:pPr>
            <w:r>
              <w:rPr>
                <w:rFonts w:ascii="Arial" w:cs="Arial" w:eastAsia="Arial" w:hAnsi="Arial"/>
                <w:sz w:val="16"/>
                <w:szCs w:val="16"/>
                <w:color w:val="auto"/>
              </w:rPr>
              <w:t>including individual</w:t>
            </w:r>
          </w:p>
        </w:tc>
        <w:tc>
          <w:tcPr>
            <w:tcW w:w="0" w:type="dxa"/>
            <w:vAlign w:val="bottom"/>
          </w:tcPr>
          <w:p>
            <w:pPr>
              <w:spacing w:after="0"/>
              <w:rPr>
                <w:sz w:val="1"/>
                <w:szCs w:val="1"/>
                <w:color w:val="auto"/>
              </w:rPr>
            </w:pPr>
          </w:p>
        </w:tc>
      </w:tr>
      <w:tr>
        <w:trPr>
          <w:trHeight w:val="189"/>
        </w:trPr>
        <w:tc>
          <w:tcPr>
            <w:tcW w:w="218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pay and benefit programs.</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competitive market data and</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comparable roles at peer</w:t>
            </w:r>
          </w:p>
        </w:tc>
        <w:tc>
          <w:tcPr>
            <w:tcW w:w="2120" w:type="dxa"/>
            <w:vAlign w:val="bottom"/>
            <w:shd w:val="clear" w:color="auto" w:fill="D9D9D9"/>
          </w:tcPr>
          <w:p>
            <w:pPr>
              <w:ind w:left="20"/>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203"/>
        </w:trPr>
        <w:tc>
          <w:tcPr>
            <w:tcW w:w="21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21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trends, internal equity and</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companies.</w:t>
            </w:r>
          </w:p>
        </w:tc>
        <w:tc>
          <w:tcPr>
            <w:tcW w:w="212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21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executive potential.</w:t>
            </w:r>
          </w:p>
        </w:tc>
        <w:tc>
          <w:tcPr>
            <w:tcW w:w="212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212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Annual Cash Incentive</w:t>
            </w:r>
          </w:p>
        </w:tc>
        <w:tc>
          <w:tcPr>
            <w:tcW w:w="2200" w:type="dxa"/>
            <w:vAlign w:val="bottom"/>
            <w:gridSpan w:val="2"/>
          </w:tcPr>
          <w:p>
            <w:pPr>
              <w:ind w:left="20"/>
              <w:spacing w:after="0"/>
              <w:rPr>
                <w:sz w:val="20"/>
                <w:szCs w:val="20"/>
                <w:color w:val="auto"/>
              </w:rPr>
            </w:pPr>
            <w:r>
              <w:rPr>
                <w:rFonts w:ascii="Arial" w:cs="Arial" w:eastAsia="Arial" w:hAnsi="Arial"/>
                <w:sz w:val="16"/>
                <w:szCs w:val="16"/>
                <w:color w:val="auto"/>
              </w:rPr>
              <w:t>Create an incentive for the</w:t>
            </w:r>
          </w:p>
        </w:tc>
        <w:tc>
          <w:tcPr>
            <w:tcW w:w="2220" w:type="dxa"/>
            <w:vAlign w:val="bottom"/>
            <w:gridSpan w:val="2"/>
          </w:tcPr>
          <w:p>
            <w:pPr>
              <w:ind w:left="20"/>
              <w:spacing w:after="0"/>
              <w:rPr>
                <w:sz w:val="20"/>
                <w:szCs w:val="20"/>
                <w:color w:val="auto"/>
              </w:rPr>
            </w:pPr>
            <w:r>
              <w:rPr>
                <w:rFonts w:ascii="Arial" w:cs="Arial" w:eastAsia="Arial" w:hAnsi="Arial"/>
                <w:sz w:val="16"/>
                <w:szCs w:val="16"/>
                <w:color w:val="auto"/>
              </w:rPr>
              <w:t>A percentage of base salary</w:t>
            </w:r>
          </w:p>
        </w:tc>
        <w:tc>
          <w:tcPr>
            <w:tcW w:w="2220" w:type="dxa"/>
            <w:vAlign w:val="bottom"/>
            <w:gridSpan w:val="2"/>
          </w:tcPr>
          <w:p>
            <w:pPr>
              <w:ind w:left="20"/>
              <w:spacing w:after="0"/>
              <w:rPr>
                <w:sz w:val="20"/>
                <w:szCs w:val="20"/>
                <w:color w:val="auto"/>
              </w:rPr>
            </w:pPr>
            <w:r>
              <w:rPr>
                <w:rFonts w:ascii="Arial" w:cs="Arial" w:eastAsia="Arial" w:hAnsi="Arial"/>
                <w:sz w:val="16"/>
                <w:szCs w:val="16"/>
                <w:color w:val="auto"/>
              </w:rPr>
              <w:t>Targeted to be slightly below</w:t>
            </w:r>
          </w:p>
        </w:tc>
        <w:tc>
          <w:tcPr>
            <w:tcW w:w="2120" w:type="dxa"/>
            <w:vAlign w:val="bottom"/>
          </w:tcPr>
          <w:p>
            <w:pPr>
              <w:ind w:left="20"/>
              <w:spacing w:after="0"/>
              <w:rPr>
                <w:sz w:val="20"/>
                <w:szCs w:val="20"/>
                <w:color w:val="auto"/>
              </w:rPr>
            </w:pPr>
            <w:r>
              <w:rPr>
                <w:rFonts w:ascii="Arial" w:cs="Arial" w:eastAsia="Arial" w:hAnsi="Arial"/>
                <w:sz w:val="16"/>
                <w:szCs w:val="16"/>
                <w:color w:val="auto"/>
              </w:rPr>
              <w:t>Payout dependent on</w:t>
            </w:r>
          </w:p>
        </w:tc>
        <w:tc>
          <w:tcPr>
            <w:tcW w:w="0" w:type="dxa"/>
            <w:vAlign w:val="bottom"/>
          </w:tcPr>
          <w:p>
            <w:pPr>
              <w:spacing w:after="0"/>
              <w:rPr>
                <w:sz w:val="1"/>
                <w:szCs w:val="1"/>
                <w:color w:val="auto"/>
              </w:rPr>
            </w:pPr>
          </w:p>
        </w:tc>
      </w:tr>
      <w:tr>
        <w:trPr>
          <w:trHeight w:val="203"/>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Compensation (Short-Term</w:t>
            </w:r>
          </w:p>
        </w:tc>
        <w:tc>
          <w:tcPr>
            <w:tcW w:w="2200" w:type="dxa"/>
            <w:vAlign w:val="bottom"/>
            <w:gridSpan w:val="2"/>
          </w:tcPr>
          <w:p>
            <w:pPr>
              <w:ind w:left="20"/>
              <w:spacing w:after="0"/>
              <w:rPr>
                <w:sz w:val="20"/>
                <w:szCs w:val="20"/>
                <w:color w:val="auto"/>
              </w:rPr>
            </w:pPr>
            <w:r>
              <w:rPr>
                <w:rFonts w:ascii="Arial" w:cs="Arial" w:eastAsia="Arial" w:hAnsi="Arial"/>
                <w:sz w:val="16"/>
                <w:szCs w:val="16"/>
                <w:color w:val="auto"/>
              </w:rPr>
              <w:t>achievement of pre-defined</w:t>
            </w:r>
          </w:p>
        </w:tc>
        <w:tc>
          <w:tcPr>
            <w:tcW w:w="2220" w:type="dxa"/>
            <w:vAlign w:val="bottom"/>
            <w:gridSpan w:val="2"/>
          </w:tcPr>
          <w:p>
            <w:pPr>
              <w:ind w:left="20"/>
              <w:spacing w:after="0"/>
              <w:rPr>
                <w:sz w:val="20"/>
                <w:szCs w:val="20"/>
                <w:color w:val="auto"/>
              </w:rPr>
            </w:pPr>
            <w:r>
              <w:rPr>
                <w:rFonts w:ascii="Arial" w:cs="Arial" w:eastAsia="Arial" w:hAnsi="Arial"/>
                <w:sz w:val="16"/>
                <w:szCs w:val="16"/>
                <w:color w:val="auto"/>
              </w:rPr>
              <w:t>based on competitive market</w:t>
            </w:r>
          </w:p>
        </w:tc>
        <w:tc>
          <w:tcPr>
            <w:tcW w:w="2220" w:type="dxa"/>
            <w:vAlign w:val="bottom"/>
            <w:gridSpan w:val="2"/>
          </w:tcPr>
          <w:p>
            <w:pPr>
              <w:ind w:left="20"/>
              <w:spacing w:after="0"/>
              <w:rPr>
                <w:sz w:val="20"/>
                <w:szCs w:val="20"/>
                <w:color w:val="auto"/>
              </w:rPr>
            </w:pPr>
            <w:r>
              <w:rPr>
                <w:rFonts w:ascii="Arial" w:cs="Arial" w:eastAsia="Arial" w:hAnsi="Arial"/>
                <w:sz w:val="16"/>
                <w:szCs w:val="16"/>
                <w:color w:val="auto"/>
              </w:rPr>
              <w:t>the 50th percentile for target</w:t>
            </w:r>
          </w:p>
        </w:tc>
        <w:tc>
          <w:tcPr>
            <w:tcW w:w="2120" w:type="dxa"/>
            <w:vAlign w:val="bottom"/>
          </w:tcPr>
          <w:p>
            <w:pPr>
              <w:ind w:left="20"/>
              <w:spacing w:after="0"/>
              <w:rPr>
                <w:sz w:val="20"/>
                <w:szCs w:val="20"/>
                <w:color w:val="auto"/>
              </w:rPr>
            </w:pPr>
            <w:r>
              <w:rPr>
                <w:rFonts w:ascii="Arial" w:cs="Arial" w:eastAsia="Arial" w:hAnsi="Arial"/>
                <w:sz w:val="16"/>
                <w:szCs w:val="16"/>
                <w:color w:val="auto"/>
              </w:rPr>
              <w:t>achievement of one-year</w:t>
            </w:r>
          </w:p>
        </w:tc>
        <w:tc>
          <w:tcPr>
            <w:tcW w:w="0" w:type="dxa"/>
            <w:vAlign w:val="bottom"/>
          </w:tcPr>
          <w:p>
            <w:pPr>
              <w:spacing w:after="0"/>
              <w:rPr>
                <w:sz w:val="1"/>
                <w:szCs w:val="1"/>
                <w:color w:val="auto"/>
              </w:rPr>
            </w:pPr>
          </w:p>
        </w:tc>
      </w:tr>
      <w:tr>
        <w:trPr>
          <w:trHeight w:val="189"/>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Incentive)</w:t>
            </w:r>
          </w:p>
        </w:tc>
        <w:tc>
          <w:tcPr>
            <w:tcW w:w="2200" w:type="dxa"/>
            <w:vAlign w:val="bottom"/>
            <w:gridSpan w:val="2"/>
          </w:tcPr>
          <w:p>
            <w:pPr>
              <w:ind w:left="20"/>
              <w:spacing w:after="0"/>
              <w:rPr>
                <w:sz w:val="20"/>
                <w:szCs w:val="20"/>
                <w:color w:val="auto"/>
              </w:rPr>
            </w:pPr>
            <w:r>
              <w:rPr>
                <w:rFonts w:ascii="Arial" w:cs="Arial" w:eastAsia="Arial" w:hAnsi="Arial"/>
                <w:sz w:val="16"/>
                <w:szCs w:val="16"/>
                <w:color w:val="auto"/>
              </w:rPr>
              <w:t>annual Company financial</w:t>
            </w:r>
          </w:p>
        </w:tc>
        <w:tc>
          <w:tcPr>
            <w:tcW w:w="2220" w:type="dxa"/>
            <w:vAlign w:val="bottom"/>
            <w:gridSpan w:val="2"/>
          </w:tcPr>
          <w:p>
            <w:pPr>
              <w:ind w:left="20"/>
              <w:spacing w:after="0"/>
              <w:rPr>
                <w:sz w:val="20"/>
                <w:szCs w:val="20"/>
                <w:color w:val="auto"/>
              </w:rPr>
            </w:pPr>
            <w:r>
              <w:rPr>
                <w:rFonts w:ascii="Arial" w:cs="Arial" w:eastAsia="Arial" w:hAnsi="Arial"/>
                <w:sz w:val="16"/>
                <w:szCs w:val="16"/>
                <w:color w:val="auto"/>
              </w:rPr>
              <w:t>data and trends, and internal</w:t>
            </w:r>
          </w:p>
        </w:tc>
        <w:tc>
          <w:tcPr>
            <w:tcW w:w="2220" w:type="dxa"/>
            <w:vAlign w:val="bottom"/>
            <w:gridSpan w:val="2"/>
          </w:tcPr>
          <w:p>
            <w:pPr>
              <w:ind w:left="20"/>
              <w:spacing w:after="0"/>
              <w:rPr>
                <w:sz w:val="20"/>
                <w:szCs w:val="20"/>
                <w:color w:val="auto"/>
              </w:rPr>
            </w:pPr>
            <w:r>
              <w:rPr>
                <w:rFonts w:ascii="Arial" w:cs="Arial" w:eastAsia="Arial" w:hAnsi="Arial"/>
                <w:sz w:val="16"/>
                <w:szCs w:val="16"/>
                <w:color w:val="auto"/>
              </w:rPr>
              <w:t>total cash compensation.</w:t>
            </w:r>
          </w:p>
        </w:tc>
        <w:tc>
          <w:tcPr>
            <w:tcW w:w="2120" w:type="dxa"/>
            <w:vAlign w:val="bottom"/>
          </w:tcPr>
          <w:p>
            <w:pPr>
              <w:ind w:left="20"/>
              <w:spacing w:after="0"/>
              <w:rPr>
                <w:sz w:val="20"/>
                <w:szCs w:val="20"/>
                <w:color w:val="auto"/>
              </w:rPr>
            </w:pPr>
            <w:r>
              <w:rPr>
                <w:rFonts w:ascii="Arial" w:cs="Arial" w:eastAsia="Arial" w:hAnsi="Arial"/>
                <w:sz w:val="16"/>
                <w:szCs w:val="16"/>
                <w:color w:val="auto"/>
              </w:rPr>
              <w:t>Company financial</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2"/>
          </w:tcPr>
          <w:p>
            <w:pPr>
              <w:ind w:left="20"/>
              <w:spacing w:after="0"/>
              <w:rPr>
                <w:sz w:val="20"/>
                <w:szCs w:val="20"/>
                <w:color w:val="auto"/>
              </w:rPr>
            </w:pPr>
            <w:r>
              <w:rPr>
                <w:rFonts w:ascii="Arial" w:cs="Arial" w:eastAsia="Arial" w:hAnsi="Arial"/>
                <w:sz w:val="16"/>
                <w:szCs w:val="16"/>
                <w:color w:val="auto"/>
              </w:rPr>
              <w:t>performance results.</w:t>
            </w:r>
          </w:p>
        </w:tc>
        <w:tc>
          <w:tcPr>
            <w:tcW w:w="2220" w:type="dxa"/>
            <w:vAlign w:val="bottom"/>
            <w:gridSpan w:val="2"/>
          </w:tcPr>
          <w:p>
            <w:pPr>
              <w:ind w:left="20"/>
              <w:spacing w:after="0"/>
              <w:rPr>
                <w:sz w:val="20"/>
                <w:szCs w:val="20"/>
                <w:color w:val="auto"/>
              </w:rPr>
            </w:pPr>
            <w:r>
              <w:rPr>
                <w:rFonts w:ascii="Arial" w:cs="Arial" w:eastAsia="Arial" w:hAnsi="Arial"/>
                <w:sz w:val="16"/>
                <w:szCs w:val="16"/>
                <w:color w:val="auto"/>
              </w:rPr>
              <w:t>equity.</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ind w:left="20"/>
              <w:spacing w:after="0"/>
              <w:rPr>
                <w:sz w:val="20"/>
                <w:szCs w:val="20"/>
                <w:color w:val="auto"/>
              </w:rPr>
            </w:pPr>
            <w:r>
              <w:rPr>
                <w:rFonts w:ascii="Arial" w:cs="Arial" w:eastAsia="Arial" w:hAnsi="Arial"/>
                <w:sz w:val="16"/>
                <w:szCs w:val="16"/>
                <w:color w:val="auto"/>
              </w:rPr>
              <w:t>performance against pre-</w:t>
            </w: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2"/>
            <w:vMerge w:val="restart"/>
          </w:tcPr>
          <w:p>
            <w:pPr>
              <w:ind w:left="20"/>
              <w:spacing w:after="0"/>
              <w:rPr>
                <w:sz w:val="20"/>
                <w:szCs w:val="20"/>
                <w:color w:val="auto"/>
              </w:rPr>
            </w:pPr>
            <w:r>
              <w:rPr>
                <w:rFonts w:ascii="Arial" w:cs="Arial" w:eastAsia="Arial" w:hAnsi="Arial"/>
                <w:sz w:val="16"/>
                <w:szCs w:val="16"/>
                <w:color w:val="auto"/>
              </w:rPr>
              <w:t>For actual bonus payouts –</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ind w:left="20"/>
              <w:spacing w:after="0"/>
              <w:rPr>
                <w:sz w:val="20"/>
                <w:szCs w:val="20"/>
                <w:color w:val="auto"/>
              </w:rPr>
            </w:pPr>
            <w:r>
              <w:rPr>
                <w:rFonts w:ascii="Arial" w:cs="Arial" w:eastAsia="Arial" w:hAnsi="Arial"/>
                <w:sz w:val="16"/>
                <w:szCs w:val="16"/>
                <w:color w:val="auto"/>
              </w:rPr>
              <w:t>established goals.</w:t>
            </w:r>
          </w:p>
        </w:tc>
        <w:tc>
          <w:tcPr>
            <w:tcW w:w="0" w:type="dxa"/>
            <w:vAlign w:val="bottom"/>
          </w:tcPr>
          <w:p>
            <w:pPr>
              <w:spacing w:after="0"/>
              <w:rPr>
                <w:sz w:val="1"/>
                <w:szCs w:val="1"/>
                <w:color w:val="auto"/>
              </w:rPr>
            </w:pPr>
          </w:p>
        </w:tc>
      </w:tr>
      <w:tr>
        <w:trPr>
          <w:trHeight w:val="82"/>
        </w:trPr>
        <w:tc>
          <w:tcPr>
            <w:tcW w:w="2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20" w:type="dxa"/>
            <w:vAlign w:val="bottom"/>
            <w:gridSpan w:val="2"/>
            <w:vMerge w:val="continue"/>
          </w:tcPr>
          <w:p>
            <w:pPr>
              <w:spacing w:after="0"/>
              <w:rPr>
                <w:sz w:val="7"/>
                <w:szCs w:val="7"/>
                <w:color w:val="auto"/>
              </w:rPr>
            </w:pPr>
          </w:p>
        </w:tc>
        <w:tc>
          <w:tcPr>
            <w:tcW w:w="2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2"/>
          </w:tcPr>
          <w:p>
            <w:pPr>
              <w:ind w:left="20"/>
              <w:spacing w:after="0"/>
              <w:rPr>
                <w:sz w:val="20"/>
                <w:szCs w:val="20"/>
                <w:color w:val="auto"/>
              </w:rPr>
            </w:pPr>
            <w:r>
              <w:rPr>
                <w:rFonts w:ascii="Arial" w:cs="Arial" w:eastAsia="Arial" w:hAnsi="Arial"/>
                <w:sz w:val="16"/>
                <w:szCs w:val="16"/>
                <w:color w:val="auto"/>
              </w:rPr>
              <w:t>performance against pre-</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gridSpan w:val="2"/>
          </w:tcPr>
          <w:p>
            <w:pPr>
              <w:ind w:left="20"/>
              <w:spacing w:after="0"/>
              <w:rPr>
                <w:sz w:val="20"/>
                <w:szCs w:val="20"/>
                <w:color w:val="auto"/>
              </w:rPr>
            </w:pPr>
            <w:r>
              <w:rPr>
                <w:rFonts w:ascii="Arial" w:cs="Arial" w:eastAsia="Arial" w:hAnsi="Arial"/>
                <w:sz w:val="16"/>
                <w:szCs w:val="16"/>
                <w:color w:val="auto"/>
              </w:rPr>
              <w:t>established criteria as set</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2"/>
          </w:tcPr>
          <w:p>
            <w:pPr>
              <w:ind w:left="20"/>
              <w:spacing w:after="0"/>
              <w:rPr>
                <w:sz w:val="20"/>
                <w:szCs w:val="20"/>
                <w:color w:val="auto"/>
              </w:rPr>
            </w:pPr>
            <w:r>
              <w:rPr>
                <w:rFonts w:ascii="Arial" w:cs="Arial" w:eastAsia="Arial" w:hAnsi="Arial"/>
                <w:sz w:val="16"/>
                <w:szCs w:val="16"/>
                <w:color w:val="auto"/>
              </w:rPr>
              <w:t>forth in our annual cash</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6"/>
                <w:szCs w:val="16"/>
                <w:color w:val="auto"/>
              </w:rPr>
              <w:t>incentive plan.</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28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Long-Term Incentive</w:t>
            </w:r>
          </w:p>
        </w:tc>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Align the interests of</w:t>
            </w:r>
          </w:p>
        </w:tc>
        <w:tc>
          <w:tcPr>
            <w:tcW w:w="2220" w:type="dxa"/>
            <w:vAlign w:val="bottom"/>
            <w:gridSpan w:val="2"/>
            <w:vMerge w:val="restart"/>
            <w:shd w:val="clear" w:color="auto" w:fill="D9D9D9"/>
          </w:tcPr>
          <w:p>
            <w:pPr>
              <w:ind w:left="20"/>
              <w:spacing w:after="0"/>
              <w:rPr>
                <w:sz w:val="20"/>
                <w:szCs w:val="20"/>
                <w:color w:val="auto"/>
              </w:rPr>
            </w:pPr>
            <w:r>
              <w:rPr>
                <w:rFonts w:ascii="Arial" w:cs="Arial" w:eastAsia="Arial" w:hAnsi="Arial"/>
                <w:sz w:val="16"/>
                <w:szCs w:val="16"/>
                <w:color w:val="auto"/>
              </w:rPr>
              <w:t>Individual performance,</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Targeted generally to be at</w:t>
            </w:r>
          </w:p>
        </w:tc>
        <w:tc>
          <w:tcPr>
            <w:tcW w:w="2120" w:type="dxa"/>
            <w:vAlign w:val="bottom"/>
            <w:shd w:val="clear" w:color="auto" w:fill="D9D9D9"/>
          </w:tcPr>
          <w:p>
            <w:pPr>
              <w:ind w:left="20"/>
              <w:spacing w:after="0"/>
              <w:rPr>
                <w:sz w:val="20"/>
                <w:szCs w:val="20"/>
                <w:color w:val="auto"/>
              </w:rPr>
            </w:pPr>
            <w:r>
              <w:rPr>
                <w:rFonts w:ascii="Arial" w:cs="Arial" w:eastAsia="Arial" w:hAnsi="Arial"/>
                <w:sz w:val="16"/>
                <w:szCs w:val="16"/>
                <w:color w:val="auto"/>
              </w:rPr>
              <w:t>Performance award payouts</w:t>
            </w:r>
          </w:p>
        </w:tc>
        <w:tc>
          <w:tcPr>
            <w:tcW w:w="0" w:type="dxa"/>
            <w:vAlign w:val="bottom"/>
          </w:tcPr>
          <w:p>
            <w:pPr>
              <w:spacing w:after="0"/>
              <w:rPr>
                <w:sz w:val="1"/>
                <w:szCs w:val="1"/>
                <w:color w:val="auto"/>
              </w:rPr>
            </w:pPr>
          </w:p>
        </w:tc>
      </w:tr>
      <w:tr>
        <w:trPr>
          <w:trHeight w:val="163"/>
        </w:trPr>
        <w:tc>
          <w:tcPr>
            <w:tcW w:w="2280" w:type="dxa"/>
            <w:vAlign w:val="bottom"/>
            <w:gridSpan w:val="2"/>
            <w:shd w:val="clear" w:color="auto" w:fill="D9D9D9"/>
          </w:tcPr>
          <w:p>
            <w:pPr>
              <w:ind w:left="20"/>
              <w:spacing w:after="0" w:line="163" w:lineRule="exact"/>
              <w:rPr>
                <w:sz w:val="20"/>
                <w:szCs w:val="20"/>
                <w:color w:val="auto"/>
              </w:rPr>
            </w:pPr>
            <w:r>
              <w:rPr>
                <w:rFonts w:ascii="Arial" w:cs="Arial" w:eastAsia="Arial" w:hAnsi="Arial"/>
                <w:sz w:val="16"/>
                <w:szCs w:val="16"/>
                <w:color w:val="auto"/>
              </w:rPr>
              <w:t>Compensation</w:t>
            </w:r>
          </w:p>
        </w:tc>
        <w:tc>
          <w:tcPr>
            <w:tcW w:w="2200" w:type="dxa"/>
            <w:vAlign w:val="bottom"/>
            <w:gridSpan w:val="2"/>
            <w:shd w:val="clear" w:color="auto" w:fill="D9D9D9"/>
          </w:tcPr>
          <w:p>
            <w:pPr>
              <w:ind w:left="20"/>
              <w:spacing w:after="0" w:line="163" w:lineRule="exact"/>
              <w:rPr>
                <w:sz w:val="20"/>
                <w:szCs w:val="20"/>
                <w:color w:val="auto"/>
              </w:rPr>
            </w:pPr>
            <w:r>
              <w:rPr>
                <w:rFonts w:ascii="Arial" w:cs="Arial" w:eastAsia="Arial" w:hAnsi="Arial"/>
                <w:sz w:val="16"/>
                <w:szCs w:val="16"/>
                <w:color w:val="auto"/>
              </w:rPr>
              <w:t>executives with shareholders</w:t>
            </w:r>
          </w:p>
        </w:tc>
        <w:tc>
          <w:tcPr>
            <w:tcW w:w="2220" w:type="dxa"/>
            <w:vAlign w:val="bottom"/>
            <w:gridSpan w:val="2"/>
            <w:vMerge w:val="continue"/>
            <w:shd w:val="clear" w:color="auto" w:fill="D9D9D9"/>
          </w:tcPr>
          <w:p>
            <w:pPr>
              <w:spacing w:after="0"/>
              <w:rPr>
                <w:sz w:val="14"/>
                <w:szCs w:val="14"/>
                <w:color w:val="auto"/>
              </w:rPr>
            </w:pPr>
          </w:p>
        </w:tc>
        <w:tc>
          <w:tcPr>
            <w:tcW w:w="2220" w:type="dxa"/>
            <w:vAlign w:val="bottom"/>
            <w:gridSpan w:val="2"/>
            <w:shd w:val="clear" w:color="auto" w:fill="D9D9D9"/>
          </w:tcPr>
          <w:p>
            <w:pPr>
              <w:ind w:left="20"/>
              <w:spacing w:after="0" w:line="163" w:lineRule="exact"/>
              <w:rPr>
                <w:sz w:val="20"/>
                <w:szCs w:val="20"/>
                <w:color w:val="auto"/>
              </w:rPr>
            </w:pPr>
            <w:r>
              <w:rPr>
                <w:rFonts w:ascii="Arial" w:cs="Arial" w:eastAsia="Arial" w:hAnsi="Arial"/>
                <w:sz w:val="14"/>
                <w:szCs w:val="14"/>
                <w:color w:val="auto"/>
              </w:rPr>
              <w:t>or slightly above the 50</w:t>
            </w:r>
            <w:r>
              <w:rPr>
                <w:rFonts w:ascii="Arial" w:cs="Arial" w:eastAsia="Arial" w:hAnsi="Arial"/>
                <w:sz w:val="18"/>
                <w:szCs w:val="18"/>
                <w:color w:val="auto"/>
                <w:vertAlign w:val="superscript"/>
              </w:rPr>
              <w:t>th</w:t>
            </w:r>
          </w:p>
        </w:tc>
        <w:tc>
          <w:tcPr>
            <w:tcW w:w="2120" w:type="dxa"/>
            <w:vAlign w:val="bottom"/>
            <w:shd w:val="clear" w:color="auto" w:fill="D9D9D9"/>
          </w:tcPr>
          <w:p>
            <w:pPr>
              <w:ind w:left="20"/>
              <w:spacing w:after="0" w:line="163" w:lineRule="exact"/>
              <w:rPr>
                <w:sz w:val="20"/>
                <w:szCs w:val="20"/>
                <w:color w:val="auto"/>
              </w:rPr>
            </w:pPr>
            <w:r>
              <w:rPr>
                <w:rFonts w:ascii="Arial" w:cs="Arial" w:eastAsia="Arial" w:hAnsi="Arial"/>
                <w:sz w:val="16"/>
                <w:szCs w:val="16"/>
                <w:color w:val="auto"/>
              </w:rPr>
              <w:t>vary based on company</w:t>
            </w:r>
          </w:p>
        </w:tc>
        <w:tc>
          <w:tcPr>
            <w:tcW w:w="0" w:type="dxa"/>
            <w:vAlign w:val="bottom"/>
          </w:tcPr>
          <w:p>
            <w:pPr>
              <w:spacing w:after="0"/>
              <w:rPr>
                <w:sz w:val="1"/>
                <w:szCs w:val="1"/>
                <w:color w:val="auto"/>
              </w:rPr>
            </w:pPr>
          </w:p>
        </w:tc>
      </w:tr>
      <w:tr>
        <w:trPr>
          <w:trHeight w:val="148"/>
        </w:trPr>
        <w:tc>
          <w:tcPr>
            <w:tcW w:w="2280" w:type="dxa"/>
            <w:vAlign w:val="bottom"/>
            <w:gridSpan w:val="2"/>
            <w:vMerge w:val="restart"/>
            <w:shd w:val="clear" w:color="auto" w:fill="D9D9D9"/>
          </w:tcPr>
          <w:p>
            <w:pPr>
              <w:ind w:left="20"/>
              <w:spacing w:after="0"/>
              <w:rPr>
                <w:sz w:val="20"/>
                <w:szCs w:val="20"/>
                <w:color w:val="auto"/>
              </w:rPr>
            </w:pPr>
            <w:r>
              <w:rPr>
                <w:rFonts w:ascii="Arial" w:cs="Arial" w:eastAsia="Arial" w:hAnsi="Arial"/>
                <w:sz w:val="16"/>
                <w:szCs w:val="16"/>
                <w:color w:val="auto"/>
              </w:rPr>
              <w:t>•  Restricted Stock (40% for</w:t>
            </w:r>
          </w:p>
        </w:tc>
        <w:tc>
          <w:tcPr>
            <w:tcW w:w="2200" w:type="dxa"/>
            <w:vAlign w:val="bottom"/>
            <w:gridSpan w:val="2"/>
            <w:vMerge w:val="restart"/>
            <w:shd w:val="clear" w:color="auto" w:fill="D9D9D9"/>
          </w:tcPr>
          <w:p>
            <w:pPr>
              <w:ind w:left="20"/>
              <w:spacing w:after="0"/>
              <w:rPr>
                <w:sz w:val="20"/>
                <w:szCs w:val="20"/>
                <w:color w:val="auto"/>
              </w:rPr>
            </w:pPr>
            <w:r>
              <w:rPr>
                <w:rFonts w:ascii="Arial" w:cs="Arial" w:eastAsia="Arial" w:hAnsi="Arial"/>
                <w:sz w:val="16"/>
                <w:szCs w:val="16"/>
                <w:color w:val="auto"/>
              </w:rPr>
              <w:t>and focus executives on</w:t>
            </w:r>
          </w:p>
        </w:tc>
        <w:tc>
          <w:tcPr>
            <w:tcW w:w="2220" w:type="dxa"/>
            <w:vAlign w:val="bottom"/>
            <w:gridSpan w:val="2"/>
            <w:shd w:val="clear" w:color="auto" w:fill="D9D9D9"/>
          </w:tcPr>
          <w:p>
            <w:pPr>
              <w:ind w:left="20"/>
              <w:spacing w:after="0" w:line="148" w:lineRule="exact"/>
              <w:rPr>
                <w:sz w:val="20"/>
                <w:szCs w:val="20"/>
                <w:color w:val="auto"/>
              </w:rPr>
            </w:pPr>
            <w:r>
              <w:rPr>
                <w:rFonts w:ascii="Arial" w:cs="Arial" w:eastAsia="Arial" w:hAnsi="Arial"/>
                <w:sz w:val="16"/>
                <w:szCs w:val="16"/>
                <w:color w:val="auto"/>
              </w:rPr>
              <w:t>company performance,</w:t>
            </w:r>
          </w:p>
        </w:tc>
        <w:tc>
          <w:tcPr>
            <w:tcW w:w="2220" w:type="dxa"/>
            <w:vAlign w:val="bottom"/>
            <w:gridSpan w:val="2"/>
            <w:vMerge w:val="restart"/>
            <w:shd w:val="clear" w:color="auto" w:fill="D9D9D9"/>
          </w:tcPr>
          <w:p>
            <w:pPr>
              <w:ind w:left="20"/>
              <w:spacing w:after="0"/>
              <w:rPr>
                <w:sz w:val="20"/>
                <w:szCs w:val="20"/>
                <w:color w:val="auto"/>
              </w:rPr>
            </w:pPr>
            <w:r>
              <w:rPr>
                <w:rFonts w:ascii="Arial" w:cs="Arial" w:eastAsia="Arial" w:hAnsi="Arial"/>
                <w:sz w:val="16"/>
                <w:szCs w:val="16"/>
                <w:color w:val="auto"/>
              </w:rPr>
              <w:t>percentile for target</w:t>
            </w:r>
          </w:p>
        </w:tc>
        <w:tc>
          <w:tcPr>
            <w:tcW w:w="2120" w:type="dxa"/>
            <w:vAlign w:val="bottom"/>
            <w:vMerge w:val="restart"/>
            <w:shd w:val="clear" w:color="auto" w:fill="D9D9D9"/>
          </w:tcPr>
          <w:p>
            <w:pPr>
              <w:ind w:left="20"/>
              <w:spacing w:after="0"/>
              <w:rPr>
                <w:sz w:val="20"/>
                <w:szCs w:val="20"/>
                <w:color w:val="auto"/>
              </w:rPr>
            </w:pPr>
            <w:r>
              <w:rPr>
                <w:rFonts w:ascii="Arial" w:cs="Arial" w:eastAsia="Arial" w:hAnsi="Arial"/>
                <w:sz w:val="16"/>
                <w:szCs w:val="16"/>
                <w:color w:val="auto"/>
              </w:rPr>
              <w:t>performance against pre-</w:t>
            </w:r>
          </w:p>
        </w:tc>
        <w:tc>
          <w:tcPr>
            <w:tcW w:w="0" w:type="dxa"/>
            <w:vAlign w:val="bottom"/>
          </w:tcPr>
          <w:p>
            <w:pPr>
              <w:spacing w:after="0"/>
              <w:rPr>
                <w:sz w:val="1"/>
                <w:szCs w:val="1"/>
                <w:color w:val="auto"/>
              </w:rPr>
            </w:pPr>
          </w:p>
        </w:tc>
      </w:tr>
      <w:tr>
        <w:trPr>
          <w:trHeight w:val="81"/>
        </w:trPr>
        <w:tc>
          <w:tcPr>
            <w:tcW w:w="2280" w:type="dxa"/>
            <w:vAlign w:val="bottom"/>
            <w:gridSpan w:val="2"/>
            <w:vMerge w:val="continue"/>
            <w:shd w:val="clear" w:color="auto" w:fill="D9D9D9"/>
          </w:tcPr>
          <w:p>
            <w:pPr>
              <w:spacing w:after="0"/>
              <w:rPr>
                <w:sz w:val="7"/>
                <w:szCs w:val="7"/>
                <w:color w:val="auto"/>
              </w:rPr>
            </w:pPr>
          </w:p>
        </w:tc>
        <w:tc>
          <w:tcPr>
            <w:tcW w:w="2200" w:type="dxa"/>
            <w:vAlign w:val="bottom"/>
            <w:gridSpan w:val="2"/>
            <w:vMerge w:val="continue"/>
            <w:shd w:val="clear" w:color="auto" w:fill="D9D9D9"/>
          </w:tcPr>
          <w:p>
            <w:pPr>
              <w:spacing w:after="0"/>
              <w:rPr>
                <w:sz w:val="7"/>
                <w:szCs w:val="7"/>
                <w:color w:val="auto"/>
              </w:rPr>
            </w:pPr>
          </w:p>
        </w:tc>
        <w:tc>
          <w:tcPr>
            <w:tcW w:w="2220" w:type="dxa"/>
            <w:vAlign w:val="bottom"/>
            <w:gridSpan w:val="2"/>
            <w:vMerge w:val="restart"/>
            <w:shd w:val="clear" w:color="auto" w:fill="D9D9D9"/>
          </w:tcPr>
          <w:p>
            <w:pPr>
              <w:ind w:left="20"/>
              <w:spacing w:after="0"/>
              <w:rPr>
                <w:sz w:val="20"/>
                <w:szCs w:val="20"/>
                <w:color w:val="auto"/>
              </w:rPr>
            </w:pPr>
            <w:r>
              <w:rPr>
                <w:rFonts w:ascii="Arial" w:cs="Arial" w:eastAsia="Arial" w:hAnsi="Arial"/>
                <w:sz w:val="16"/>
                <w:szCs w:val="16"/>
                <w:color w:val="auto"/>
              </w:rPr>
              <w:t>market data and trends,</w:t>
            </w:r>
          </w:p>
        </w:tc>
        <w:tc>
          <w:tcPr>
            <w:tcW w:w="2220" w:type="dxa"/>
            <w:vAlign w:val="bottom"/>
            <w:gridSpan w:val="2"/>
            <w:vMerge w:val="continue"/>
            <w:shd w:val="clear" w:color="auto" w:fill="D9D9D9"/>
          </w:tcPr>
          <w:p>
            <w:pPr>
              <w:spacing w:after="0"/>
              <w:rPr>
                <w:sz w:val="7"/>
                <w:szCs w:val="7"/>
                <w:color w:val="auto"/>
              </w:rPr>
            </w:pPr>
          </w:p>
        </w:tc>
        <w:tc>
          <w:tcPr>
            <w:tcW w:w="2120" w:type="dxa"/>
            <w:vAlign w:val="bottom"/>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280" w:type="dxa"/>
            <w:vAlign w:val="bottom"/>
            <w:gridSpan w:val="2"/>
            <w:vMerge w:val="restart"/>
            <w:shd w:val="clear" w:color="auto" w:fill="D9D9D9"/>
          </w:tcPr>
          <w:p>
            <w:pPr>
              <w:ind w:left="260"/>
              <w:spacing w:after="0"/>
              <w:rPr>
                <w:sz w:val="20"/>
                <w:szCs w:val="20"/>
                <w:color w:val="auto"/>
              </w:rPr>
            </w:pPr>
            <w:r>
              <w:rPr>
                <w:rFonts w:ascii="Arial" w:cs="Arial" w:eastAsia="Arial" w:hAnsi="Arial"/>
                <w:sz w:val="16"/>
                <w:szCs w:val="16"/>
                <w:color w:val="auto"/>
              </w:rPr>
              <w:t>Mr. Silberhorn, and 50%</w:t>
            </w:r>
          </w:p>
        </w:tc>
        <w:tc>
          <w:tcPr>
            <w:tcW w:w="2200" w:type="dxa"/>
            <w:vAlign w:val="bottom"/>
            <w:gridSpan w:val="2"/>
            <w:vMerge w:val="restart"/>
            <w:shd w:val="clear" w:color="auto" w:fill="D9D9D9"/>
          </w:tcPr>
          <w:p>
            <w:pPr>
              <w:ind w:left="20"/>
              <w:spacing w:after="0"/>
              <w:rPr>
                <w:sz w:val="20"/>
                <w:szCs w:val="20"/>
                <w:color w:val="auto"/>
              </w:rPr>
            </w:pPr>
            <w:r>
              <w:rPr>
                <w:rFonts w:ascii="Arial" w:cs="Arial" w:eastAsia="Arial" w:hAnsi="Arial"/>
                <w:sz w:val="16"/>
                <w:szCs w:val="16"/>
                <w:color w:val="auto"/>
              </w:rPr>
              <w:t>achieving long-term</w:t>
            </w:r>
          </w:p>
        </w:tc>
        <w:tc>
          <w:tcPr>
            <w:tcW w:w="2220" w:type="dxa"/>
            <w:vAlign w:val="bottom"/>
            <w:gridSpan w:val="2"/>
            <w:vMerge w:val="continue"/>
            <w:shd w:val="clear" w:color="auto" w:fill="D9D9D9"/>
          </w:tcPr>
          <w:p>
            <w:pPr>
              <w:spacing w:after="0"/>
              <w:rPr>
                <w:sz w:val="9"/>
                <w:szCs w:val="9"/>
                <w:color w:val="auto"/>
              </w:rPr>
            </w:pPr>
          </w:p>
        </w:tc>
        <w:tc>
          <w:tcPr>
            <w:tcW w:w="2220" w:type="dxa"/>
            <w:vAlign w:val="bottom"/>
            <w:gridSpan w:val="2"/>
            <w:vMerge w:val="restart"/>
            <w:shd w:val="clear" w:color="auto" w:fill="D9D9D9"/>
          </w:tcPr>
          <w:p>
            <w:pPr>
              <w:ind w:left="20"/>
              <w:spacing w:after="0"/>
              <w:rPr>
                <w:sz w:val="20"/>
                <w:szCs w:val="20"/>
                <w:color w:val="auto"/>
              </w:rPr>
            </w:pPr>
            <w:r>
              <w:rPr>
                <w:rFonts w:ascii="Arial" w:cs="Arial" w:eastAsia="Arial" w:hAnsi="Arial"/>
                <w:sz w:val="16"/>
                <w:szCs w:val="16"/>
                <w:color w:val="auto"/>
              </w:rPr>
              <w:t>performance.</w:t>
            </w:r>
          </w:p>
        </w:tc>
        <w:tc>
          <w:tcPr>
            <w:tcW w:w="2120" w:type="dxa"/>
            <w:vAlign w:val="bottom"/>
            <w:vMerge w:val="restart"/>
            <w:shd w:val="clear" w:color="auto" w:fill="D9D9D9"/>
          </w:tcPr>
          <w:p>
            <w:pPr>
              <w:ind w:left="20"/>
              <w:spacing w:after="0"/>
              <w:rPr>
                <w:sz w:val="20"/>
                <w:szCs w:val="20"/>
                <w:color w:val="auto"/>
              </w:rPr>
            </w:pPr>
            <w:r>
              <w:rPr>
                <w:rFonts w:ascii="Arial" w:cs="Arial" w:eastAsia="Arial" w:hAnsi="Arial"/>
                <w:sz w:val="16"/>
                <w:szCs w:val="16"/>
                <w:color w:val="auto"/>
              </w:rPr>
              <w:t>established goals; the</w:t>
            </w:r>
          </w:p>
        </w:tc>
        <w:tc>
          <w:tcPr>
            <w:tcW w:w="0" w:type="dxa"/>
            <w:vAlign w:val="bottom"/>
          </w:tcPr>
          <w:p>
            <w:pPr>
              <w:spacing w:after="0"/>
              <w:rPr>
                <w:sz w:val="1"/>
                <w:szCs w:val="1"/>
                <w:color w:val="auto"/>
              </w:rPr>
            </w:pPr>
          </w:p>
        </w:tc>
      </w:tr>
      <w:tr>
        <w:trPr>
          <w:trHeight w:val="163"/>
        </w:trPr>
        <w:tc>
          <w:tcPr>
            <w:tcW w:w="2280" w:type="dxa"/>
            <w:vAlign w:val="bottom"/>
            <w:gridSpan w:val="2"/>
            <w:vMerge w:val="continue"/>
            <w:shd w:val="clear" w:color="auto" w:fill="D9D9D9"/>
          </w:tcPr>
          <w:p>
            <w:pPr>
              <w:spacing w:after="0"/>
              <w:rPr>
                <w:sz w:val="14"/>
                <w:szCs w:val="14"/>
                <w:color w:val="auto"/>
              </w:rPr>
            </w:pPr>
          </w:p>
        </w:tc>
        <w:tc>
          <w:tcPr>
            <w:tcW w:w="2200" w:type="dxa"/>
            <w:vAlign w:val="bottom"/>
            <w:gridSpan w:val="2"/>
            <w:vMerge w:val="continue"/>
            <w:shd w:val="clear" w:color="auto" w:fill="D9D9D9"/>
          </w:tcPr>
          <w:p>
            <w:pPr>
              <w:spacing w:after="0"/>
              <w:rPr>
                <w:sz w:val="14"/>
                <w:szCs w:val="14"/>
                <w:color w:val="auto"/>
              </w:rPr>
            </w:pPr>
          </w:p>
        </w:tc>
        <w:tc>
          <w:tcPr>
            <w:tcW w:w="2220" w:type="dxa"/>
            <w:vAlign w:val="bottom"/>
            <w:gridSpan w:val="2"/>
            <w:shd w:val="clear" w:color="auto" w:fill="D9D9D9"/>
          </w:tcPr>
          <w:p>
            <w:pPr>
              <w:ind w:left="20"/>
              <w:spacing w:after="0" w:line="163" w:lineRule="exact"/>
              <w:rPr>
                <w:sz w:val="20"/>
                <w:szCs w:val="20"/>
                <w:color w:val="auto"/>
              </w:rPr>
            </w:pPr>
            <w:r>
              <w:rPr>
                <w:rFonts w:ascii="Arial" w:cs="Arial" w:eastAsia="Arial" w:hAnsi="Arial"/>
                <w:sz w:val="16"/>
                <w:szCs w:val="16"/>
                <w:color w:val="auto"/>
              </w:rPr>
              <w:t>internal equity and executive</w:t>
            </w:r>
          </w:p>
        </w:tc>
        <w:tc>
          <w:tcPr>
            <w:tcW w:w="2220" w:type="dxa"/>
            <w:vAlign w:val="bottom"/>
            <w:gridSpan w:val="2"/>
            <w:vMerge w:val="continue"/>
            <w:shd w:val="clear" w:color="auto" w:fill="D9D9D9"/>
          </w:tcPr>
          <w:p>
            <w:pPr>
              <w:spacing w:after="0"/>
              <w:rPr>
                <w:sz w:val="14"/>
                <w:szCs w:val="14"/>
                <w:color w:val="auto"/>
              </w:rPr>
            </w:pPr>
          </w:p>
        </w:tc>
        <w:tc>
          <w:tcPr>
            <w:tcW w:w="2120" w:type="dxa"/>
            <w:vAlign w:val="bottom"/>
            <w:vMerge w:val="continue"/>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280" w:type="dxa"/>
            <w:vAlign w:val="bottom"/>
            <w:gridSpan w:val="2"/>
            <w:shd w:val="clear" w:color="auto" w:fill="D9D9D9"/>
          </w:tcPr>
          <w:p>
            <w:pPr>
              <w:ind w:left="260"/>
              <w:spacing w:after="0" w:line="121" w:lineRule="exact"/>
              <w:rPr>
                <w:sz w:val="20"/>
                <w:szCs w:val="20"/>
                <w:color w:val="auto"/>
              </w:rPr>
            </w:pPr>
            <w:r>
              <w:rPr>
                <w:rFonts w:ascii="Arial" w:cs="Arial" w:eastAsia="Arial" w:hAnsi="Arial"/>
                <w:sz w:val="14"/>
                <w:szCs w:val="14"/>
                <w:color w:val="auto"/>
              </w:rPr>
              <w:t>for other named</w:t>
            </w:r>
          </w:p>
        </w:tc>
        <w:tc>
          <w:tcPr>
            <w:tcW w:w="2200" w:type="dxa"/>
            <w:vAlign w:val="bottom"/>
            <w:gridSpan w:val="2"/>
            <w:shd w:val="clear" w:color="auto" w:fill="D9D9D9"/>
          </w:tcPr>
          <w:p>
            <w:pPr>
              <w:ind w:left="20"/>
              <w:spacing w:after="0" w:line="121" w:lineRule="exact"/>
              <w:rPr>
                <w:sz w:val="20"/>
                <w:szCs w:val="20"/>
                <w:color w:val="auto"/>
              </w:rPr>
            </w:pPr>
            <w:r>
              <w:rPr>
                <w:rFonts w:ascii="Arial" w:cs="Arial" w:eastAsia="Arial" w:hAnsi="Arial"/>
                <w:sz w:val="14"/>
                <w:szCs w:val="14"/>
                <w:color w:val="auto"/>
              </w:rPr>
              <w:t>sustained performance,</w:t>
            </w:r>
          </w:p>
        </w:tc>
        <w:tc>
          <w:tcPr>
            <w:tcW w:w="2220" w:type="dxa"/>
            <w:vAlign w:val="bottom"/>
            <w:gridSpan w:val="2"/>
            <w:vMerge w:val="restart"/>
            <w:shd w:val="clear" w:color="auto" w:fill="D9D9D9"/>
          </w:tcPr>
          <w:p>
            <w:pPr>
              <w:ind w:left="20"/>
              <w:spacing w:after="0"/>
              <w:rPr>
                <w:sz w:val="20"/>
                <w:szCs w:val="20"/>
                <w:color w:val="auto"/>
              </w:rPr>
            </w:pPr>
            <w:r>
              <w:rPr>
                <w:rFonts w:ascii="Arial" w:cs="Arial" w:eastAsia="Arial" w:hAnsi="Arial"/>
                <w:sz w:val="16"/>
                <w:szCs w:val="16"/>
                <w:color w:val="auto"/>
              </w:rPr>
              <w:t>potential.</w:t>
            </w:r>
          </w:p>
        </w:tc>
        <w:tc>
          <w:tcPr>
            <w:tcW w:w="21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2120" w:type="dxa"/>
            <w:vAlign w:val="bottom"/>
            <w:shd w:val="clear" w:color="auto" w:fill="D9D9D9"/>
          </w:tcPr>
          <w:p>
            <w:pPr>
              <w:ind w:left="20"/>
              <w:spacing w:after="0" w:line="121" w:lineRule="exact"/>
              <w:rPr>
                <w:sz w:val="20"/>
                <w:szCs w:val="20"/>
                <w:color w:val="auto"/>
              </w:rPr>
            </w:pPr>
            <w:r>
              <w:rPr>
                <w:rFonts w:ascii="Arial" w:cs="Arial" w:eastAsia="Arial" w:hAnsi="Arial"/>
                <w:sz w:val="14"/>
                <w:szCs w:val="14"/>
                <w:color w:val="auto"/>
              </w:rPr>
              <w:t>restricted stock awards and</w:t>
            </w:r>
          </w:p>
        </w:tc>
        <w:tc>
          <w:tcPr>
            <w:tcW w:w="0" w:type="dxa"/>
            <w:vAlign w:val="bottom"/>
          </w:tcPr>
          <w:p>
            <w:pPr>
              <w:spacing w:after="0"/>
              <w:rPr>
                <w:sz w:val="1"/>
                <w:szCs w:val="1"/>
                <w:color w:val="auto"/>
              </w:rPr>
            </w:pPr>
          </w:p>
        </w:tc>
      </w:tr>
      <w:tr>
        <w:trPr>
          <w:trHeight w:val="134"/>
        </w:trPr>
        <w:tc>
          <w:tcPr>
            <w:tcW w:w="2280" w:type="dxa"/>
            <w:vAlign w:val="bottom"/>
            <w:gridSpan w:val="2"/>
            <w:vMerge w:val="restart"/>
            <w:shd w:val="clear" w:color="auto" w:fill="D9D9D9"/>
          </w:tcPr>
          <w:p>
            <w:pPr>
              <w:ind w:left="260"/>
              <w:spacing w:after="0"/>
              <w:rPr>
                <w:sz w:val="20"/>
                <w:szCs w:val="20"/>
                <w:color w:val="auto"/>
              </w:rPr>
            </w:pPr>
            <w:r>
              <w:rPr>
                <w:rFonts w:ascii="Arial" w:cs="Arial" w:eastAsia="Arial" w:hAnsi="Arial"/>
                <w:sz w:val="16"/>
                <w:szCs w:val="16"/>
                <w:color w:val="auto"/>
              </w:rPr>
              <w:t>executives); and</w:t>
            </w:r>
          </w:p>
        </w:tc>
        <w:tc>
          <w:tcPr>
            <w:tcW w:w="2200" w:type="dxa"/>
            <w:vAlign w:val="bottom"/>
            <w:gridSpan w:val="2"/>
            <w:vMerge w:val="restart"/>
            <w:shd w:val="clear" w:color="auto" w:fill="D9D9D9"/>
          </w:tcPr>
          <w:p>
            <w:pPr>
              <w:ind w:left="20"/>
              <w:spacing w:after="0"/>
              <w:rPr>
                <w:sz w:val="20"/>
                <w:szCs w:val="20"/>
                <w:color w:val="auto"/>
              </w:rPr>
            </w:pPr>
            <w:r>
              <w:rPr>
                <w:rFonts w:ascii="Arial" w:cs="Arial" w:eastAsia="Arial" w:hAnsi="Arial"/>
                <w:sz w:val="16"/>
                <w:szCs w:val="16"/>
                <w:color w:val="auto"/>
              </w:rPr>
              <w:t>entrepreneurship and</w:t>
            </w:r>
          </w:p>
        </w:tc>
        <w:tc>
          <w:tcPr>
            <w:tcW w:w="2220" w:type="dxa"/>
            <w:vAlign w:val="bottom"/>
            <w:gridSpan w:val="2"/>
            <w:vMerge w:val="continue"/>
            <w:shd w:val="clear" w:color="auto" w:fill="D9D9D9"/>
          </w:tcPr>
          <w:p>
            <w:pPr>
              <w:spacing w:after="0"/>
              <w:rPr>
                <w:sz w:val="11"/>
                <w:szCs w:val="11"/>
                <w:color w:val="auto"/>
              </w:rPr>
            </w:pPr>
          </w:p>
        </w:tc>
        <w:tc>
          <w:tcPr>
            <w:tcW w:w="212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2120" w:type="dxa"/>
            <w:vAlign w:val="bottom"/>
            <w:vMerge w:val="restart"/>
            <w:shd w:val="clear" w:color="auto" w:fill="D9D9D9"/>
          </w:tcPr>
          <w:p>
            <w:pPr>
              <w:ind w:left="20"/>
              <w:spacing w:after="0"/>
              <w:rPr>
                <w:sz w:val="20"/>
                <w:szCs w:val="20"/>
                <w:color w:val="auto"/>
              </w:rPr>
            </w:pPr>
            <w:r>
              <w:rPr>
                <w:rFonts w:ascii="Arial" w:cs="Arial" w:eastAsia="Arial" w:hAnsi="Arial"/>
                <w:sz w:val="16"/>
                <w:szCs w:val="16"/>
                <w:color w:val="auto"/>
              </w:rPr>
              <w:t>the stock settled portion of</w:t>
            </w:r>
          </w:p>
        </w:tc>
        <w:tc>
          <w:tcPr>
            <w:tcW w:w="0" w:type="dxa"/>
            <w:vAlign w:val="bottom"/>
          </w:tcPr>
          <w:p>
            <w:pPr>
              <w:spacing w:after="0"/>
              <w:rPr>
                <w:sz w:val="1"/>
                <w:szCs w:val="1"/>
                <w:color w:val="auto"/>
              </w:rPr>
            </w:pPr>
          </w:p>
        </w:tc>
      </w:tr>
      <w:tr>
        <w:trPr>
          <w:trHeight w:val="55"/>
        </w:trPr>
        <w:tc>
          <w:tcPr>
            <w:tcW w:w="2280" w:type="dxa"/>
            <w:vAlign w:val="bottom"/>
            <w:gridSpan w:val="2"/>
            <w:vMerge w:val="continue"/>
            <w:shd w:val="clear" w:color="auto" w:fill="D9D9D9"/>
          </w:tcPr>
          <w:p>
            <w:pPr>
              <w:spacing w:after="0"/>
              <w:rPr>
                <w:sz w:val="4"/>
                <w:szCs w:val="4"/>
                <w:color w:val="auto"/>
              </w:rPr>
            </w:pPr>
          </w:p>
        </w:tc>
        <w:tc>
          <w:tcPr>
            <w:tcW w:w="2200" w:type="dxa"/>
            <w:vAlign w:val="bottom"/>
            <w:gridSpan w:val="2"/>
            <w:vMerge w:val="continue"/>
            <w:shd w:val="clear" w:color="auto" w:fill="D9D9D9"/>
          </w:tcPr>
          <w:p>
            <w:pPr>
              <w:spacing w:after="0"/>
              <w:rPr>
                <w:sz w:val="4"/>
                <w:szCs w:val="4"/>
                <w:color w:val="auto"/>
              </w:rPr>
            </w:pPr>
          </w:p>
        </w:tc>
        <w:tc>
          <w:tcPr>
            <w:tcW w:w="212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212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2120" w:type="dxa"/>
            <w:vAlign w:val="bottom"/>
            <w:vMerge w:val="continue"/>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delivery of quality products</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New hire, promotion and</w:t>
            </w:r>
          </w:p>
        </w:tc>
        <w:tc>
          <w:tcPr>
            <w:tcW w:w="21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2120" w:type="dxa"/>
            <w:vAlign w:val="bottom"/>
            <w:shd w:val="clear" w:color="auto" w:fill="D9D9D9"/>
          </w:tcPr>
          <w:p>
            <w:pPr>
              <w:ind w:left="20"/>
              <w:spacing w:after="0"/>
              <w:rPr>
                <w:sz w:val="20"/>
                <w:szCs w:val="20"/>
                <w:color w:val="auto"/>
              </w:rPr>
            </w:pPr>
            <w:r>
              <w:rPr>
                <w:rFonts w:ascii="Arial" w:cs="Arial" w:eastAsia="Arial" w:hAnsi="Arial"/>
                <w:sz w:val="16"/>
                <w:szCs w:val="16"/>
                <w:color w:val="auto"/>
              </w:rPr>
              <w:t>the performance awards</w:t>
            </w:r>
          </w:p>
        </w:tc>
        <w:tc>
          <w:tcPr>
            <w:tcW w:w="0" w:type="dxa"/>
            <w:vAlign w:val="bottom"/>
          </w:tcPr>
          <w:p>
            <w:pPr>
              <w:spacing w:after="0"/>
              <w:rPr>
                <w:sz w:val="1"/>
                <w:szCs w:val="1"/>
                <w:color w:val="auto"/>
              </w:rPr>
            </w:pPr>
          </w:p>
        </w:tc>
      </w:tr>
      <w:tr>
        <w:trPr>
          <w:trHeight w:val="189"/>
        </w:trPr>
        <w:tc>
          <w:tcPr>
            <w:tcW w:w="228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  Performance Awards</w:t>
            </w:r>
          </w:p>
        </w:tc>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and services, while creating</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special awards. Internal</w:t>
            </w:r>
          </w:p>
        </w:tc>
        <w:tc>
          <w:tcPr>
            <w:tcW w:w="21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2120" w:type="dxa"/>
            <w:vAlign w:val="bottom"/>
            <w:shd w:val="clear" w:color="auto" w:fill="D9D9D9"/>
          </w:tcPr>
          <w:p>
            <w:pPr>
              <w:ind w:left="20"/>
              <w:spacing w:after="0"/>
              <w:rPr>
                <w:sz w:val="20"/>
                <w:szCs w:val="20"/>
                <w:color w:val="auto"/>
              </w:rPr>
            </w:pPr>
            <w:r>
              <w:rPr>
                <w:rFonts w:ascii="Arial" w:cs="Arial" w:eastAsia="Arial" w:hAnsi="Arial"/>
                <w:sz w:val="16"/>
                <w:szCs w:val="16"/>
                <w:color w:val="auto"/>
              </w:rPr>
              <w:t>also vary based on stock</w:t>
            </w:r>
          </w:p>
        </w:tc>
        <w:tc>
          <w:tcPr>
            <w:tcW w:w="0" w:type="dxa"/>
            <w:vAlign w:val="bottom"/>
          </w:tcPr>
          <w:p>
            <w:pPr>
              <w:spacing w:after="0"/>
              <w:rPr>
                <w:sz w:val="1"/>
                <w:szCs w:val="1"/>
                <w:color w:val="auto"/>
              </w:rPr>
            </w:pPr>
          </w:p>
        </w:tc>
      </w:tr>
      <w:tr>
        <w:trPr>
          <w:trHeight w:val="203"/>
        </w:trPr>
        <w:tc>
          <w:tcPr>
            <w:tcW w:w="2280" w:type="dxa"/>
            <w:vAlign w:val="bottom"/>
            <w:gridSpan w:val="2"/>
            <w:shd w:val="clear" w:color="auto" w:fill="D9D9D9"/>
          </w:tcPr>
          <w:p>
            <w:pPr>
              <w:ind w:left="260"/>
              <w:spacing w:after="0"/>
              <w:rPr>
                <w:sz w:val="20"/>
                <w:szCs w:val="20"/>
                <w:color w:val="auto"/>
              </w:rPr>
            </w:pPr>
            <w:r>
              <w:rPr>
                <w:rFonts w:ascii="Arial" w:cs="Arial" w:eastAsia="Arial" w:hAnsi="Arial"/>
                <w:sz w:val="16"/>
                <w:szCs w:val="16"/>
                <w:color w:val="auto"/>
              </w:rPr>
              <w:t>(60% for Mr. Silberhorn</w:t>
            </w:r>
          </w:p>
        </w:tc>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appropriate retention</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equity and market data and</w:t>
            </w:r>
          </w:p>
        </w:tc>
        <w:tc>
          <w:tcPr>
            <w:tcW w:w="212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2120" w:type="dxa"/>
            <w:vAlign w:val="bottom"/>
            <w:shd w:val="clear" w:color="auto" w:fill="D9D9D9"/>
          </w:tcPr>
          <w:p>
            <w:pPr>
              <w:ind w:left="20"/>
              <w:spacing w:after="0"/>
              <w:rPr>
                <w:sz w:val="20"/>
                <w:szCs w:val="20"/>
                <w:color w:val="auto"/>
              </w:rPr>
            </w:pPr>
            <w:r>
              <w:rPr>
                <w:rFonts w:ascii="Arial" w:cs="Arial" w:eastAsia="Arial" w:hAnsi="Arial"/>
                <w:sz w:val="16"/>
                <w:szCs w:val="16"/>
                <w:color w:val="auto"/>
              </w:rPr>
              <w:t>price performance.</w:t>
            </w:r>
          </w:p>
        </w:tc>
        <w:tc>
          <w:tcPr>
            <w:tcW w:w="0" w:type="dxa"/>
            <w:vAlign w:val="bottom"/>
          </w:tcPr>
          <w:p>
            <w:pPr>
              <w:spacing w:after="0"/>
              <w:rPr>
                <w:sz w:val="1"/>
                <w:szCs w:val="1"/>
                <w:color w:val="auto"/>
              </w:rPr>
            </w:pPr>
          </w:p>
        </w:tc>
      </w:tr>
      <w:tr>
        <w:trPr>
          <w:trHeight w:val="189"/>
        </w:trPr>
        <w:tc>
          <w:tcPr>
            <w:tcW w:w="2280" w:type="dxa"/>
            <w:vAlign w:val="bottom"/>
            <w:gridSpan w:val="2"/>
            <w:shd w:val="clear" w:color="auto" w:fill="D9D9D9"/>
          </w:tcPr>
          <w:p>
            <w:pPr>
              <w:ind w:left="260"/>
              <w:spacing w:after="0"/>
              <w:rPr>
                <w:sz w:val="20"/>
                <w:szCs w:val="20"/>
                <w:color w:val="auto"/>
              </w:rPr>
            </w:pPr>
            <w:r>
              <w:rPr>
                <w:rFonts w:ascii="Arial" w:cs="Arial" w:eastAsia="Arial" w:hAnsi="Arial"/>
                <w:sz w:val="16"/>
                <w:szCs w:val="16"/>
                <w:color w:val="auto"/>
              </w:rPr>
              <w:t>and 50% for other named</w:t>
            </w:r>
          </w:p>
        </w:tc>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incentives through the use of</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trends.</w:t>
            </w:r>
          </w:p>
        </w:tc>
        <w:tc>
          <w:tcPr>
            <w:tcW w:w="21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212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280" w:type="dxa"/>
            <w:vAlign w:val="bottom"/>
            <w:gridSpan w:val="2"/>
            <w:shd w:val="clear" w:color="auto" w:fill="D9D9D9"/>
          </w:tcPr>
          <w:p>
            <w:pPr>
              <w:ind w:left="260"/>
              <w:spacing w:after="0"/>
              <w:rPr>
                <w:sz w:val="20"/>
                <w:szCs w:val="20"/>
                <w:color w:val="auto"/>
              </w:rPr>
            </w:pPr>
            <w:r>
              <w:rPr>
                <w:rFonts w:ascii="Arial" w:cs="Arial" w:eastAsia="Arial" w:hAnsi="Arial"/>
                <w:sz w:val="16"/>
                <w:szCs w:val="16"/>
                <w:color w:val="auto"/>
              </w:rPr>
              <w:t>executives)</w:t>
            </w:r>
          </w:p>
        </w:tc>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multi-year vesting</w:t>
            </w:r>
          </w:p>
        </w:tc>
        <w:tc>
          <w:tcPr>
            <w:tcW w:w="21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21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212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80" w:type="dxa"/>
            <w:vAlign w:val="bottom"/>
            <w:tcBorders>
              <w:bottom w:val="single" w:sz="8" w:color="D9D9D9"/>
            </w:tcBorders>
            <w:shd w:val="clear" w:color="auto" w:fill="D9D9D9"/>
          </w:tcPr>
          <w:p>
            <w:pPr>
              <w:spacing w:after="0"/>
              <w:rPr>
                <w:sz w:val="19"/>
                <w:szCs w:val="19"/>
                <w:color w:val="auto"/>
              </w:rPr>
            </w:pPr>
          </w:p>
        </w:tc>
        <w:tc>
          <w:tcPr>
            <w:tcW w:w="100" w:type="dxa"/>
            <w:vAlign w:val="bottom"/>
            <w:tcBorders>
              <w:bottom w:val="single" w:sz="8" w:color="D9D9D9"/>
            </w:tcBorders>
            <w:shd w:val="clear" w:color="auto" w:fill="D9D9D9"/>
          </w:tcPr>
          <w:p>
            <w:pPr>
              <w:spacing w:after="0"/>
              <w:rPr>
                <w:sz w:val="19"/>
                <w:szCs w:val="19"/>
                <w:color w:val="auto"/>
              </w:rPr>
            </w:pPr>
          </w:p>
        </w:tc>
        <w:tc>
          <w:tcPr>
            <w:tcW w:w="220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6"/>
                <w:szCs w:val="16"/>
                <w:color w:val="auto"/>
              </w:rPr>
              <w:t>schedules.</w:t>
            </w:r>
          </w:p>
        </w:tc>
        <w:tc>
          <w:tcPr>
            <w:tcW w:w="2120" w:type="dxa"/>
            <w:vAlign w:val="bottom"/>
            <w:tcBorders>
              <w:bottom w:val="single" w:sz="8" w:color="D9D9D9"/>
            </w:tcBorders>
            <w:shd w:val="clear" w:color="auto" w:fill="D9D9D9"/>
          </w:tcPr>
          <w:p>
            <w:pPr>
              <w:spacing w:after="0"/>
              <w:rPr>
                <w:sz w:val="19"/>
                <w:szCs w:val="19"/>
                <w:color w:val="auto"/>
              </w:rPr>
            </w:pPr>
          </w:p>
        </w:tc>
        <w:tc>
          <w:tcPr>
            <w:tcW w:w="100" w:type="dxa"/>
            <w:vAlign w:val="bottom"/>
            <w:tcBorders>
              <w:bottom w:val="single" w:sz="8" w:color="D9D9D9"/>
            </w:tcBorders>
            <w:shd w:val="clear" w:color="auto" w:fill="D9D9D9"/>
          </w:tcPr>
          <w:p>
            <w:pPr>
              <w:spacing w:after="0"/>
              <w:rPr>
                <w:sz w:val="19"/>
                <w:szCs w:val="19"/>
                <w:color w:val="auto"/>
              </w:rPr>
            </w:pPr>
          </w:p>
        </w:tc>
        <w:tc>
          <w:tcPr>
            <w:tcW w:w="2120" w:type="dxa"/>
            <w:vAlign w:val="bottom"/>
            <w:tcBorders>
              <w:bottom w:val="single" w:sz="8" w:color="D9D9D9"/>
            </w:tcBorders>
            <w:shd w:val="clear" w:color="auto" w:fill="D9D9D9"/>
          </w:tcPr>
          <w:p>
            <w:pPr>
              <w:spacing w:after="0"/>
              <w:rPr>
                <w:sz w:val="19"/>
                <w:szCs w:val="19"/>
                <w:color w:val="auto"/>
              </w:rPr>
            </w:pPr>
          </w:p>
        </w:tc>
        <w:tc>
          <w:tcPr>
            <w:tcW w:w="100" w:type="dxa"/>
            <w:vAlign w:val="bottom"/>
            <w:tcBorders>
              <w:bottom w:val="single" w:sz="8" w:color="D9D9D9"/>
            </w:tcBorders>
            <w:shd w:val="clear" w:color="auto" w:fill="D9D9D9"/>
          </w:tcPr>
          <w:p>
            <w:pPr>
              <w:spacing w:after="0"/>
              <w:rPr>
                <w:sz w:val="19"/>
                <w:szCs w:val="19"/>
                <w:color w:val="auto"/>
              </w:rPr>
            </w:pPr>
          </w:p>
        </w:tc>
        <w:tc>
          <w:tcPr>
            <w:tcW w:w="2120" w:type="dxa"/>
            <w:vAlign w:val="bottom"/>
            <w:tcBorders>
              <w:bottom w:val="single" w:sz="8" w:color="D9D9D9"/>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Arial" w:cs="Arial" w:eastAsia="Arial" w:hAnsi="Arial"/>
                <w:sz w:val="11"/>
                <w:szCs w:val="11"/>
                <w:color w:val="auto"/>
              </w:rPr>
              <w:t>___________________________</w:t>
            </w: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80" w:hanging="472"/>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pay levels may be above or below the targeted level depending on actual performance.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Determining Executive Compensation</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executive compensation program is evaluated annually taking into consideration changes to our business strategy and annual operating plan, the economy and our competitive marketplace, a robust strategic goal setting process, and evolving executive compensation practices.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first quarter of each fiscal year, the performance of each of our Named Executive Officers is evaluated based on a subjective assessment of: (i) their executive leadership; (ii) enterprise competencies; and (iii) achievement of agreed-upon individual business objectives for the just-completed fiscal year. The annual</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p>
      <w:pPr>
        <w:jc w:val="both"/>
        <w:spacing w:after="0" w:line="262" w:lineRule="auto"/>
        <w:rPr>
          <w:sz w:val="20"/>
          <w:szCs w:val="20"/>
          <w:color w:val="auto"/>
        </w:rPr>
      </w:pPr>
      <w:r>
        <w:rPr>
          <w:rFonts w:ascii="Arial" w:cs="Arial" w:eastAsia="Arial" w:hAnsi="Arial"/>
          <w:sz w:val="18"/>
          <w:szCs w:val="18"/>
          <w:color w:val="auto"/>
        </w:rPr>
        <w:t>performance evaluation of our Chief Executive Officer is administered by our Nominating and Corporate Governance Committee, with all non-employee directors participating in the performance evaluation, and the results of the Chief Executive Officer’s annual performance evaluation are reviewed by the Committee and our full Board. Our Chief Executive Officer conducts or participates in the annual performance evaluation of our Other Named Executive Officers and reviews the results with members of the Committee.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establishing the elements and levels of compensation for a fiscal year, the Committee considers the annual performance evaluations of our Named Executive Officers and reviews its compensation consultant’s independent analyses of compensation based on comparable positions, using both published survey sources and company peer group data to determine our competitive positioning relative to the market. Our Chief Executive Officer makes recommendations to the Committee on compensation for our Other Named Executive Officers, but does not participate in the determination of his own compensation.</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continuously monitors our compensation programs and annually reviews a compensation “tally sheet,” which lists total direct compensation (base salary, annual cash incentive compensation, and long-term incentive awards), perquisites, other elements of executive compensation, broad-based employee benefits and wealth accumulation through our Company equity and retirement plans for our Named Executive Officers; however, the compensation tally sheets are not used to make actual pay decisions. The Committee assesses historical pay and performance to ensure continued alignment of our compensation programs.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Assistance, Peer Group and Competitive Market</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u w:val="single" w:color="auto"/>
          <w:color w:val="auto"/>
        </w:rPr>
        <w:t>Compensation Consultant Independence</w:t>
      </w:r>
      <w:r>
        <w:rPr>
          <w:rFonts w:ascii="Arial" w:cs="Arial" w:eastAsia="Arial" w:hAnsi="Arial"/>
          <w:sz w:val="18"/>
          <w:szCs w:val="18"/>
          <w:color w:val="auto"/>
        </w:rPr>
        <w:t>. The Compensation Committee has the authority to retain independent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to provide counsel and advice regarding compensation levels for our executive officers and related matters. The Committee retained the services of Willis Tower Watson (“WTW”) for fiscal 2025. The compensation consultant reports directly to the Committee, and the Committee can replace the compensation consultant or hire additional consultants at any time. During fiscal 2025, WTW attended each Committee meeting in person or by video conference, including executive sessions as requested, and consulted with the Chair of the Committee between meetings.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under the Dodd-Frank Act, the Committee has analyzed whether the work of WTW, as its compensation consultant, raises any conflict of interest, taking into consideration the following factors under the Nasdaq listing rules: (i) WTW does not provide any other services to our Company, except that WTW provided brokerage services for the Company’s property insurance and surety bonds in exchange for fees less than $120,000 in fiscal 2025; (ii) the amount of fees from our Company paid to WTW is less than 1% of WTW’s total revenue; (iii) WTW’s policies and procedures are designed to ensure independence; (iv) neither WTW, nor any member of its consulting team, has any business or personal relationship with any executive officer of our Company, and no member of their consulting team has any business or personal relationship with any member of the Committee; and (v) neither WTW, nor any member of its consulting team, owns any stock of our Company.</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Committee has determined, based on its analysis of the above factors, that WTW is independent of our Company and the work of WTW (and the individual compensation advisors employed by WTW) as compensation consultants to the Committee, and the additional services provided by WTW, have not created a conflict of interest. The Committee will continue to annually monitor the independence of its compensation consultant.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Peer Group</w:t>
      </w:r>
      <w:r>
        <w:rPr>
          <w:rFonts w:ascii="Arial" w:cs="Arial" w:eastAsia="Arial" w:hAnsi="Arial"/>
          <w:sz w:val="18"/>
          <w:szCs w:val="18"/>
          <w:color w:val="auto"/>
        </w:rPr>
        <w:t>. The selection criteria identified for determining and reviewing our Company’s peer group generally include:</w:t>
      </w:r>
    </w:p>
    <w:p>
      <w:pPr>
        <w:spacing w:after="0" w:line="143"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22"/>
          <w:szCs w:val="22"/>
          <w:color w:val="auto"/>
        </w:rPr>
      </w:pPr>
      <w:r>
        <w:rPr>
          <w:rFonts w:ascii="Arial" w:cs="Arial" w:eastAsia="Arial" w:hAnsi="Arial"/>
          <w:sz w:val="18"/>
          <w:szCs w:val="18"/>
          <w:color w:val="auto"/>
        </w:rPr>
        <w:t>Companies with revenue within a similar range (0.33 to 3.0 multiple).</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29"/>
        </w:numPr>
        <w:rPr>
          <w:rFonts w:ascii="Arial" w:cs="Arial" w:eastAsia="Arial" w:hAnsi="Arial"/>
          <w:sz w:val="22"/>
          <w:szCs w:val="22"/>
          <w:color w:val="auto"/>
        </w:rPr>
      </w:pPr>
      <w:r>
        <w:rPr>
          <w:rFonts w:ascii="Arial" w:cs="Arial" w:eastAsia="Arial" w:hAnsi="Arial"/>
          <w:sz w:val="18"/>
          <w:szCs w:val="18"/>
          <w:color w:val="auto"/>
        </w:rPr>
        <w:t>Companies with market capitalization within a similar range (0.33 to 3.0 multiple).</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29"/>
        </w:numPr>
        <w:rPr>
          <w:rFonts w:ascii="Arial" w:cs="Arial" w:eastAsia="Arial" w:hAnsi="Arial"/>
          <w:sz w:val="22"/>
          <w:szCs w:val="22"/>
          <w:color w:val="auto"/>
        </w:rPr>
      </w:pPr>
      <w:r>
        <w:rPr>
          <w:rFonts w:ascii="Arial" w:cs="Arial" w:eastAsia="Arial" w:hAnsi="Arial"/>
          <w:sz w:val="18"/>
          <w:szCs w:val="18"/>
          <w:color w:val="auto"/>
        </w:rPr>
        <w:t>Companies with market capitalization to revenue ratio of 0.5 or greater.</w:t>
      </w:r>
    </w:p>
    <w:p>
      <w:pPr>
        <w:spacing w:after="0" w:line="125" w:lineRule="exact"/>
        <w:rPr>
          <w:rFonts w:ascii="Arial" w:cs="Arial" w:eastAsia="Arial" w:hAnsi="Arial"/>
          <w:sz w:val="22"/>
          <w:szCs w:val="22"/>
          <w:color w:val="auto"/>
        </w:rPr>
      </w:pPr>
    </w:p>
    <w:p>
      <w:pPr>
        <w:ind w:left="320" w:hanging="312"/>
        <w:spacing w:after="0"/>
        <w:tabs>
          <w:tab w:leader="none" w:pos="320" w:val="left"/>
        </w:tabs>
        <w:numPr>
          <w:ilvl w:val="0"/>
          <w:numId w:val="29"/>
        </w:numPr>
        <w:rPr>
          <w:rFonts w:ascii="Arial" w:cs="Arial" w:eastAsia="Arial" w:hAnsi="Arial"/>
          <w:sz w:val="22"/>
          <w:szCs w:val="22"/>
          <w:color w:val="auto"/>
        </w:rPr>
      </w:pPr>
      <w:r>
        <w:rPr>
          <w:rFonts w:ascii="Arial" w:cs="Arial" w:eastAsia="Arial" w:hAnsi="Arial"/>
          <w:sz w:val="18"/>
          <w:szCs w:val="18"/>
          <w:color w:val="auto"/>
        </w:rPr>
        <w:t>Companies in the same or similar industries.</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29"/>
        </w:numPr>
        <w:rPr>
          <w:rFonts w:ascii="Arial" w:cs="Arial" w:eastAsia="Arial" w:hAnsi="Arial"/>
          <w:sz w:val="22"/>
          <w:szCs w:val="22"/>
          <w:color w:val="auto"/>
        </w:rPr>
      </w:pPr>
      <w:r>
        <w:rPr>
          <w:rFonts w:ascii="Arial" w:cs="Arial" w:eastAsia="Arial" w:hAnsi="Arial"/>
          <w:sz w:val="18"/>
          <w:szCs w:val="18"/>
          <w:color w:val="auto"/>
        </w:rPr>
        <w:t>Companies with business model similarity, which may include the following:</w:t>
      </w:r>
    </w:p>
    <w:p>
      <w:pPr>
        <w:spacing w:after="0" w:line="85" w:lineRule="exact"/>
        <w:rPr>
          <w:rFonts w:ascii="Arial" w:cs="Arial" w:eastAsia="Arial" w:hAnsi="Arial"/>
          <w:sz w:val="22"/>
          <w:szCs w:val="22"/>
          <w:color w:val="auto"/>
        </w:rPr>
      </w:pPr>
    </w:p>
    <w:p>
      <w:pPr>
        <w:ind w:left="340"/>
        <w:spacing w:after="0"/>
        <w:rPr>
          <w:rFonts w:ascii="Arial" w:cs="Arial" w:eastAsia="Arial" w:hAnsi="Arial"/>
          <w:sz w:val="22"/>
          <w:szCs w:val="22"/>
          <w:color w:val="auto"/>
        </w:rPr>
      </w:pPr>
      <w:r>
        <w:rPr>
          <w:rFonts w:ascii="Arial" w:cs="Arial" w:eastAsia="Arial" w:hAnsi="Arial"/>
          <w:sz w:val="18"/>
          <w:szCs w:val="18"/>
          <w:color w:val="auto"/>
        </w:rPr>
        <w:t>–  Coatings for special purposes;</w:t>
      </w:r>
    </w:p>
    <w:p>
      <w:pPr>
        <w:spacing w:after="0" w:line="117" w:lineRule="exact"/>
        <w:rPr>
          <w:rFonts w:ascii="Arial" w:cs="Arial" w:eastAsia="Arial" w:hAnsi="Arial"/>
          <w:sz w:val="22"/>
          <w:szCs w:val="22"/>
          <w:color w:val="auto"/>
        </w:rPr>
      </w:pPr>
    </w:p>
    <w:p>
      <w:pPr>
        <w:ind w:left="340"/>
        <w:spacing w:after="0"/>
        <w:rPr>
          <w:rFonts w:ascii="Arial" w:cs="Arial" w:eastAsia="Arial" w:hAnsi="Arial"/>
          <w:sz w:val="22"/>
          <w:szCs w:val="22"/>
          <w:color w:val="auto"/>
        </w:rPr>
      </w:pPr>
      <w:r>
        <w:rPr>
          <w:rFonts w:ascii="Arial" w:cs="Arial" w:eastAsia="Arial" w:hAnsi="Arial"/>
          <w:sz w:val="18"/>
          <w:szCs w:val="18"/>
          <w:color w:val="auto"/>
        </w:rPr>
        <w:t>–  Construction materials, primarily for commercial or industrial applications;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color w:val="auto"/>
        </w:rPr>
        <w:t>–  Specialized/customized product lines;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Heavy-duty manufacturing operations and project-directed manufacturing;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Project-based businesses.</w:t>
      </w:r>
    </w:p>
    <w:p>
      <w:pPr>
        <w:spacing w:after="0" w:line="143"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2"/>
          <w:szCs w:val="22"/>
          <w:color w:val="auto"/>
        </w:rPr>
      </w:pPr>
      <w:r>
        <w:rPr>
          <w:rFonts w:ascii="Arial" w:cs="Arial" w:eastAsia="Arial" w:hAnsi="Arial"/>
          <w:sz w:val="18"/>
          <w:szCs w:val="18"/>
          <w:color w:val="auto"/>
        </w:rPr>
        <w:t>Companies in the same geographic location (to a lesser degree).</w:t>
      </w:r>
    </w:p>
    <w:p>
      <w:pPr>
        <w:spacing w:after="0" w:line="111" w:lineRule="exact"/>
        <w:rPr>
          <w:rFonts w:ascii="Arial" w:cs="Arial" w:eastAsia="Arial" w:hAnsi="Arial"/>
          <w:sz w:val="22"/>
          <w:szCs w:val="22"/>
          <w:color w:val="auto"/>
        </w:rPr>
      </w:pPr>
    </w:p>
    <w:p>
      <w:pPr>
        <w:ind w:left="320" w:hanging="312"/>
        <w:spacing w:after="0"/>
        <w:tabs>
          <w:tab w:leader="none" w:pos="320" w:val="left"/>
        </w:tabs>
        <w:numPr>
          <w:ilvl w:val="0"/>
          <w:numId w:val="30"/>
        </w:numPr>
        <w:rPr>
          <w:rFonts w:ascii="Arial" w:cs="Arial" w:eastAsia="Arial" w:hAnsi="Arial"/>
          <w:sz w:val="22"/>
          <w:szCs w:val="22"/>
          <w:color w:val="auto"/>
        </w:rPr>
      </w:pPr>
      <w:r>
        <w:rPr>
          <w:rFonts w:ascii="Arial" w:cs="Arial" w:eastAsia="Arial" w:hAnsi="Arial"/>
          <w:sz w:val="18"/>
          <w:szCs w:val="18"/>
          <w:color w:val="auto"/>
        </w:rPr>
        <w:t>Companies included in the prior-year peer group, to help ensure year-over-year consistency (where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15 firms served as the Company’s peer group for fiscal 2025.</w:t>
      </w:r>
    </w:p>
    <w:p>
      <w:pPr>
        <w:spacing w:after="0" w:line="279" w:lineRule="exact"/>
        <w:rPr>
          <w:sz w:val="20"/>
          <w:szCs w:val="20"/>
          <w:color w:val="auto"/>
        </w:rPr>
      </w:pPr>
    </w:p>
    <w:tbl>
      <w:tblPr>
        <w:tblLayout w:type="fixed"/>
        <w:tblInd w:w="520" w:type="dxa"/>
        <w:tblCellMar>
          <w:top w:w="0" w:type="dxa"/>
          <w:left w:w="0" w:type="dxa"/>
          <w:bottom w:w="0" w:type="dxa"/>
          <w:right w:w="0" w:type="dxa"/>
        </w:tblCellMar>
      </w:tblPr>
      <w:tr>
        <w:trPr>
          <w:trHeight w:val="26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40"/>
              <w:spacing w:after="0"/>
              <w:rPr>
                <w:sz w:val="20"/>
                <w:szCs w:val="20"/>
                <w:color w:val="auto"/>
              </w:rPr>
            </w:pPr>
            <w:r>
              <w:rPr>
                <w:rFonts w:ascii="Arial" w:cs="Arial" w:eastAsia="Arial" w:hAnsi="Arial"/>
                <w:sz w:val="18"/>
                <w:szCs w:val="18"/>
                <w:color w:val="auto"/>
              </w:rPr>
              <w:t>American Woodmark Corporation</w:t>
            </w:r>
          </w:p>
        </w:tc>
        <w:tc>
          <w:tcPr>
            <w:tcW w:w="1200" w:type="dxa"/>
            <w:vAlign w:val="bottom"/>
          </w:tcPr>
          <w:p>
            <w:pPr>
              <w:ind w:left="102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H.B. Fuller Company</w:t>
            </w:r>
          </w:p>
        </w:tc>
      </w:tr>
      <w:tr>
        <w:trPr>
          <w:trHeight w:val="270"/>
        </w:trPr>
        <w:tc>
          <w:tcPr>
            <w:tcW w:w="4000" w:type="dxa"/>
            <w:vAlign w:val="bottom"/>
            <w:gridSpan w:val="2"/>
          </w:tcPr>
          <w:p>
            <w:pPr>
              <w:spacing w:after="0"/>
              <w:rPr>
                <w:sz w:val="20"/>
                <w:szCs w:val="20"/>
                <w:color w:val="auto"/>
              </w:rPr>
            </w:pPr>
            <w:r>
              <w:rPr>
                <w:rFonts w:ascii="Arial" w:cs="Arial" w:eastAsia="Arial" w:hAnsi="Arial"/>
                <w:sz w:val="18"/>
                <w:szCs w:val="18"/>
                <w:color w:val="auto"/>
              </w:rPr>
              <w:t>•   Armstrong World Industries, Inc.</w:t>
            </w:r>
          </w:p>
        </w:tc>
        <w:tc>
          <w:tcPr>
            <w:tcW w:w="1200" w:type="dxa"/>
            <w:vAlign w:val="bottom"/>
          </w:tcPr>
          <w:p>
            <w:pPr>
              <w:ind w:left="102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Insteel Industries, Inc.</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40"/>
              <w:spacing w:after="0"/>
              <w:rPr>
                <w:sz w:val="20"/>
                <w:szCs w:val="20"/>
                <w:color w:val="auto"/>
              </w:rPr>
            </w:pPr>
            <w:r>
              <w:rPr>
                <w:rFonts w:ascii="Arial" w:cs="Arial" w:eastAsia="Arial" w:hAnsi="Arial"/>
                <w:sz w:val="18"/>
                <w:szCs w:val="18"/>
                <w:color w:val="auto"/>
              </w:rPr>
              <w:t>AZZ Inc.</w:t>
            </w:r>
          </w:p>
        </w:tc>
        <w:tc>
          <w:tcPr>
            <w:tcW w:w="1200" w:type="dxa"/>
            <w:vAlign w:val="bottom"/>
          </w:tcPr>
          <w:p>
            <w:pPr>
              <w:ind w:left="102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Masonite International Corporation</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40"/>
              <w:spacing w:after="0"/>
              <w:rPr>
                <w:sz w:val="20"/>
                <w:szCs w:val="20"/>
                <w:color w:val="auto"/>
              </w:rPr>
            </w:pPr>
            <w:r>
              <w:rPr>
                <w:rFonts w:ascii="Arial" w:cs="Arial" w:eastAsia="Arial" w:hAnsi="Arial"/>
                <w:sz w:val="18"/>
                <w:szCs w:val="18"/>
                <w:color w:val="auto"/>
              </w:rPr>
              <w:t>Eagle Materials Inc.</w:t>
            </w:r>
          </w:p>
        </w:tc>
        <w:tc>
          <w:tcPr>
            <w:tcW w:w="1200" w:type="dxa"/>
            <w:vAlign w:val="bottom"/>
          </w:tcPr>
          <w:p>
            <w:pPr>
              <w:ind w:left="102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PGT Innovations, Inc.</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40"/>
              <w:spacing w:after="0"/>
              <w:rPr>
                <w:sz w:val="20"/>
                <w:szCs w:val="20"/>
                <w:color w:val="auto"/>
              </w:rPr>
            </w:pPr>
            <w:r>
              <w:rPr>
                <w:rFonts w:ascii="Arial" w:cs="Arial" w:eastAsia="Arial" w:hAnsi="Arial"/>
                <w:sz w:val="18"/>
                <w:szCs w:val="18"/>
                <w:color w:val="auto"/>
              </w:rPr>
              <w:t>EnPro Inc.</w:t>
            </w:r>
          </w:p>
        </w:tc>
        <w:tc>
          <w:tcPr>
            <w:tcW w:w="1200" w:type="dxa"/>
            <w:vAlign w:val="bottom"/>
          </w:tcPr>
          <w:p>
            <w:pPr>
              <w:ind w:left="102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Quaker Chemical Corporation</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40"/>
              <w:spacing w:after="0"/>
              <w:rPr>
                <w:sz w:val="20"/>
                <w:szCs w:val="20"/>
                <w:color w:val="auto"/>
              </w:rPr>
            </w:pPr>
            <w:r>
              <w:rPr>
                <w:rFonts w:ascii="Arial" w:cs="Arial" w:eastAsia="Arial" w:hAnsi="Arial"/>
                <w:sz w:val="18"/>
                <w:szCs w:val="18"/>
                <w:color w:val="auto"/>
              </w:rPr>
              <w:t>Gibraltar Industries, Inc.</w:t>
            </w:r>
          </w:p>
        </w:tc>
        <w:tc>
          <w:tcPr>
            <w:tcW w:w="4400" w:type="dxa"/>
            <w:vAlign w:val="bottom"/>
            <w:gridSpan w:val="2"/>
          </w:tcPr>
          <w:p>
            <w:pPr>
              <w:ind w:left="1020"/>
              <w:spacing w:after="0"/>
              <w:rPr>
                <w:sz w:val="20"/>
                <w:szCs w:val="20"/>
                <w:color w:val="auto"/>
              </w:rPr>
            </w:pPr>
            <w:r>
              <w:rPr>
                <w:rFonts w:ascii="Arial" w:cs="Arial" w:eastAsia="Arial" w:hAnsi="Arial"/>
                <w:sz w:val="18"/>
                <w:szCs w:val="18"/>
                <w:color w:val="auto"/>
              </w:rPr>
              <w:t>•   Quanex Building Products Corporation</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40"/>
              <w:spacing w:after="0"/>
              <w:rPr>
                <w:sz w:val="20"/>
                <w:szCs w:val="20"/>
                <w:color w:val="auto"/>
              </w:rPr>
            </w:pPr>
            <w:r>
              <w:rPr>
                <w:rFonts w:ascii="Arial" w:cs="Arial" w:eastAsia="Arial" w:hAnsi="Arial"/>
                <w:sz w:val="18"/>
                <w:szCs w:val="18"/>
                <w:color w:val="auto"/>
              </w:rPr>
              <w:t>Graco Inc.</w:t>
            </w:r>
          </w:p>
        </w:tc>
        <w:tc>
          <w:tcPr>
            <w:tcW w:w="1200" w:type="dxa"/>
            <w:vAlign w:val="bottom"/>
          </w:tcPr>
          <w:p>
            <w:pPr>
              <w:ind w:left="102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Tennant Company</w:t>
            </w:r>
          </w:p>
        </w:tc>
      </w:tr>
    </w:tbl>
    <w:p>
      <w:pPr>
        <w:ind w:left="840" w:hanging="328"/>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Griffon Corporation</w:t>
      </w:r>
    </w:p>
    <w:p>
      <w:pPr>
        <w:spacing w:after="0" w:line="3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u w:val="single" w:color="auto"/>
          <w:color w:val="auto"/>
        </w:rPr>
        <w:t>Competitive Market</w:t>
      </w:r>
      <w:r>
        <w:rPr>
          <w:rFonts w:ascii="Arial" w:cs="Arial" w:eastAsia="Arial" w:hAnsi="Arial"/>
          <w:sz w:val="18"/>
          <w:szCs w:val="18"/>
          <w:color w:val="auto"/>
        </w:rPr>
        <w:t>. The Committee relies on its independent compensation consultant to help define the appropriate competitive market</w:t>
      </w:r>
      <w:r>
        <w:rPr>
          <w:rFonts w:ascii="Arial" w:cs="Arial" w:eastAsia="Arial" w:hAnsi="Arial"/>
          <w:sz w:val="18"/>
          <w:szCs w:val="18"/>
          <w:b w:val="1"/>
          <w:bCs w:val="1"/>
          <w:color w:val="auto"/>
        </w:rPr>
        <w:t xml:space="preserve"> </w:t>
      </w:r>
      <w:r>
        <w:rPr>
          <w:rFonts w:ascii="Arial" w:cs="Arial" w:eastAsia="Arial" w:hAnsi="Arial"/>
          <w:sz w:val="18"/>
          <w:szCs w:val="18"/>
          <w:color w:val="auto"/>
        </w:rPr>
        <w:t>using a combination of the peer group companies and compensation surveys that contain market compensation information for similarly-sized organizations. The information on the competitive market is used by the Committee:</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an input in designing our compensation plans and philosophy;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an input in assessing and developing base salary adjustments, annual cash incentive targets and long-term incentive ranges;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benchmark the form and mix of long-term incentive awards;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assess the competitiveness of total direct compensation awarded to our Named Executive Officers and certain of our other executives; and</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benchmark dilution and overhang levels (dilutive impact on our shareholders of equity compensation) and annual burn rate (the aggregate shares awarded as a percentage of total outstanding shares).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2025 Individual Compensation Actions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Base salary reflects a fixed portion of the overall compensation package and is the base amount from which certain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elements are determined. In making salary adjustments, the Committee considers the executive’s base salary relative to the market, our compensation philosophy and other factors, such as individual performance against business plans, leadership, initiatives, experience, knowledge and job criticality. For fiscal 2025, our Chief Executive Officer received a base salary increase of 3.56%. Messrs. Osberg, Jewell, and T. Johnson received base salary increases ranging from 2.39% to 2.71%. Ms. Trende, who joined the Company during fiscal 2025, did not receive a base salary increase.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Below is information on the base salaries of our Named Executive Officers for fiscal 2025.</w:t>
      </w:r>
    </w:p>
    <w:p>
      <w:pPr>
        <w:spacing w:after="0" w:line="27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34925</wp:posOffset>
            </wp:positionV>
            <wp:extent cx="42691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57"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05445E"/>
                <w:w w:val="99"/>
              </w:rPr>
              <w:t>Percent Increase</w:t>
            </w: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Fiscal 2025</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05445E"/>
                <w:w w:val="99"/>
              </w:rPr>
              <w:t>in Fiscal</w:t>
            </w:r>
          </w:p>
        </w:tc>
      </w:tr>
      <w:tr>
        <w:trPr>
          <w:trHeight w:val="216"/>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Base Salary</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05445E"/>
                <w:w w:val="99"/>
              </w:rPr>
              <w:t>2025 vs 2024</w:t>
            </w:r>
          </w:p>
        </w:tc>
      </w:tr>
      <w:tr>
        <w:trPr>
          <w:trHeight w:val="255"/>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5445E"/>
              </w:rPr>
              <w:t>Name</w:t>
            </w:r>
          </w:p>
        </w:tc>
        <w:tc>
          <w:tcPr>
            <w:tcW w:w="100" w:type="dxa"/>
            <w:vAlign w:val="bottom"/>
            <w:tcBorders>
              <w:bottom w:val="single" w:sz="8" w:color="D9D9D9"/>
            </w:tcBorders>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80" w:type="dxa"/>
            <w:vAlign w:val="bottom"/>
            <w:tcBorders>
              <w:bottom w:val="single" w:sz="8" w:color="D9D9D9"/>
            </w:tcBorders>
          </w:tcPr>
          <w:p>
            <w:pPr>
              <w:spacing w:after="0"/>
              <w:rPr>
                <w:sz w:val="22"/>
                <w:szCs w:val="22"/>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r>
      <w:tr>
        <w:trPr>
          <w:trHeight w:val="250"/>
        </w:trPr>
        <w:tc>
          <w:tcPr>
            <w:tcW w:w="274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Ty R. Silberhorn</w:t>
            </w:r>
          </w:p>
        </w:tc>
        <w:tc>
          <w:tcPr>
            <w:tcW w:w="194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8"/>
              </w:rPr>
              <w:t>932,000</w:t>
            </w:r>
          </w:p>
        </w:tc>
        <w:tc>
          <w:tcPr>
            <w:tcW w:w="80" w:type="dxa"/>
            <w:vAlign w:val="bottom"/>
            <w:tcBorders>
              <w:bottom w:val="single" w:sz="8" w:color="D9D9D9"/>
            </w:tcBorders>
            <w:shd w:val="clear" w:color="auto" w:fill="D9D9D9"/>
          </w:tcPr>
          <w:p>
            <w:pPr>
              <w:spacing w:after="0"/>
              <w:rPr>
                <w:sz w:val="21"/>
                <w:szCs w:val="21"/>
                <w:color w:val="auto"/>
              </w:rPr>
            </w:pPr>
          </w:p>
        </w:tc>
        <w:tc>
          <w:tcPr>
            <w:tcW w:w="1960" w:type="dxa"/>
            <w:vAlign w:val="bottom"/>
            <w:tcBorders>
              <w:bottom w:val="single" w:sz="8" w:color="D9D9D9"/>
            </w:tcBorders>
            <w:shd w:val="clear" w:color="auto" w:fill="D9D9D9"/>
          </w:tcPr>
          <w:p>
            <w:pPr>
              <w:jc w:val="right"/>
              <w:ind w:right="570"/>
              <w:spacing w:after="0"/>
              <w:rPr>
                <w:sz w:val="20"/>
                <w:szCs w:val="20"/>
                <w:color w:val="auto"/>
              </w:rPr>
            </w:pPr>
            <w:r>
              <w:rPr>
                <w:rFonts w:ascii="Arial" w:cs="Arial" w:eastAsia="Arial" w:hAnsi="Arial"/>
                <w:sz w:val="18"/>
                <w:szCs w:val="18"/>
                <w:color w:val="auto"/>
              </w:rPr>
              <w:t>3.56</w:t>
            </w:r>
          </w:p>
        </w:tc>
      </w:tr>
      <w:tr>
        <w:trPr>
          <w:trHeight w:val="247"/>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Matthew J. Osberg</w:t>
            </w:r>
          </w:p>
        </w:tc>
        <w:tc>
          <w:tcPr>
            <w:tcW w:w="1940" w:type="dxa"/>
            <w:vAlign w:val="bottom"/>
          </w:tcPr>
          <w:p>
            <w:pPr>
              <w:jc w:val="center"/>
              <w:spacing w:after="0"/>
              <w:rPr>
                <w:sz w:val="20"/>
                <w:szCs w:val="20"/>
                <w:color w:val="auto"/>
              </w:rPr>
            </w:pPr>
            <w:r>
              <w:rPr>
                <w:rFonts w:ascii="Arial" w:cs="Arial" w:eastAsia="Arial" w:hAnsi="Arial"/>
                <w:sz w:val="18"/>
                <w:szCs w:val="18"/>
                <w:color w:val="auto"/>
                <w:w w:val="98"/>
              </w:rPr>
              <w:t>646,000</w:t>
            </w:r>
          </w:p>
        </w:tc>
        <w:tc>
          <w:tcPr>
            <w:tcW w:w="80" w:type="dxa"/>
            <w:vAlign w:val="bottom"/>
          </w:tcPr>
          <w:p>
            <w:pPr>
              <w:spacing w:after="0"/>
              <w:rPr>
                <w:sz w:val="21"/>
                <w:szCs w:val="21"/>
                <w:color w:val="auto"/>
              </w:rPr>
            </w:pPr>
          </w:p>
        </w:tc>
        <w:tc>
          <w:tcPr>
            <w:tcW w:w="1960" w:type="dxa"/>
            <w:vAlign w:val="bottom"/>
          </w:tcPr>
          <w:p>
            <w:pPr>
              <w:jc w:val="right"/>
              <w:ind w:right="570"/>
              <w:spacing w:after="0"/>
              <w:rPr>
                <w:sz w:val="20"/>
                <w:szCs w:val="20"/>
                <w:color w:val="auto"/>
              </w:rPr>
            </w:pPr>
            <w:r>
              <w:rPr>
                <w:rFonts w:ascii="Arial" w:cs="Arial" w:eastAsia="Arial" w:hAnsi="Arial"/>
                <w:sz w:val="18"/>
                <w:szCs w:val="18"/>
                <w:color w:val="auto"/>
              </w:rPr>
              <w:t>2.54</w:t>
            </w:r>
          </w:p>
        </w:tc>
      </w:tr>
      <w:tr>
        <w:trPr>
          <w:trHeight w:val="23"/>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74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Brent C. Jewell</w:t>
            </w:r>
          </w:p>
        </w:tc>
        <w:tc>
          <w:tcPr>
            <w:tcW w:w="194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8"/>
              </w:rPr>
              <w:t>455,000</w:t>
            </w:r>
          </w:p>
        </w:tc>
        <w:tc>
          <w:tcPr>
            <w:tcW w:w="80" w:type="dxa"/>
            <w:vAlign w:val="bottom"/>
            <w:tcBorders>
              <w:bottom w:val="single" w:sz="8" w:color="D9D9D9"/>
            </w:tcBorders>
            <w:shd w:val="clear" w:color="auto" w:fill="D9D9D9"/>
          </w:tcPr>
          <w:p>
            <w:pPr>
              <w:spacing w:after="0"/>
              <w:rPr>
                <w:sz w:val="21"/>
                <w:szCs w:val="21"/>
                <w:color w:val="auto"/>
              </w:rPr>
            </w:pPr>
          </w:p>
        </w:tc>
        <w:tc>
          <w:tcPr>
            <w:tcW w:w="1960" w:type="dxa"/>
            <w:vAlign w:val="bottom"/>
            <w:tcBorders>
              <w:bottom w:val="single" w:sz="8" w:color="D9D9D9"/>
            </w:tcBorders>
            <w:shd w:val="clear" w:color="auto" w:fill="D9D9D9"/>
          </w:tcPr>
          <w:p>
            <w:pPr>
              <w:jc w:val="right"/>
              <w:ind w:right="570"/>
              <w:spacing w:after="0"/>
              <w:rPr>
                <w:sz w:val="20"/>
                <w:szCs w:val="20"/>
                <w:color w:val="auto"/>
              </w:rPr>
            </w:pPr>
            <w:r>
              <w:rPr>
                <w:rFonts w:ascii="Arial" w:cs="Arial" w:eastAsia="Arial" w:hAnsi="Arial"/>
                <w:sz w:val="18"/>
                <w:szCs w:val="18"/>
                <w:color w:val="auto"/>
              </w:rPr>
              <w:t>2.71</w:t>
            </w:r>
          </w:p>
        </w:tc>
      </w:tr>
      <w:tr>
        <w:trPr>
          <w:trHeight w:val="247"/>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Troy R. Johnson</w:t>
            </w:r>
          </w:p>
        </w:tc>
        <w:tc>
          <w:tcPr>
            <w:tcW w:w="1940" w:type="dxa"/>
            <w:vAlign w:val="bottom"/>
          </w:tcPr>
          <w:p>
            <w:pPr>
              <w:jc w:val="center"/>
              <w:spacing w:after="0"/>
              <w:rPr>
                <w:sz w:val="20"/>
                <w:szCs w:val="20"/>
                <w:color w:val="auto"/>
              </w:rPr>
            </w:pPr>
            <w:r>
              <w:rPr>
                <w:rFonts w:ascii="Arial" w:cs="Arial" w:eastAsia="Arial" w:hAnsi="Arial"/>
                <w:sz w:val="18"/>
                <w:szCs w:val="18"/>
                <w:color w:val="auto"/>
                <w:w w:val="98"/>
              </w:rPr>
              <w:t>428,000</w:t>
            </w:r>
          </w:p>
        </w:tc>
        <w:tc>
          <w:tcPr>
            <w:tcW w:w="80" w:type="dxa"/>
            <w:vAlign w:val="bottom"/>
          </w:tcPr>
          <w:p>
            <w:pPr>
              <w:spacing w:after="0"/>
              <w:rPr>
                <w:sz w:val="21"/>
                <w:szCs w:val="21"/>
                <w:color w:val="auto"/>
              </w:rPr>
            </w:pPr>
          </w:p>
        </w:tc>
        <w:tc>
          <w:tcPr>
            <w:tcW w:w="1960" w:type="dxa"/>
            <w:vAlign w:val="bottom"/>
          </w:tcPr>
          <w:p>
            <w:pPr>
              <w:jc w:val="right"/>
              <w:ind w:right="570"/>
              <w:spacing w:after="0"/>
              <w:rPr>
                <w:sz w:val="20"/>
                <w:szCs w:val="20"/>
                <w:color w:val="auto"/>
              </w:rPr>
            </w:pPr>
            <w:r>
              <w:rPr>
                <w:rFonts w:ascii="Arial" w:cs="Arial" w:eastAsia="Arial" w:hAnsi="Arial"/>
                <w:sz w:val="18"/>
                <w:szCs w:val="18"/>
                <w:color w:val="auto"/>
              </w:rPr>
              <w:t>2.39</w:t>
            </w:r>
          </w:p>
        </w:tc>
      </w:tr>
      <w:tr>
        <w:trPr>
          <w:trHeight w:val="23"/>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27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Raelyn A.Trende</w:t>
            </w:r>
            <w:r>
              <w:rPr>
                <w:rFonts w:ascii="Arial" w:cs="Arial" w:eastAsia="Arial" w:hAnsi="Arial"/>
                <w:sz w:val="23"/>
                <w:szCs w:val="23"/>
                <w:color w:val="auto"/>
                <w:vertAlign w:val="superscript"/>
              </w:rPr>
              <w:t>(1)</w:t>
            </w:r>
          </w:p>
        </w:tc>
        <w:tc>
          <w:tcPr>
            <w:tcW w:w="19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410,000</w:t>
            </w:r>
          </w:p>
        </w:tc>
        <w:tc>
          <w:tcPr>
            <w:tcW w:w="80" w:type="dxa"/>
            <w:vAlign w:val="bottom"/>
            <w:shd w:val="clear" w:color="auto" w:fill="DBDBDB"/>
          </w:tcPr>
          <w:p>
            <w:pPr>
              <w:spacing w:after="0"/>
              <w:rPr>
                <w:sz w:val="23"/>
                <w:szCs w:val="23"/>
                <w:color w:val="auto"/>
              </w:rPr>
            </w:pPr>
          </w:p>
        </w:tc>
        <w:tc>
          <w:tcPr>
            <w:tcW w:w="1960" w:type="dxa"/>
            <w:vAlign w:val="bottom"/>
            <w:shd w:val="clear" w:color="auto" w:fill="DBDBDB"/>
          </w:tcPr>
          <w:p>
            <w:pPr>
              <w:jc w:val="right"/>
              <w:ind w:right="910"/>
              <w:spacing w:after="0"/>
              <w:rPr>
                <w:sz w:val="20"/>
                <w:szCs w:val="20"/>
                <w:color w:val="auto"/>
              </w:rPr>
            </w:pPr>
            <w:r>
              <w:rPr>
                <w:rFonts w:ascii="Arial" w:cs="Arial" w:eastAsia="Arial" w:hAnsi="Arial"/>
                <w:sz w:val="18"/>
                <w:szCs w:val="18"/>
                <w:color w:val="auto"/>
              </w:rPr>
              <w:t>—</w:t>
            </w: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u w:val="single" w:color="auto"/>
          <w:color w:val="auto"/>
        </w:rPr>
        <w:t>Annual Cash Incentive Compensation</w:t>
      </w:r>
      <w:r>
        <w:rPr>
          <w:rFonts w:ascii="Arial" w:cs="Arial" w:eastAsia="Arial" w:hAnsi="Arial"/>
          <w:sz w:val="18"/>
          <w:szCs w:val="18"/>
          <w:color w:val="auto"/>
        </w:rPr>
        <w:t>. Annual cash incentive awards create an incentive for achievement of annual financial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These results are measured against objective financial goals based on the annual operating plan approved by our Board of Directors.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awards may be earned below or above target based on the achievement of one or more additional predetermined, objective performance goals based on the annual operating plan approved by our Board of Directors. At least one of the predetermined, objective performance goals must be met at the threshold level in order for any annual cash incentive to be paid to an executive.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Generally, if actual results are below threshold performance level for all performance goals or the Company is not profitable, the payout will be zero. If the threshold performance level for one or more, but not all, performance goals is achieved, less than 50% of the target award will be earned based on the weighting allocated to that specific performance goal. If the threshold performance level for all performance goals is achieved, 50% of the target award will be earned; if target performance level for all performance goals is achieved, 100% of the target award will be earned; and if maximum performance level for all performance goals is achieved, 200% of the target award will be earned. For any performance between these levels, award payouts will be interpolated.</w:t>
      </w:r>
    </w:p>
    <w:p>
      <w:pPr>
        <w:spacing w:after="0" w:line="18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97" w:lineRule="exact"/>
        <w:rPr>
          <w:sz w:val="20"/>
          <w:szCs w:val="20"/>
          <w:color w:val="auto"/>
        </w:rPr>
      </w:pPr>
    </w:p>
    <w:p>
      <w:pPr>
        <w:ind w:left="480" w:hanging="472"/>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Ms. Trende joined the Company on July 29, 2024, during fiscal 2025.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7" w:name="page48"/>
    <w:bookmarkEnd w:id="47"/>
    <w:p>
      <w:pPr>
        <w:spacing w:after="0" w:line="287" w:lineRule="auto"/>
        <w:rPr>
          <w:sz w:val="20"/>
          <w:szCs w:val="20"/>
          <w:color w:val="auto"/>
        </w:rPr>
      </w:pPr>
      <w:r>
        <w:rPr>
          <w:rFonts w:ascii="Arial" w:cs="Arial" w:eastAsia="Arial" w:hAnsi="Arial"/>
          <w:sz w:val="18"/>
          <w:szCs w:val="18"/>
          <w:b w:val="1"/>
          <w:bCs w:val="1"/>
          <w:u w:val="single" w:color="auto"/>
          <w:color w:val="auto"/>
        </w:rPr>
        <w:t>Fiscal 2025 Annual Cash Incentive Payouts</w:t>
      </w:r>
      <w:r>
        <w:rPr>
          <w:rFonts w:ascii="Arial" w:cs="Arial" w:eastAsia="Arial" w:hAnsi="Arial"/>
          <w:sz w:val="18"/>
          <w:szCs w:val="18"/>
          <w:color w:val="auto"/>
        </w:rPr>
        <w:t>. The tables below set forth certain information with respect to the fiscal 2025 annual cash</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award payout ranges as a percentage of the fiscal 2025 salary for our Named Executive Officers.</w:t>
      </w:r>
    </w:p>
    <w:p>
      <w:pPr>
        <w:spacing w:after="0" w:line="20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Fiscal 2025 Annual Cash Incentive Compensation Ranges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34925</wp:posOffset>
            </wp:positionV>
            <wp:extent cx="63519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51905" cy="8255"/>
                    </a:xfrm>
                    <a:prstGeom prst="rect">
                      <a:avLst/>
                    </a:prstGeom>
                    <a:noFill/>
                  </pic:spPr>
                </pic:pic>
              </a:graphicData>
            </a:graphic>
          </wp:anchor>
        </w:drawing>
      </w:r>
    </w:p>
    <w:p>
      <w:pPr>
        <w:spacing w:after="0" w:line="5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05445E"/>
                <w:w w:val="99"/>
              </w:rPr>
              <w:t>Threshold Payout</w:t>
            </w:r>
          </w:p>
        </w:tc>
        <w:tc>
          <w:tcPr>
            <w:tcW w:w="2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05445E"/>
                <w:w w:val="98"/>
              </w:rPr>
              <w:t>Target Payout</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5445E"/>
                <w:w w:val="99"/>
              </w:rPr>
              <w:t>Maximum Payout</w:t>
            </w: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05445E"/>
                <w:w w:val="99"/>
              </w:rPr>
              <w:t>as a Percentage</w:t>
            </w:r>
          </w:p>
        </w:tc>
        <w:tc>
          <w:tcPr>
            <w:tcW w:w="2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05445E"/>
              </w:rPr>
              <w:t>as a Percentage</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5445E"/>
              </w:rPr>
              <w:t>as a Percentage</w:t>
            </w: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05445E"/>
                <w:w w:val="99"/>
              </w:rPr>
              <w:t>of Fiscal 2025</w:t>
            </w:r>
          </w:p>
        </w:tc>
        <w:tc>
          <w:tcPr>
            <w:tcW w:w="2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05445E"/>
                <w:w w:val="99"/>
              </w:rPr>
              <w:t>of Fiscal 2025</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5445E"/>
                <w:w w:val="99"/>
              </w:rPr>
              <w:t>of Fiscal 2025</w:t>
            </w:r>
          </w:p>
        </w:tc>
      </w:tr>
      <w:tr>
        <w:trPr>
          <w:trHeight w:val="212"/>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05445E"/>
                <w:w w:val="99"/>
              </w:rPr>
              <w:t>Salary</w:t>
            </w:r>
          </w:p>
        </w:tc>
        <w:tc>
          <w:tcPr>
            <w:tcW w:w="2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05445E"/>
                <w:w w:val="99"/>
              </w:rPr>
              <w:t>Salary</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05445E"/>
                <w:w w:val="99"/>
              </w:rPr>
              <w:t>Salary</w:t>
            </w:r>
          </w:p>
        </w:tc>
      </w:tr>
      <w:tr>
        <w:trPr>
          <w:trHeight w:val="266"/>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5445E"/>
              </w:rPr>
              <w:t>Name</w:t>
            </w:r>
          </w:p>
        </w:tc>
        <w:tc>
          <w:tcPr>
            <w:tcW w:w="100" w:type="dxa"/>
            <w:vAlign w:val="bottom"/>
            <w:tcBorders>
              <w:bottom w:val="single" w:sz="8" w:color="D9D9D9"/>
            </w:tcBorders>
          </w:tcPr>
          <w:p>
            <w:pPr>
              <w:spacing w:after="0"/>
              <w:rPr>
                <w:sz w:val="23"/>
                <w:szCs w:val="23"/>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4"/>
              </w:rPr>
              <w:t>(%)</w:t>
            </w:r>
            <w:r>
              <w:rPr>
                <w:rFonts w:ascii="Arial" w:cs="Arial" w:eastAsia="Arial" w:hAnsi="Arial"/>
                <w:sz w:val="23"/>
                <w:szCs w:val="23"/>
                <w:b w:val="1"/>
                <w:bCs w:val="1"/>
                <w:color w:val="05445E"/>
                <w:w w:val="94"/>
                <w:vertAlign w:val="superscript"/>
              </w:rPr>
              <w:t>(1)</w:t>
            </w:r>
          </w:p>
        </w:tc>
        <w:tc>
          <w:tcPr>
            <w:tcW w:w="420" w:type="dxa"/>
            <w:vAlign w:val="bottom"/>
            <w:tcBorders>
              <w:bottom w:val="single" w:sz="8" w:color="D9D9D9"/>
            </w:tcBorders>
          </w:tcPr>
          <w:p>
            <w:pPr>
              <w:spacing w:after="0"/>
              <w:rPr>
                <w:sz w:val="23"/>
                <w:szCs w:val="23"/>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89"/>
              </w:rPr>
              <w:t>(%)</w:t>
            </w:r>
            <w:r>
              <w:rPr>
                <w:rFonts w:ascii="Arial" w:cs="Arial" w:eastAsia="Arial" w:hAnsi="Arial"/>
                <w:sz w:val="23"/>
                <w:szCs w:val="23"/>
                <w:b w:val="1"/>
                <w:bCs w:val="1"/>
                <w:color w:val="05445E"/>
                <w:w w:val="89"/>
                <w:vertAlign w:val="superscript"/>
              </w:rPr>
              <w:t>(2)</w:t>
            </w:r>
          </w:p>
        </w:tc>
        <w:tc>
          <w:tcPr>
            <w:tcW w:w="420" w:type="dxa"/>
            <w:vAlign w:val="bottom"/>
            <w:tcBorders>
              <w:bottom w:val="single" w:sz="8" w:color="D9D9D9"/>
            </w:tcBorders>
          </w:tcPr>
          <w:p>
            <w:pPr>
              <w:spacing w:after="0"/>
              <w:rPr>
                <w:sz w:val="23"/>
                <w:szCs w:val="23"/>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89"/>
              </w:rPr>
              <w:t>(%)</w:t>
            </w:r>
            <w:r>
              <w:rPr>
                <w:rFonts w:ascii="Arial" w:cs="Arial" w:eastAsia="Arial" w:hAnsi="Arial"/>
                <w:sz w:val="23"/>
                <w:szCs w:val="23"/>
                <w:b w:val="1"/>
                <w:bCs w:val="1"/>
                <w:color w:val="05445E"/>
                <w:w w:val="89"/>
                <w:vertAlign w:val="superscript"/>
              </w:rPr>
              <w:t>(3)</w:t>
            </w:r>
          </w:p>
        </w:tc>
      </w:tr>
      <w:tr>
        <w:trPr>
          <w:trHeight w:val="243"/>
        </w:trPr>
        <w:tc>
          <w:tcPr>
            <w:tcW w:w="222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Ty R. Silberhorn</w:t>
            </w:r>
          </w:p>
        </w:tc>
        <w:tc>
          <w:tcPr>
            <w:tcW w:w="2360" w:type="dxa"/>
            <w:vAlign w:val="bottom"/>
            <w:tcBorders>
              <w:bottom w:val="single" w:sz="8" w:color="D9D9D9"/>
            </w:tcBorders>
            <w:shd w:val="clear" w:color="auto" w:fill="D9D9D9"/>
          </w:tcPr>
          <w:p>
            <w:pPr>
              <w:jc w:val="right"/>
              <w:ind w:right="690"/>
              <w:spacing w:after="0"/>
              <w:rPr>
                <w:sz w:val="20"/>
                <w:szCs w:val="20"/>
                <w:color w:val="auto"/>
              </w:rPr>
            </w:pPr>
            <w:r>
              <w:rPr>
                <w:rFonts w:ascii="Arial" w:cs="Arial" w:eastAsia="Arial" w:hAnsi="Arial"/>
                <w:sz w:val="18"/>
                <w:szCs w:val="18"/>
                <w:color w:val="auto"/>
              </w:rPr>
              <w:t>12.50</w:t>
            </w:r>
          </w:p>
        </w:tc>
        <w:tc>
          <w:tcPr>
            <w:tcW w:w="420" w:type="dxa"/>
            <w:vAlign w:val="bottom"/>
            <w:tcBorders>
              <w:bottom w:val="single" w:sz="8" w:color="D9D9D9"/>
            </w:tcBorders>
            <w:shd w:val="clear" w:color="auto" w:fill="D9D9D9"/>
          </w:tcPr>
          <w:p>
            <w:pPr>
              <w:spacing w:after="0"/>
              <w:rPr>
                <w:sz w:val="21"/>
                <w:szCs w:val="21"/>
                <w:color w:val="auto"/>
              </w:rPr>
            </w:pPr>
          </w:p>
        </w:tc>
        <w:tc>
          <w:tcPr>
            <w:tcW w:w="2220" w:type="dxa"/>
            <w:vAlign w:val="bottom"/>
            <w:tcBorders>
              <w:bottom w:val="single" w:sz="8" w:color="D9D9D9"/>
            </w:tcBorders>
            <w:shd w:val="clear" w:color="auto" w:fill="D9D9D9"/>
          </w:tcPr>
          <w:p>
            <w:pPr>
              <w:jc w:val="right"/>
              <w:ind w:right="570"/>
              <w:spacing w:after="0"/>
              <w:rPr>
                <w:sz w:val="20"/>
                <w:szCs w:val="20"/>
                <w:color w:val="auto"/>
              </w:rPr>
            </w:pPr>
            <w:r>
              <w:rPr>
                <w:rFonts w:ascii="Arial" w:cs="Arial" w:eastAsia="Arial" w:hAnsi="Arial"/>
                <w:sz w:val="18"/>
                <w:szCs w:val="18"/>
                <w:color w:val="auto"/>
              </w:rPr>
              <w:t>100.00</w:t>
            </w:r>
          </w:p>
        </w:tc>
        <w:tc>
          <w:tcPr>
            <w:tcW w:w="420" w:type="dxa"/>
            <w:vAlign w:val="bottom"/>
            <w:tcBorders>
              <w:bottom w:val="single" w:sz="8" w:color="D9D9D9"/>
            </w:tcBorders>
            <w:shd w:val="clear" w:color="auto" w:fill="D9D9D9"/>
          </w:tcPr>
          <w:p>
            <w:pPr>
              <w:spacing w:after="0"/>
              <w:rPr>
                <w:sz w:val="21"/>
                <w:szCs w:val="21"/>
                <w:color w:val="auto"/>
              </w:rPr>
            </w:pPr>
          </w:p>
        </w:tc>
        <w:tc>
          <w:tcPr>
            <w:tcW w:w="2360" w:type="dxa"/>
            <w:vAlign w:val="bottom"/>
            <w:tcBorders>
              <w:bottom w:val="single" w:sz="8" w:color="D9D9D9"/>
            </w:tcBorders>
            <w:shd w:val="clear" w:color="auto" w:fill="D9D9D9"/>
          </w:tcPr>
          <w:p>
            <w:pPr>
              <w:jc w:val="right"/>
              <w:ind w:right="1070"/>
              <w:spacing w:after="0"/>
              <w:rPr>
                <w:sz w:val="20"/>
                <w:szCs w:val="20"/>
                <w:color w:val="auto"/>
              </w:rPr>
            </w:pPr>
            <w:r>
              <w:rPr>
                <w:rFonts w:ascii="Arial" w:cs="Arial" w:eastAsia="Arial" w:hAnsi="Arial"/>
                <w:sz w:val="18"/>
                <w:szCs w:val="18"/>
                <w:color w:val="auto"/>
              </w:rPr>
              <w:t>200.00</w:t>
            </w:r>
          </w:p>
        </w:tc>
      </w:tr>
      <w:tr>
        <w:trPr>
          <w:trHeight w:val="247"/>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Matthew J. Osberg</w:t>
            </w: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9.38</w:t>
            </w:r>
          </w:p>
        </w:tc>
        <w:tc>
          <w:tcPr>
            <w:tcW w:w="420" w:type="dxa"/>
            <w:vAlign w:val="bottom"/>
          </w:tcPr>
          <w:p>
            <w:pPr>
              <w:spacing w:after="0"/>
              <w:rPr>
                <w:sz w:val="21"/>
                <w:szCs w:val="21"/>
                <w:color w:val="auto"/>
              </w:rPr>
            </w:pPr>
          </w:p>
        </w:tc>
        <w:tc>
          <w:tcPr>
            <w:tcW w:w="2220" w:type="dxa"/>
            <w:vAlign w:val="bottom"/>
          </w:tcPr>
          <w:p>
            <w:pPr>
              <w:jc w:val="right"/>
              <w:ind w:right="570"/>
              <w:spacing w:after="0"/>
              <w:rPr>
                <w:sz w:val="20"/>
                <w:szCs w:val="20"/>
                <w:color w:val="auto"/>
              </w:rPr>
            </w:pPr>
            <w:r>
              <w:rPr>
                <w:rFonts w:ascii="Arial" w:cs="Arial" w:eastAsia="Arial" w:hAnsi="Arial"/>
                <w:sz w:val="18"/>
                <w:szCs w:val="18"/>
                <w:color w:val="auto"/>
              </w:rPr>
              <w:t>75.00</w:t>
            </w:r>
          </w:p>
        </w:tc>
        <w:tc>
          <w:tcPr>
            <w:tcW w:w="420" w:type="dxa"/>
            <w:vAlign w:val="bottom"/>
          </w:tcPr>
          <w:p>
            <w:pPr>
              <w:spacing w:after="0"/>
              <w:rPr>
                <w:sz w:val="21"/>
                <w:szCs w:val="21"/>
                <w:color w:val="auto"/>
              </w:rPr>
            </w:pPr>
          </w:p>
        </w:tc>
        <w:tc>
          <w:tcPr>
            <w:tcW w:w="2360" w:type="dxa"/>
            <w:vAlign w:val="bottom"/>
          </w:tcPr>
          <w:p>
            <w:pPr>
              <w:jc w:val="right"/>
              <w:ind w:right="1070"/>
              <w:spacing w:after="0"/>
              <w:rPr>
                <w:sz w:val="20"/>
                <w:szCs w:val="20"/>
                <w:color w:val="auto"/>
              </w:rPr>
            </w:pPr>
            <w:r>
              <w:rPr>
                <w:rFonts w:ascii="Arial" w:cs="Arial" w:eastAsia="Arial" w:hAnsi="Arial"/>
                <w:sz w:val="18"/>
                <w:szCs w:val="18"/>
                <w:color w:val="auto"/>
              </w:rPr>
              <w:t>150.00</w:t>
            </w:r>
          </w:p>
        </w:tc>
      </w:tr>
      <w:tr>
        <w:trPr>
          <w:trHeight w:val="23"/>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222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Brent C. Jewell</w:t>
            </w:r>
          </w:p>
        </w:tc>
        <w:tc>
          <w:tcPr>
            <w:tcW w:w="2360" w:type="dxa"/>
            <w:vAlign w:val="bottom"/>
            <w:tcBorders>
              <w:bottom w:val="single" w:sz="8" w:color="D9D9D9"/>
            </w:tcBorders>
            <w:shd w:val="clear" w:color="auto" w:fill="D9D9D9"/>
          </w:tcPr>
          <w:p>
            <w:pPr>
              <w:jc w:val="right"/>
              <w:ind w:right="690"/>
              <w:spacing w:after="0"/>
              <w:rPr>
                <w:sz w:val="20"/>
                <w:szCs w:val="20"/>
                <w:color w:val="auto"/>
              </w:rPr>
            </w:pPr>
            <w:r>
              <w:rPr>
                <w:rFonts w:ascii="Arial" w:cs="Arial" w:eastAsia="Arial" w:hAnsi="Arial"/>
                <w:sz w:val="18"/>
                <w:szCs w:val="18"/>
                <w:color w:val="auto"/>
              </w:rPr>
              <w:t>7.50</w:t>
            </w:r>
          </w:p>
        </w:tc>
        <w:tc>
          <w:tcPr>
            <w:tcW w:w="420" w:type="dxa"/>
            <w:vAlign w:val="bottom"/>
            <w:tcBorders>
              <w:bottom w:val="single" w:sz="8" w:color="D9D9D9"/>
            </w:tcBorders>
            <w:shd w:val="clear" w:color="auto" w:fill="D9D9D9"/>
          </w:tcPr>
          <w:p>
            <w:pPr>
              <w:spacing w:after="0"/>
              <w:rPr>
                <w:sz w:val="21"/>
                <w:szCs w:val="21"/>
                <w:color w:val="auto"/>
              </w:rPr>
            </w:pPr>
          </w:p>
        </w:tc>
        <w:tc>
          <w:tcPr>
            <w:tcW w:w="2220" w:type="dxa"/>
            <w:vAlign w:val="bottom"/>
            <w:tcBorders>
              <w:bottom w:val="single" w:sz="8" w:color="D9D9D9"/>
            </w:tcBorders>
            <w:shd w:val="clear" w:color="auto" w:fill="D9D9D9"/>
          </w:tcPr>
          <w:p>
            <w:pPr>
              <w:jc w:val="right"/>
              <w:ind w:right="570"/>
              <w:spacing w:after="0"/>
              <w:rPr>
                <w:sz w:val="20"/>
                <w:szCs w:val="20"/>
                <w:color w:val="auto"/>
              </w:rPr>
            </w:pPr>
            <w:r>
              <w:rPr>
                <w:rFonts w:ascii="Arial" w:cs="Arial" w:eastAsia="Arial" w:hAnsi="Arial"/>
                <w:sz w:val="18"/>
                <w:szCs w:val="18"/>
                <w:color w:val="auto"/>
              </w:rPr>
              <w:t>60.00</w:t>
            </w:r>
          </w:p>
        </w:tc>
        <w:tc>
          <w:tcPr>
            <w:tcW w:w="420" w:type="dxa"/>
            <w:vAlign w:val="bottom"/>
            <w:tcBorders>
              <w:bottom w:val="single" w:sz="8" w:color="D9D9D9"/>
            </w:tcBorders>
            <w:shd w:val="clear" w:color="auto" w:fill="D9D9D9"/>
          </w:tcPr>
          <w:p>
            <w:pPr>
              <w:spacing w:after="0"/>
              <w:rPr>
                <w:sz w:val="21"/>
                <w:szCs w:val="21"/>
                <w:color w:val="auto"/>
              </w:rPr>
            </w:pPr>
          </w:p>
        </w:tc>
        <w:tc>
          <w:tcPr>
            <w:tcW w:w="2360" w:type="dxa"/>
            <w:vAlign w:val="bottom"/>
            <w:tcBorders>
              <w:bottom w:val="single" w:sz="8" w:color="D9D9D9"/>
            </w:tcBorders>
            <w:shd w:val="clear" w:color="auto" w:fill="D9D9D9"/>
          </w:tcPr>
          <w:p>
            <w:pPr>
              <w:jc w:val="right"/>
              <w:ind w:right="1070"/>
              <w:spacing w:after="0"/>
              <w:rPr>
                <w:sz w:val="20"/>
                <w:szCs w:val="20"/>
                <w:color w:val="auto"/>
              </w:rPr>
            </w:pPr>
            <w:r>
              <w:rPr>
                <w:rFonts w:ascii="Arial" w:cs="Arial" w:eastAsia="Arial" w:hAnsi="Arial"/>
                <w:sz w:val="18"/>
                <w:szCs w:val="18"/>
                <w:color w:val="auto"/>
              </w:rPr>
              <w:t>120.00</w:t>
            </w:r>
          </w:p>
        </w:tc>
      </w:tr>
      <w:tr>
        <w:trPr>
          <w:trHeight w:val="247"/>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Troy R. Johnson</w:t>
            </w:r>
          </w:p>
        </w:tc>
        <w:tc>
          <w:tcPr>
            <w:tcW w:w="2360" w:type="dxa"/>
            <w:vAlign w:val="bottom"/>
          </w:tcPr>
          <w:p>
            <w:pPr>
              <w:jc w:val="right"/>
              <w:ind w:right="690"/>
              <w:spacing w:after="0"/>
              <w:rPr>
                <w:sz w:val="20"/>
                <w:szCs w:val="20"/>
                <w:color w:val="auto"/>
              </w:rPr>
            </w:pPr>
            <w:r>
              <w:rPr>
                <w:rFonts w:ascii="Arial" w:cs="Arial" w:eastAsia="Arial" w:hAnsi="Arial"/>
                <w:sz w:val="18"/>
                <w:szCs w:val="18"/>
                <w:color w:val="auto"/>
              </w:rPr>
              <w:t>7.50</w:t>
            </w:r>
          </w:p>
        </w:tc>
        <w:tc>
          <w:tcPr>
            <w:tcW w:w="420" w:type="dxa"/>
            <w:vAlign w:val="bottom"/>
          </w:tcPr>
          <w:p>
            <w:pPr>
              <w:spacing w:after="0"/>
              <w:rPr>
                <w:sz w:val="21"/>
                <w:szCs w:val="21"/>
                <w:color w:val="auto"/>
              </w:rPr>
            </w:pPr>
          </w:p>
        </w:tc>
        <w:tc>
          <w:tcPr>
            <w:tcW w:w="2220" w:type="dxa"/>
            <w:vAlign w:val="bottom"/>
          </w:tcPr>
          <w:p>
            <w:pPr>
              <w:jc w:val="right"/>
              <w:ind w:right="570"/>
              <w:spacing w:after="0"/>
              <w:rPr>
                <w:sz w:val="20"/>
                <w:szCs w:val="20"/>
                <w:color w:val="auto"/>
              </w:rPr>
            </w:pPr>
            <w:r>
              <w:rPr>
                <w:rFonts w:ascii="Arial" w:cs="Arial" w:eastAsia="Arial" w:hAnsi="Arial"/>
                <w:sz w:val="18"/>
                <w:szCs w:val="18"/>
                <w:color w:val="auto"/>
              </w:rPr>
              <w:t>60.00</w:t>
            </w:r>
          </w:p>
        </w:tc>
        <w:tc>
          <w:tcPr>
            <w:tcW w:w="420" w:type="dxa"/>
            <w:vAlign w:val="bottom"/>
          </w:tcPr>
          <w:p>
            <w:pPr>
              <w:spacing w:after="0"/>
              <w:rPr>
                <w:sz w:val="21"/>
                <w:szCs w:val="21"/>
                <w:color w:val="auto"/>
              </w:rPr>
            </w:pPr>
          </w:p>
        </w:tc>
        <w:tc>
          <w:tcPr>
            <w:tcW w:w="2360" w:type="dxa"/>
            <w:vAlign w:val="bottom"/>
          </w:tcPr>
          <w:p>
            <w:pPr>
              <w:jc w:val="right"/>
              <w:ind w:right="1070"/>
              <w:spacing w:after="0"/>
              <w:rPr>
                <w:sz w:val="20"/>
                <w:szCs w:val="20"/>
                <w:color w:val="auto"/>
              </w:rPr>
            </w:pPr>
            <w:r>
              <w:rPr>
                <w:rFonts w:ascii="Arial" w:cs="Arial" w:eastAsia="Arial" w:hAnsi="Arial"/>
                <w:sz w:val="18"/>
                <w:szCs w:val="18"/>
                <w:color w:val="auto"/>
              </w:rPr>
              <w:t>120.00</w:t>
            </w:r>
          </w:p>
        </w:tc>
      </w:tr>
      <w:tr>
        <w:trPr>
          <w:trHeight w:val="23"/>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2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Raelyn A. Trende</w:t>
            </w:r>
            <w:r>
              <w:rPr>
                <w:rFonts w:ascii="Arial" w:cs="Arial" w:eastAsia="Arial" w:hAnsi="Arial"/>
                <w:sz w:val="23"/>
                <w:szCs w:val="23"/>
                <w:color w:val="auto"/>
                <w:vertAlign w:val="superscript"/>
              </w:rPr>
              <w:t>(4)</w:t>
            </w:r>
          </w:p>
        </w:tc>
        <w:tc>
          <w:tcPr>
            <w:tcW w:w="2360" w:type="dxa"/>
            <w:vAlign w:val="bottom"/>
            <w:shd w:val="clear" w:color="auto" w:fill="DBDBDB"/>
          </w:tcPr>
          <w:p>
            <w:pPr>
              <w:jc w:val="right"/>
              <w:ind w:right="690"/>
              <w:spacing w:after="0"/>
              <w:rPr>
                <w:sz w:val="20"/>
                <w:szCs w:val="20"/>
                <w:color w:val="auto"/>
              </w:rPr>
            </w:pPr>
            <w:r>
              <w:rPr>
                <w:rFonts w:ascii="Arial" w:cs="Arial" w:eastAsia="Arial" w:hAnsi="Arial"/>
                <w:sz w:val="18"/>
                <w:szCs w:val="18"/>
                <w:color w:val="auto"/>
              </w:rPr>
              <w:t>4.38</w:t>
            </w:r>
          </w:p>
        </w:tc>
        <w:tc>
          <w:tcPr>
            <w:tcW w:w="420" w:type="dxa"/>
            <w:vAlign w:val="bottom"/>
            <w:shd w:val="clear" w:color="auto" w:fill="DBDBDB"/>
          </w:tcPr>
          <w:p>
            <w:pPr>
              <w:spacing w:after="0"/>
              <w:rPr>
                <w:sz w:val="23"/>
                <w:szCs w:val="23"/>
                <w:color w:val="auto"/>
              </w:rPr>
            </w:pPr>
          </w:p>
        </w:tc>
        <w:tc>
          <w:tcPr>
            <w:tcW w:w="2220" w:type="dxa"/>
            <w:vAlign w:val="bottom"/>
            <w:shd w:val="clear" w:color="auto" w:fill="DBDBDB"/>
          </w:tcPr>
          <w:p>
            <w:pPr>
              <w:jc w:val="right"/>
              <w:ind w:right="570"/>
              <w:spacing w:after="0"/>
              <w:rPr>
                <w:sz w:val="20"/>
                <w:szCs w:val="20"/>
                <w:color w:val="auto"/>
              </w:rPr>
            </w:pPr>
            <w:r>
              <w:rPr>
                <w:rFonts w:ascii="Arial" w:cs="Arial" w:eastAsia="Arial" w:hAnsi="Arial"/>
                <w:sz w:val="18"/>
                <w:szCs w:val="18"/>
                <w:color w:val="auto"/>
              </w:rPr>
              <w:t>35.00</w:t>
            </w:r>
          </w:p>
        </w:tc>
        <w:tc>
          <w:tcPr>
            <w:tcW w:w="420" w:type="dxa"/>
            <w:vAlign w:val="bottom"/>
            <w:shd w:val="clear" w:color="auto" w:fill="DBDBDB"/>
          </w:tcPr>
          <w:p>
            <w:pPr>
              <w:spacing w:after="0"/>
              <w:rPr>
                <w:sz w:val="23"/>
                <w:szCs w:val="23"/>
                <w:color w:val="auto"/>
              </w:rPr>
            </w:pPr>
          </w:p>
        </w:tc>
        <w:tc>
          <w:tcPr>
            <w:tcW w:w="2360" w:type="dxa"/>
            <w:vAlign w:val="bottom"/>
            <w:shd w:val="clear" w:color="auto" w:fill="DBDBDB"/>
          </w:tcPr>
          <w:p>
            <w:pPr>
              <w:jc w:val="right"/>
              <w:ind w:right="1050"/>
              <w:spacing w:after="0"/>
              <w:rPr>
                <w:sz w:val="20"/>
                <w:szCs w:val="20"/>
                <w:color w:val="auto"/>
              </w:rPr>
            </w:pPr>
            <w:r>
              <w:rPr>
                <w:rFonts w:ascii="Arial" w:cs="Arial" w:eastAsia="Arial" w:hAnsi="Arial"/>
                <w:sz w:val="18"/>
                <w:szCs w:val="18"/>
                <w:color w:val="auto"/>
              </w:rPr>
              <w:t>70.00</w:t>
            </w:r>
          </w:p>
        </w:tc>
      </w:tr>
    </w:tbl>
    <w:p>
      <w:pPr>
        <w:spacing w:after="0" w:line="81"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___________________________</w:t>
      </w:r>
    </w:p>
    <w:p>
      <w:pPr>
        <w:spacing w:after="0" w:line="97" w:lineRule="exact"/>
        <w:rPr>
          <w:sz w:val="20"/>
          <w:szCs w:val="20"/>
          <w:color w:val="auto"/>
        </w:rPr>
      </w:pPr>
    </w:p>
    <w:p>
      <w:pPr>
        <w:jc w:val="both"/>
        <w:ind w:left="820" w:hanging="488"/>
        <w:spacing w:after="0" w:line="268" w:lineRule="auto"/>
        <w:tabs>
          <w:tab w:leader="none" w:pos="8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Assumes threshold performance level is achieved for only the performance goal with the lowest weighting and is not achieved for any other performance goals. If actual results are below threshold performance level for all performance goals, the payout will be zero.</w:t>
      </w:r>
    </w:p>
    <w:p>
      <w:pPr>
        <w:spacing w:after="0" w:line="62" w:lineRule="exact"/>
        <w:rPr>
          <w:rFonts w:ascii="Arial" w:cs="Arial" w:eastAsia="Arial" w:hAnsi="Arial"/>
          <w:sz w:val="18"/>
          <w:szCs w:val="18"/>
          <w:color w:val="auto"/>
        </w:rPr>
      </w:pPr>
    </w:p>
    <w:p>
      <w:pPr>
        <w:ind w:left="800" w:hanging="468"/>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Assumes target performance level is achieved for all performance goals.</w:t>
      </w:r>
    </w:p>
    <w:p>
      <w:pPr>
        <w:spacing w:after="0" w:line="117" w:lineRule="exact"/>
        <w:rPr>
          <w:rFonts w:ascii="Arial" w:cs="Arial" w:eastAsia="Arial" w:hAnsi="Arial"/>
          <w:sz w:val="18"/>
          <w:szCs w:val="18"/>
          <w:color w:val="auto"/>
        </w:rPr>
      </w:pPr>
    </w:p>
    <w:p>
      <w:pPr>
        <w:ind w:left="800" w:hanging="468"/>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Assumes maximum performance level is achieved or exceeded for all performance goals.</w:t>
      </w:r>
    </w:p>
    <w:p>
      <w:pPr>
        <w:spacing w:after="0" w:line="117" w:lineRule="exact"/>
        <w:rPr>
          <w:rFonts w:ascii="Arial" w:cs="Arial" w:eastAsia="Arial" w:hAnsi="Arial"/>
          <w:sz w:val="18"/>
          <w:szCs w:val="18"/>
          <w:color w:val="auto"/>
        </w:rPr>
      </w:pPr>
    </w:p>
    <w:p>
      <w:pPr>
        <w:ind w:left="800" w:hanging="468"/>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Ms. Trende's actual payout is prorated based on her partial year of service, beginning on July 29, 2024.</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outlines the performance goals, weighting and performance levels and actual performance achievement for the fiscal 2025 performance cycle for all Named Executive Officers except for Messrs. Jewell and T. Johnson whose goals for serving as segment leaders are shown in the tables below this 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2025 Annual Cash Incentive Performance Levels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Actual Performance – Messrs. Silberhorn, Osberg and Ms. Trende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445E"/>
              </w:rPr>
              <w:t>Percentage</w:t>
            </w:r>
          </w:p>
        </w:tc>
        <w:tc>
          <w:tcPr>
            <w:tcW w:w="0" w:type="dxa"/>
            <w:vAlign w:val="bottom"/>
          </w:tcPr>
          <w:p>
            <w:pPr>
              <w:spacing w:after="0"/>
              <w:rPr>
                <w:sz w:val="1"/>
                <w:szCs w:val="1"/>
                <w:color w:val="auto"/>
              </w:rPr>
            </w:pPr>
          </w:p>
        </w:tc>
      </w:tr>
      <w:tr>
        <w:trPr>
          <w:trHeight w:val="175"/>
        </w:trPr>
        <w:tc>
          <w:tcPr>
            <w:tcW w:w="2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05445E"/>
              </w:rPr>
              <w:t>Performance</w:t>
            </w: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05445E"/>
              </w:rPr>
              <w:t>Weighting</w:t>
            </w:r>
          </w:p>
        </w:tc>
        <w:tc>
          <w:tcPr>
            <w:tcW w:w="15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05445E"/>
              </w:rPr>
              <w:t>Threshold</w:t>
            </w:r>
          </w:p>
        </w:tc>
        <w:tc>
          <w:tcPr>
            <w:tcW w:w="15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05445E"/>
              </w:rPr>
              <w:t>Target</w:t>
            </w:r>
          </w:p>
        </w:tc>
        <w:tc>
          <w:tcPr>
            <w:tcW w:w="16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05445E"/>
              </w:rPr>
              <w:t>Maximum</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445E"/>
              </w:rPr>
              <w:t>Actual</w:t>
            </w:r>
          </w:p>
        </w:tc>
        <w:tc>
          <w:tcPr>
            <w:tcW w:w="3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445E"/>
              </w:rPr>
              <w:t>Performance</w:t>
            </w:r>
          </w:p>
        </w:tc>
        <w:tc>
          <w:tcPr>
            <w:tcW w:w="0" w:type="dxa"/>
            <w:vAlign w:val="bottom"/>
          </w:tcPr>
          <w:p>
            <w:pPr>
              <w:spacing w:after="0"/>
              <w:rPr>
                <w:sz w:val="1"/>
                <w:szCs w:val="1"/>
                <w:color w:val="auto"/>
              </w:rPr>
            </w:pPr>
          </w:p>
        </w:tc>
      </w:tr>
      <w:tr>
        <w:trPr>
          <w:trHeight w:val="162"/>
        </w:trPr>
        <w:tc>
          <w:tcPr>
            <w:tcW w:w="23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445E"/>
              </w:rPr>
              <w:t>Performance</w:t>
            </w:r>
          </w:p>
        </w:tc>
        <w:tc>
          <w:tcPr>
            <w:tcW w:w="3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445E"/>
              </w:rPr>
              <w:t>Achieved</w:t>
            </w:r>
          </w:p>
        </w:tc>
        <w:tc>
          <w:tcPr>
            <w:tcW w:w="0" w:type="dxa"/>
            <w:vAlign w:val="bottom"/>
          </w:tcPr>
          <w:p>
            <w:pPr>
              <w:spacing w:after="0"/>
              <w:rPr>
                <w:sz w:val="1"/>
                <w:szCs w:val="1"/>
                <w:color w:val="auto"/>
              </w:rPr>
            </w:pPr>
          </w:p>
        </w:tc>
      </w:tr>
      <w:tr>
        <w:trPr>
          <w:trHeight w:val="211"/>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5445E"/>
              </w:rPr>
              <w:t>Goal</w:t>
            </w:r>
          </w:p>
        </w:tc>
        <w:tc>
          <w:tcPr>
            <w:tcW w:w="100" w:type="dxa"/>
            <w:vAlign w:val="bottom"/>
            <w:tcBorders>
              <w:bottom w:val="single" w:sz="8" w:color="D9D9D9"/>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445E"/>
              </w:rPr>
              <w:t>(%)</w:t>
            </w:r>
          </w:p>
        </w:tc>
        <w:tc>
          <w:tcPr>
            <w:tcW w:w="100" w:type="dxa"/>
            <w:vAlign w:val="bottom"/>
            <w:tcBorders>
              <w:bottom w:val="single" w:sz="8" w:color="D9D9D9"/>
            </w:tcBorders>
          </w:tcPr>
          <w:p>
            <w:pPr>
              <w:spacing w:after="0"/>
              <w:rPr>
                <w:sz w:val="18"/>
                <w:szCs w:val="18"/>
                <w:color w:val="auto"/>
              </w:rPr>
            </w:pP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05445E"/>
              </w:rPr>
              <w:t>($ in millions)</w:t>
            </w:r>
          </w:p>
        </w:tc>
        <w:tc>
          <w:tcPr>
            <w:tcW w:w="100" w:type="dxa"/>
            <w:vAlign w:val="bottom"/>
            <w:tcBorders>
              <w:bottom w:val="single" w:sz="8" w:color="D9D9D9"/>
            </w:tcBorders>
          </w:tcPr>
          <w:p>
            <w:pPr>
              <w:spacing w:after="0"/>
              <w:rPr>
                <w:sz w:val="18"/>
                <w:szCs w:val="18"/>
                <w:color w:val="auto"/>
              </w:rPr>
            </w:pPr>
          </w:p>
        </w:tc>
        <w:tc>
          <w:tcPr>
            <w:tcW w:w="1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05445E"/>
              </w:rPr>
              <w:t>($ in millions)</w:t>
            </w:r>
          </w:p>
        </w:tc>
        <w:tc>
          <w:tcPr>
            <w:tcW w:w="100" w:type="dxa"/>
            <w:vAlign w:val="bottom"/>
            <w:tcBorders>
              <w:bottom w:val="single" w:sz="8" w:color="D9D9D9"/>
            </w:tcBorders>
          </w:tcPr>
          <w:p>
            <w:pPr>
              <w:spacing w:after="0"/>
              <w:rPr>
                <w:sz w:val="18"/>
                <w:szCs w:val="18"/>
                <w:color w:val="auto"/>
              </w:rPr>
            </w:pPr>
          </w:p>
        </w:tc>
        <w:tc>
          <w:tcPr>
            <w:tcW w:w="15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05445E"/>
              </w:rPr>
              <w:t>($ in millions)</w:t>
            </w:r>
          </w:p>
        </w:tc>
        <w:tc>
          <w:tcPr>
            <w:tcW w:w="100" w:type="dxa"/>
            <w:vAlign w:val="bottom"/>
            <w:tcBorders>
              <w:bottom w:val="single" w:sz="8" w:color="D9D9D9"/>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445E"/>
              </w:rPr>
              <w:t>($ in millions)</w:t>
            </w:r>
          </w:p>
        </w:tc>
        <w:tc>
          <w:tcPr>
            <w:tcW w:w="300" w:type="dxa"/>
            <w:vAlign w:val="bottom"/>
            <w:tcBorders>
              <w:bottom w:val="single" w:sz="8" w:color="D9D9D9"/>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445E"/>
              </w:rPr>
              <w:t>(%)</w:t>
            </w:r>
          </w:p>
        </w:tc>
        <w:tc>
          <w:tcPr>
            <w:tcW w:w="0" w:type="dxa"/>
            <w:vAlign w:val="bottom"/>
          </w:tcPr>
          <w:p>
            <w:pPr>
              <w:spacing w:after="0"/>
              <w:rPr>
                <w:sz w:val="1"/>
                <w:szCs w:val="1"/>
                <w:color w:val="auto"/>
              </w:rPr>
            </w:pPr>
          </w:p>
        </w:tc>
      </w:tr>
      <w:tr>
        <w:trPr>
          <w:trHeight w:val="204"/>
        </w:trPr>
        <w:tc>
          <w:tcPr>
            <w:tcW w:w="238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4"/>
                <w:szCs w:val="14"/>
                <w:color w:val="auto"/>
              </w:rPr>
              <w:t>Consolidated Net Sales</w:t>
            </w:r>
          </w:p>
        </w:tc>
        <w:tc>
          <w:tcPr>
            <w:tcW w:w="114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D9D9D9"/>
            </w:tcBorders>
            <w:shd w:val="clear" w:color="auto" w:fill="D9D9D9"/>
          </w:tcPr>
          <w:p>
            <w:pPr>
              <w:spacing w:after="0"/>
              <w:rPr>
                <w:sz w:val="17"/>
                <w:szCs w:val="17"/>
                <w:color w:val="auto"/>
              </w:rPr>
            </w:pPr>
          </w:p>
        </w:tc>
        <w:tc>
          <w:tcPr>
            <w:tcW w:w="1420" w:type="dxa"/>
            <w:vAlign w:val="bottom"/>
            <w:tcBorders>
              <w:bottom w:val="single" w:sz="8" w:color="D9D9D9"/>
            </w:tcBorders>
            <w:shd w:val="clear" w:color="auto" w:fill="D9D9D9"/>
          </w:tcPr>
          <w:p>
            <w:pPr>
              <w:jc w:val="right"/>
              <w:ind w:right="168"/>
              <w:spacing w:after="0"/>
              <w:rPr>
                <w:sz w:val="20"/>
                <w:szCs w:val="20"/>
                <w:color w:val="auto"/>
              </w:rPr>
            </w:pPr>
            <w:r>
              <w:rPr>
                <w:rFonts w:ascii="Arial" w:cs="Arial" w:eastAsia="Arial" w:hAnsi="Arial"/>
                <w:sz w:val="14"/>
                <w:szCs w:val="14"/>
                <w:color w:val="auto"/>
              </w:rPr>
              <w:t>1,320.000</w:t>
            </w:r>
          </w:p>
        </w:tc>
        <w:tc>
          <w:tcPr>
            <w:tcW w:w="100" w:type="dxa"/>
            <w:vAlign w:val="bottom"/>
            <w:tcBorders>
              <w:bottom w:val="single" w:sz="8" w:color="D9D9D9"/>
            </w:tcBorders>
            <w:shd w:val="clear" w:color="auto" w:fill="D9D9D9"/>
          </w:tcPr>
          <w:p>
            <w:pPr>
              <w:spacing w:after="0"/>
              <w:rPr>
                <w:sz w:val="17"/>
                <w:szCs w:val="17"/>
                <w:color w:val="auto"/>
              </w:rPr>
            </w:pPr>
          </w:p>
        </w:tc>
        <w:tc>
          <w:tcPr>
            <w:tcW w:w="1460" w:type="dxa"/>
            <w:vAlign w:val="bottom"/>
            <w:tcBorders>
              <w:bottom w:val="single" w:sz="8" w:color="D9D9D9"/>
            </w:tcBorders>
            <w:shd w:val="clear" w:color="auto" w:fill="D9D9D9"/>
          </w:tcPr>
          <w:p>
            <w:pPr>
              <w:jc w:val="right"/>
              <w:ind w:right="168"/>
              <w:spacing w:after="0"/>
              <w:rPr>
                <w:sz w:val="20"/>
                <w:szCs w:val="20"/>
                <w:color w:val="auto"/>
              </w:rPr>
            </w:pPr>
            <w:r>
              <w:rPr>
                <w:rFonts w:ascii="Arial" w:cs="Arial" w:eastAsia="Arial" w:hAnsi="Arial"/>
                <w:sz w:val="14"/>
                <w:szCs w:val="14"/>
                <w:color w:val="auto"/>
              </w:rPr>
              <w:t>1,400.000</w:t>
            </w:r>
          </w:p>
        </w:tc>
        <w:tc>
          <w:tcPr>
            <w:tcW w:w="100" w:type="dxa"/>
            <w:vAlign w:val="bottom"/>
            <w:tcBorders>
              <w:bottom w:val="single" w:sz="8" w:color="D9D9D9"/>
            </w:tcBorders>
            <w:shd w:val="clear" w:color="auto" w:fill="D9D9D9"/>
          </w:tcPr>
          <w:p>
            <w:pPr>
              <w:spacing w:after="0"/>
              <w:rPr>
                <w:sz w:val="17"/>
                <w:szCs w:val="17"/>
                <w:color w:val="auto"/>
              </w:rPr>
            </w:pPr>
          </w:p>
        </w:tc>
        <w:tc>
          <w:tcPr>
            <w:tcW w:w="1500" w:type="dxa"/>
            <w:vAlign w:val="bottom"/>
            <w:tcBorders>
              <w:bottom w:val="single" w:sz="8" w:color="D9D9D9"/>
            </w:tcBorders>
            <w:shd w:val="clear" w:color="auto" w:fill="D9D9D9"/>
          </w:tcPr>
          <w:p>
            <w:pPr>
              <w:jc w:val="right"/>
              <w:ind w:right="168"/>
              <w:spacing w:after="0"/>
              <w:rPr>
                <w:sz w:val="20"/>
                <w:szCs w:val="20"/>
                <w:color w:val="auto"/>
              </w:rPr>
            </w:pPr>
            <w:r>
              <w:rPr>
                <w:rFonts w:ascii="Arial" w:cs="Arial" w:eastAsia="Arial" w:hAnsi="Arial"/>
                <w:sz w:val="14"/>
                <w:szCs w:val="14"/>
                <w:color w:val="auto"/>
              </w:rPr>
              <w:t>1,460.000</w:t>
            </w:r>
          </w:p>
        </w:tc>
        <w:tc>
          <w:tcPr>
            <w:tcW w:w="100" w:type="dxa"/>
            <w:vAlign w:val="bottom"/>
            <w:tcBorders>
              <w:bottom w:val="single" w:sz="8" w:color="D9D9D9"/>
            </w:tcBorders>
            <w:shd w:val="clear" w:color="auto" w:fill="D9D9D9"/>
          </w:tcPr>
          <w:p>
            <w:pPr>
              <w:spacing w:after="0"/>
              <w:rPr>
                <w:sz w:val="17"/>
                <w:szCs w:val="17"/>
                <w:color w:val="auto"/>
              </w:rPr>
            </w:pPr>
          </w:p>
        </w:tc>
        <w:tc>
          <w:tcPr>
            <w:tcW w:w="1320" w:type="dxa"/>
            <w:vAlign w:val="bottom"/>
            <w:tcBorders>
              <w:bottom w:val="single" w:sz="8" w:color="D9D9D9"/>
            </w:tcBorders>
            <w:shd w:val="clear" w:color="auto" w:fill="D9D9D9"/>
          </w:tcPr>
          <w:p>
            <w:pPr>
              <w:jc w:val="right"/>
              <w:ind w:right="268"/>
              <w:spacing w:after="0"/>
              <w:rPr>
                <w:sz w:val="20"/>
                <w:szCs w:val="20"/>
                <w:color w:val="auto"/>
              </w:rPr>
            </w:pPr>
            <w:r>
              <w:rPr>
                <w:rFonts w:ascii="Arial" w:cs="Arial" w:eastAsia="Arial" w:hAnsi="Arial"/>
                <w:sz w:val="14"/>
                <w:szCs w:val="14"/>
                <w:color w:val="auto"/>
              </w:rPr>
              <w:t>1,329.010</w:t>
            </w:r>
          </w:p>
        </w:tc>
        <w:tc>
          <w:tcPr>
            <w:tcW w:w="300" w:type="dxa"/>
            <w:vAlign w:val="bottom"/>
            <w:tcBorders>
              <w:bottom w:val="single" w:sz="8" w:color="D9D9D9"/>
            </w:tcBorders>
            <w:shd w:val="clear" w:color="auto" w:fill="D9D9D9"/>
          </w:tcPr>
          <w:p>
            <w:pPr>
              <w:spacing w:after="0"/>
              <w:rPr>
                <w:sz w:val="17"/>
                <w:szCs w:val="17"/>
                <w:color w:val="auto"/>
              </w:rPr>
            </w:pPr>
          </w:p>
        </w:tc>
        <w:tc>
          <w:tcPr>
            <w:tcW w:w="13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55.63</w:t>
            </w:r>
          </w:p>
        </w:tc>
        <w:tc>
          <w:tcPr>
            <w:tcW w:w="0" w:type="dxa"/>
            <w:vAlign w:val="bottom"/>
          </w:tcPr>
          <w:p>
            <w:pPr>
              <w:spacing w:after="0"/>
              <w:rPr>
                <w:sz w:val="1"/>
                <w:szCs w:val="1"/>
                <w:color w:val="auto"/>
              </w:rPr>
            </w:pPr>
          </w:p>
        </w:tc>
      </w:tr>
      <w:tr>
        <w:trPr>
          <w:trHeight w:val="208"/>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Consolidated Adjusted EBIT</w:t>
            </w:r>
          </w:p>
        </w:tc>
        <w:tc>
          <w:tcPr>
            <w:tcW w:w="1140" w:type="dxa"/>
            <w:vAlign w:val="bottom"/>
          </w:tcPr>
          <w:p>
            <w:pPr>
              <w:jc w:val="center"/>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8"/>
                <w:szCs w:val="18"/>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136.000</w:t>
            </w:r>
          </w:p>
        </w:tc>
        <w:tc>
          <w:tcPr>
            <w:tcW w:w="100" w:type="dxa"/>
            <w:vAlign w:val="bottom"/>
          </w:tcPr>
          <w:p>
            <w:pPr>
              <w:spacing w:after="0"/>
              <w:rPr>
                <w:sz w:val="18"/>
                <w:szCs w:val="18"/>
                <w:color w:val="auto"/>
              </w:rPr>
            </w:pP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148.200</w:t>
            </w:r>
          </w:p>
        </w:tc>
        <w:tc>
          <w:tcPr>
            <w:tcW w:w="100" w:type="dxa"/>
            <w:vAlign w:val="bottom"/>
          </w:tcPr>
          <w:p>
            <w:pPr>
              <w:spacing w:after="0"/>
              <w:rPr>
                <w:sz w:val="18"/>
                <w:szCs w:val="18"/>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color w:val="auto"/>
              </w:rPr>
              <w:t>155.000</w:t>
            </w:r>
          </w:p>
        </w:tc>
        <w:tc>
          <w:tcPr>
            <w:tcW w:w="100" w:type="dxa"/>
            <w:vAlign w:val="bottom"/>
          </w:tcPr>
          <w:p>
            <w:pPr>
              <w:spacing w:after="0"/>
              <w:rPr>
                <w:sz w:val="18"/>
                <w:szCs w:val="18"/>
                <w:color w:val="auto"/>
              </w:rPr>
            </w:pPr>
          </w:p>
        </w:tc>
        <w:tc>
          <w:tcPr>
            <w:tcW w:w="1320" w:type="dxa"/>
            <w:vAlign w:val="bottom"/>
          </w:tcPr>
          <w:p>
            <w:pPr>
              <w:jc w:val="right"/>
              <w:ind w:right="328"/>
              <w:spacing w:after="0"/>
              <w:rPr>
                <w:sz w:val="20"/>
                <w:szCs w:val="20"/>
                <w:color w:val="auto"/>
              </w:rPr>
            </w:pPr>
            <w:r>
              <w:rPr>
                <w:rFonts w:ascii="Arial" w:cs="Arial" w:eastAsia="Arial" w:hAnsi="Arial"/>
                <w:sz w:val="14"/>
                <w:szCs w:val="14"/>
                <w:color w:val="auto"/>
              </w:rPr>
              <w:t>146.617</w:t>
            </w:r>
          </w:p>
        </w:tc>
        <w:tc>
          <w:tcPr>
            <w:tcW w:w="300" w:type="dxa"/>
            <w:vAlign w:val="bottom"/>
          </w:tcPr>
          <w:p>
            <w:pPr>
              <w:jc w:val="right"/>
              <w:ind w:right="53"/>
              <w:spacing w:after="0"/>
              <w:rPr>
                <w:sz w:val="20"/>
                <w:szCs w:val="20"/>
                <w:color w:val="auto"/>
              </w:rPr>
            </w:pPr>
            <w:r>
              <w:rPr>
                <w:rFonts w:ascii="Arial" w:cs="Arial" w:eastAsia="Arial" w:hAnsi="Arial"/>
                <w:sz w:val="9"/>
                <w:szCs w:val="9"/>
                <w:color w:val="auto"/>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93.51</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___________________________</w:t>
      </w:r>
    </w:p>
    <w:p>
      <w:pPr>
        <w:spacing w:after="0" w:line="111" w:lineRule="exact"/>
        <w:rPr>
          <w:sz w:val="20"/>
          <w:szCs w:val="20"/>
          <w:color w:val="auto"/>
        </w:rPr>
      </w:pPr>
    </w:p>
    <w:p>
      <w:pPr>
        <w:ind w:left="820" w:hanging="488"/>
        <w:spacing w:after="0" w:line="287" w:lineRule="auto"/>
        <w:tabs>
          <w:tab w:leader="none" w:pos="8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Consolidated Adjusted EBIT is a non-GAAP measure which is further defined on page </w:t>
      </w:r>
      <w:r>
        <w:rPr>
          <w:rFonts w:ascii="Arial" w:cs="Arial" w:eastAsia="Arial" w:hAnsi="Arial"/>
          <w:sz w:val="18"/>
          <w:szCs w:val="18"/>
          <w:u w:val="single" w:color="auto"/>
          <w:color w:val="0000FF"/>
        </w:rPr>
        <w:t>35</w:t>
      </w:r>
      <w:r>
        <w:rPr>
          <w:rFonts w:ascii="Arial" w:cs="Arial" w:eastAsia="Arial" w:hAnsi="Arial"/>
          <w:sz w:val="18"/>
          <w:szCs w:val="18"/>
          <w:color w:val="auto"/>
        </w:rPr>
        <w:t>, and reconciled to GAAP net earnings in Appendix A to this Proxy Statement.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outlines the performance metrics, weighting and performance levels and actual performance achievement for the fiscal 2025 performance cycle for Mr. Jewell, whose annual cash incentive is based on a combination of consolidated performance goals and performance goals for the Glass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2025 Annual Cash Incentive Performance Levels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Actual Performance – Mr. Jewell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5445E"/>
              </w:rPr>
              <w:t>Percentage</w:t>
            </w:r>
          </w:p>
        </w:tc>
      </w:tr>
      <w:tr>
        <w:trPr>
          <w:trHeight w:val="176"/>
        </w:trPr>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445E"/>
              </w:rPr>
              <w:t>Actual</w:t>
            </w:r>
          </w:p>
        </w:tc>
        <w:tc>
          <w:tcPr>
            <w:tcW w:w="3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5445E"/>
              </w:rPr>
              <w:t>Performance</w:t>
            </w:r>
          </w:p>
        </w:tc>
      </w:tr>
      <w:tr>
        <w:trPr>
          <w:trHeight w:val="162"/>
        </w:trPr>
        <w:tc>
          <w:tcPr>
            <w:tcW w:w="2620" w:type="dxa"/>
            <w:vAlign w:val="bottom"/>
            <w:gridSpan w:val="2"/>
          </w:tcPr>
          <w:p>
            <w:pPr>
              <w:ind w:left="20"/>
              <w:spacing w:after="0"/>
              <w:rPr>
                <w:sz w:val="20"/>
                <w:szCs w:val="20"/>
                <w:color w:val="auto"/>
              </w:rPr>
            </w:pPr>
            <w:r>
              <w:rPr>
                <w:rFonts w:ascii="Arial" w:cs="Arial" w:eastAsia="Arial" w:hAnsi="Arial"/>
                <w:sz w:val="14"/>
                <w:szCs w:val="14"/>
                <w:b w:val="1"/>
                <w:bCs w:val="1"/>
                <w:color w:val="05445E"/>
              </w:rPr>
              <w:t>Performance</w:t>
            </w: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05445E"/>
              </w:rPr>
              <w:t>Weighting</w:t>
            </w: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05445E"/>
              </w:rPr>
              <w:t>Threshold</w:t>
            </w:r>
          </w:p>
        </w:tc>
        <w:tc>
          <w:tcPr>
            <w:tcW w:w="1480" w:type="dxa"/>
            <w:vAlign w:val="bottom"/>
            <w:gridSpan w:val="2"/>
          </w:tcPr>
          <w:p>
            <w:pPr>
              <w:ind w:left="480"/>
              <w:spacing w:after="0"/>
              <w:rPr>
                <w:sz w:val="20"/>
                <w:szCs w:val="20"/>
                <w:color w:val="auto"/>
              </w:rPr>
            </w:pPr>
            <w:r>
              <w:rPr>
                <w:rFonts w:ascii="Arial" w:cs="Arial" w:eastAsia="Arial" w:hAnsi="Arial"/>
                <w:sz w:val="14"/>
                <w:szCs w:val="14"/>
                <w:b w:val="1"/>
                <w:bCs w:val="1"/>
                <w:color w:val="05445E"/>
              </w:rPr>
              <w:t>Target</w:t>
            </w: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05445E"/>
              </w:rPr>
              <w:t>Maximum</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445E"/>
              </w:rPr>
              <w:t>Performance</w:t>
            </w:r>
          </w:p>
        </w:tc>
        <w:tc>
          <w:tcPr>
            <w:tcW w:w="3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5445E"/>
              </w:rPr>
              <w:t>Achieved</w:t>
            </w:r>
          </w:p>
        </w:tc>
      </w:tr>
      <w:tr>
        <w:trPr>
          <w:trHeight w:val="219"/>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5445E"/>
              </w:rPr>
              <w:t>Goal</w:t>
            </w:r>
          </w:p>
        </w:tc>
        <w:tc>
          <w:tcPr>
            <w:tcW w:w="100" w:type="dxa"/>
            <w:vAlign w:val="bottom"/>
            <w:tcBorders>
              <w:bottom w:val="single" w:sz="8" w:color="D9D9D9"/>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445E"/>
              </w:rPr>
              <w:t>(%)</w:t>
            </w:r>
          </w:p>
        </w:tc>
        <w:tc>
          <w:tcPr>
            <w:tcW w:w="100" w:type="dxa"/>
            <w:vAlign w:val="bottom"/>
            <w:tcBorders>
              <w:bottom w:val="single" w:sz="8" w:color="D9D9D9"/>
            </w:tcBorders>
          </w:tcPr>
          <w:p>
            <w:pPr>
              <w:spacing w:after="0"/>
              <w:rPr>
                <w:sz w:val="19"/>
                <w:szCs w:val="19"/>
                <w:color w:val="auto"/>
              </w:rPr>
            </w:pP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05445E"/>
              </w:rPr>
              <w:t>($ in millions)</w:t>
            </w:r>
          </w:p>
        </w:tc>
        <w:tc>
          <w:tcPr>
            <w:tcW w:w="100" w:type="dxa"/>
            <w:vAlign w:val="bottom"/>
            <w:tcBorders>
              <w:bottom w:val="single" w:sz="8" w:color="D9D9D9"/>
            </w:tcBorders>
          </w:tcPr>
          <w:p>
            <w:pPr>
              <w:spacing w:after="0"/>
              <w:rPr>
                <w:sz w:val="19"/>
                <w:szCs w:val="19"/>
                <w:color w:val="auto"/>
              </w:rPr>
            </w:pP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05445E"/>
              </w:rPr>
              <w:t>($ in millions)</w:t>
            </w:r>
          </w:p>
        </w:tc>
        <w:tc>
          <w:tcPr>
            <w:tcW w:w="80" w:type="dxa"/>
            <w:vAlign w:val="bottom"/>
            <w:tcBorders>
              <w:bottom w:val="single" w:sz="8" w:color="D9D9D9"/>
            </w:tcBorders>
          </w:tcPr>
          <w:p>
            <w:pPr>
              <w:spacing w:after="0"/>
              <w:rPr>
                <w:sz w:val="19"/>
                <w:szCs w:val="19"/>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05445E"/>
              </w:rPr>
              <w:t>($ in millions)</w:t>
            </w:r>
          </w:p>
        </w:tc>
        <w:tc>
          <w:tcPr>
            <w:tcW w:w="100" w:type="dxa"/>
            <w:vAlign w:val="bottom"/>
            <w:tcBorders>
              <w:bottom w:val="single" w:sz="8" w:color="D9D9D9"/>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445E"/>
              </w:rPr>
              <w:t>($ in millions)</w:t>
            </w:r>
          </w:p>
        </w:tc>
        <w:tc>
          <w:tcPr>
            <w:tcW w:w="300" w:type="dxa"/>
            <w:vAlign w:val="bottom"/>
            <w:tcBorders>
              <w:bottom w:val="single" w:sz="8" w:color="D9D9D9"/>
            </w:tcBorders>
          </w:tcPr>
          <w:p>
            <w:pPr>
              <w:spacing w:after="0"/>
              <w:rPr>
                <w:sz w:val="19"/>
                <w:szCs w:val="19"/>
                <w:color w:val="auto"/>
              </w:rPr>
            </w:pPr>
          </w:p>
        </w:tc>
        <w:tc>
          <w:tcPr>
            <w:tcW w:w="13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05445E"/>
              </w:rPr>
              <w:t>(%)</w:t>
            </w:r>
          </w:p>
        </w:tc>
      </w:tr>
      <w:tr>
        <w:trPr>
          <w:trHeight w:val="210"/>
        </w:trPr>
        <w:tc>
          <w:tcPr>
            <w:tcW w:w="262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4"/>
                <w:szCs w:val="14"/>
                <w:color w:val="auto"/>
              </w:rPr>
              <w:t>Consolidated Adjusted EBIT</w:t>
            </w:r>
          </w:p>
        </w:tc>
        <w:tc>
          <w:tcPr>
            <w:tcW w:w="114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D9D9D9"/>
            </w:tcBorders>
            <w:shd w:val="clear" w:color="auto" w:fill="D9D9D9"/>
          </w:tcPr>
          <w:p>
            <w:pPr>
              <w:spacing w:after="0"/>
              <w:rPr>
                <w:sz w:val="18"/>
                <w:szCs w:val="18"/>
                <w:color w:val="auto"/>
              </w:rPr>
            </w:pPr>
          </w:p>
        </w:tc>
        <w:tc>
          <w:tcPr>
            <w:tcW w:w="1420" w:type="dxa"/>
            <w:vAlign w:val="bottom"/>
            <w:tcBorders>
              <w:bottom w:val="single" w:sz="8" w:color="D9D9D9"/>
            </w:tcBorders>
            <w:shd w:val="clear" w:color="auto" w:fill="D9D9D9"/>
          </w:tcPr>
          <w:p>
            <w:pPr>
              <w:jc w:val="right"/>
              <w:ind w:right="148"/>
              <w:spacing w:after="0"/>
              <w:rPr>
                <w:sz w:val="20"/>
                <w:szCs w:val="20"/>
                <w:color w:val="auto"/>
              </w:rPr>
            </w:pPr>
            <w:r>
              <w:rPr>
                <w:rFonts w:ascii="Arial" w:cs="Arial" w:eastAsia="Arial" w:hAnsi="Arial"/>
                <w:sz w:val="14"/>
                <w:szCs w:val="14"/>
                <w:color w:val="auto"/>
              </w:rPr>
              <w:t>136.000</w:t>
            </w:r>
          </w:p>
        </w:tc>
        <w:tc>
          <w:tcPr>
            <w:tcW w:w="100" w:type="dxa"/>
            <w:vAlign w:val="bottom"/>
            <w:tcBorders>
              <w:bottom w:val="single" w:sz="8" w:color="D9D9D9"/>
            </w:tcBorders>
            <w:shd w:val="clear" w:color="auto" w:fill="D9D9D9"/>
          </w:tcPr>
          <w:p>
            <w:pPr>
              <w:spacing w:after="0"/>
              <w:rPr>
                <w:sz w:val="18"/>
                <w:szCs w:val="18"/>
                <w:color w:val="auto"/>
              </w:rPr>
            </w:pPr>
          </w:p>
        </w:tc>
        <w:tc>
          <w:tcPr>
            <w:tcW w:w="1400" w:type="dxa"/>
            <w:vAlign w:val="bottom"/>
            <w:tcBorders>
              <w:bottom w:val="single" w:sz="8" w:color="D9D9D9"/>
            </w:tcBorders>
            <w:shd w:val="clear" w:color="auto" w:fill="D9D9D9"/>
          </w:tcPr>
          <w:p>
            <w:pPr>
              <w:jc w:val="right"/>
              <w:ind w:right="168"/>
              <w:spacing w:after="0"/>
              <w:rPr>
                <w:sz w:val="20"/>
                <w:szCs w:val="20"/>
                <w:color w:val="auto"/>
              </w:rPr>
            </w:pPr>
            <w:r>
              <w:rPr>
                <w:rFonts w:ascii="Arial" w:cs="Arial" w:eastAsia="Arial" w:hAnsi="Arial"/>
                <w:sz w:val="14"/>
                <w:szCs w:val="14"/>
                <w:color w:val="auto"/>
              </w:rPr>
              <w:t>148.200</w:t>
            </w:r>
          </w:p>
        </w:tc>
        <w:tc>
          <w:tcPr>
            <w:tcW w:w="80" w:type="dxa"/>
            <w:vAlign w:val="bottom"/>
            <w:tcBorders>
              <w:bottom w:val="single" w:sz="8" w:color="D9D9D9"/>
            </w:tcBorders>
            <w:shd w:val="clear" w:color="auto" w:fill="D9D9D9"/>
          </w:tcPr>
          <w:p>
            <w:pPr>
              <w:spacing w:after="0"/>
              <w:rPr>
                <w:sz w:val="18"/>
                <w:szCs w:val="18"/>
                <w:color w:val="auto"/>
              </w:rPr>
            </w:pPr>
          </w:p>
        </w:tc>
        <w:tc>
          <w:tcPr>
            <w:tcW w:w="1320" w:type="dxa"/>
            <w:vAlign w:val="bottom"/>
            <w:tcBorders>
              <w:bottom w:val="single" w:sz="8" w:color="D9D9D9"/>
            </w:tcBorders>
            <w:shd w:val="clear" w:color="auto" w:fill="D9D9D9"/>
          </w:tcPr>
          <w:p>
            <w:pPr>
              <w:jc w:val="right"/>
              <w:ind w:right="148"/>
              <w:spacing w:after="0"/>
              <w:rPr>
                <w:sz w:val="20"/>
                <w:szCs w:val="20"/>
                <w:color w:val="auto"/>
              </w:rPr>
            </w:pPr>
            <w:r>
              <w:rPr>
                <w:rFonts w:ascii="Arial" w:cs="Arial" w:eastAsia="Arial" w:hAnsi="Arial"/>
                <w:sz w:val="14"/>
                <w:szCs w:val="14"/>
                <w:color w:val="auto"/>
              </w:rPr>
              <w:t>155.000</w:t>
            </w:r>
          </w:p>
        </w:tc>
        <w:tc>
          <w:tcPr>
            <w:tcW w:w="100" w:type="dxa"/>
            <w:vAlign w:val="bottom"/>
            <w:tcBorders>
              <w:bottom w:val="single" w:sz="8" w:color="D9D9D9"/>
            </w:tcBorders>
            <w:shd w:val="clear" w:color="auto" w:fill="D9D9D9"/>
          </w:tcPr>
          <w:p>
            <w:pPr>
              <w:spacing w:after="0"/>
              <w:rPr>
                <w:sz w:val="18"/>
                <w:szCs w:val="18"/>
                <w:color w:val="auto"/>
              </w:rPr>
            </w:pPr>
          </w:p>
        </w:tc>
        <w:tc>
          <w:tcPr>
            <w:tcW w:w="1320" w:type="dxa"/>
            <w:vAlign w:val="bottom"/>
            <w:tcBorders>
              <w:bottom w:val="single" w:sz="8" w:color="D9D9D9"/>
            </w:tcBorders>
            <w:shd w:val="clear" w:color="auto" w:fill="D9D9D9"/>
          </w:tcPr>
          <w:p>
            <w:pPr>
              <w:jc w:val="right"/>
              <w:ind w:right="148"/>
              <w:spacing w:after="0"/>
              <w:rPr>
                <w:sz w:val="20"/>
                <w:szCs w:val="20"/>
                <w:color w:val="auto"/>
              </w:rPr>
            </w:pPr>
            <w:r>
              <w:rPr>
                <w:rFonts w:ascii="Arial" w:cs="Arial" w:eastAsia="Arial" w:hAnsi="Arial"/>
                <w:sz w:val="14"/>
                <w:szCs w:val="14"/>
                <w:color w:val="auto"/>
              </w:rPr>
              <w:t>146.617</w:t>
            </w:r>
          </w:p>
        </w:tc>
        <w:tc>
          <w:tcPr>
            <w:tcW w:w="300" w:type="dxa"/>
            <w:vAlign w:val="bottom"/>
            <w:tcBorders>
              <w:bottom w:val="single" w:sz="8" w:color="D9D9D9"/>
            </w:tcBorders>
            <w:shd w:val="clear" w:color="auto" w:fill="D9D9D9"/>
          </w:tcPr>
          <w:p>
            <w:pPr>
              <w:jc w:val="right"/>
              <w:ind w:right="113"/>
              <w:spacing w:after="0"/>
              <w:rPr>
                <w:sz w:val="20"/>
                <w:szCs w:val="20"/>
                <w:color w:val="auto"/>
              </w:rPr>
            </w:pPr>
            <w:r>
              <w:rPr>
                <w:rFonts w:ascii="Arial" w:cs="Arial" w:eastAsia="Arial" w:hAnsi="Arial"/>
                <w:sz w:val="9"/>
                <w:szCs w:val="9"/>
                <w:color w:val="auto"/>
              </w:rPr>
              <w:t>(1)</w:t>
            </w:r>
          </w:p>
        </w:tc>
        <w:tc>
          <w:tcPr>
            <w:tcW w:w="1340" w:type="dxa"/>
            <w:vAlign w:val="bottom"/>
            <w:tcBorders>
              <w:bottom w:val="single" w:sz="8" w:color="D9D9D9"/>
            </w:tcBorders>
            <w:shd w:val="clear" w:color="auto" w:fill="D9D9D9"/>
          </w:tcPr>
          <w:p>
            <w:pPr>
              <w:jc w:val="right"/>
              <w:ind w:right="448"/>
              <w:spacing w:after="0"/>
              <w:rPr>
                <w:sz w:val="20"/>
                <w:szCs w:val="20"/>
                <w:color w:val="auto"/>
              </w:rPr>
            </w:pPr>
            <w:r>
              <w:rPr>
                <w:rFonts w:ascii="Arial" w:cs="Arial" w:eastAsia="Arial" w:hAnsi="Arial"/>
                <w:sz w:val="14"/>
                <w:szCs w:val="14"/>
                <w:color w:val="auto"/>
              </w:rPr>
              <w:t>93.51</w:t>
            </w:r>
          </w:p>
        </w:tc>
      </w:tr>
      <w:tr>
        <w:trPr>
          <w:trHeight w:val="208"/>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Glass Segment Net Sales</w:t>
            </w:r>
          </w:p>
        </w:tc>
        <w:tc>
          <w:tcPr>
            <w:tcW w:w="1140" w:type="dxa"/>
            <w:vAlign w:val="bottom"/>
          </w:tcPr>
          <w:p>
            <w:pPr>
              <w:jc w:val="center"/>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8"/>
                <w:szCs w:val="18"/>
                <w:color w:val="auto"/>
              </w:rPr>
            </w:pP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325.800</w:t>
            </w:r>
          </w:p>
        </w:tc>
        <w:tc>
          <w:tcPr>
            <w:tcW w:w="100" w:type="dxa"/>
            <w:vAlign w:val="bottom"/>
          </w:tcPr>
          <w:p>
            <w:pPr>
              <w:spacing w:after="0"/>
              <w:rPr>
                <w:sz w:val="18"/>
                <w:szCs w:val="18"/>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342.900</w:t>
            </w:r>
          </w:p>
        </w:tc>
        <w:tc>
          <w:tcPr>
            <w:tcW w:w="80" w:type="dxa"/>
            <w:vAlign w:val="bottom"/>
          </w:tcPr>
          <w:p>
            <w:pPr>
              <w:spacing w:after="0"/>
              <w:rPr>
                <w:sz w:val="18"/>
                <w:szCs w:val="18"/>
                <w:color w:val="auto"/>
              </w:rPr>
            </w:pPr>
          </w:p>
        </w:tc>
        <w:tc>
          <w:tcPr>
            <w:tcW w:w="1320" w:type="dxa"/>
            <w:vAlign w:val="bottom"/>
          </w:tcPr>
          <w:p>
            <w:pPr>
              <w:jc w:val="right"/>
              <w:ind w:right="148"/>
              <w:spacing w:after="0"/>
              <w:rPr>
                <w:sz w:val="20"/>
                <w:szCs w:val="20"/>
                <w:color w:val="auto"/>
              </w:rPr>
            </w:pPr>
            <w:r>
              <w:rPr>
                <w:rFonts w:ascii="Arial" w:cs="Arial" w:eastAsia="Arial" w:hAnsi="Arial"/>
                <w:sz w:val="14"/>
                <w:szCs w:val="14"/>
                <w:color w:val="auto"/>
              </w:rPr>
              <w:t>375.000</w:t>
            </w:r>
          </w:p>
        </w:tc>
        <w:tc>
          <w:tcPr>
            <w:tcW w:w="100" w:type="dxa"/>
            <w:vAlign w:val="bottom"/>
          </w:tcPr>
          <w:p>
            <w:pPr>
              <w:spacing w:after="0"/>
              <w:rPr>
                <w:sz w:val="18"/>
                <w:szCs w:val="18"/>
                <w:color w:val="auto"/>
              </w:rPr>
            </w:pPr>
          </w:p>
        </w:tc>
        <w:tc>
          <w:tcPr>
            <w:tcW w:w="1320" w:type="dxa"/>
            <w:vAlign w:val="bottom"/>
          </w:tcPr>
          <w:p>
            <w:pPr>
              <w:jc w:val="right"/>
              <w:ind w:right="148"/>
              <w:spacing w:after="0"/>
              <w:rPr>
                <w:sz w:val="20"/>
                <w:szCs w:val="20"/>
                <w:color w:val="auto"/>
              </w:rPr>
            </w:pPr>
            <w:r>
              <w:rPr>
                <w:rFonts w:ascii="Arial" w:cs="Arial" w:eastAsia="Arial" w:hAnsi="Arial"/>
                <w:sz w:val="14"/>
                <w:szCs w:val="14"/>
                <w:color w:val="auto"/>
              </w:rPr>
              <w:t>322.197</w:t>
            </w:r>
          </w:p>
        </w:tc>
        <w:tc>
          <w:tcPr>
            <w:tcW w:w="300" w:type="dxa"/>
            <w:vAlign w:val="bottom"/>
          </w:tcPr>
          <w:p>
            <w:pPr>
              <w:spacing w:after="0"/>
              <w:rPr>
                <w:sz w:val="18"/>
                <w:szCs w:val="18"/>
                <w:color w:val="auto"/>
              </w:rPr>
            </w:pPr>
          </w:p>
        </w:tc>
        <w:tc>
          <w:tcPr>
            <w:tcW w:w="134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r>
      <w:tr>
        <w:trPr>
          <w:trHeight w:val="21"/>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8"/>
        </w:trPr>
        <w:tc>
          <w:tcPr>
            <w:tcW w:w="2620" w:type="dxa"/>
            <w:vAlign w:val="bottom"/>
            <w:gridSpan w:val="2"/>
            <w:shd w:val="clear" w:color="auto" w:fill="D9D9D9"/>
          </w:tcPr>
          <w:p>
            <w:pPr>
              <w:ind w:left="20"/>
              <w:spacing w:after="0"/>
              <w:rPr>
                <w:sz w:val="20"/>
                <w:szCs w:val="20"/>
                <w:color w:val="auto"/>
              </w:rPr>
            </w:pPr>
            <w:r>
              <w:rPr>
                <w:rFonts w:ascii="Arial" w:cs="Arial" w:eastAsia="Arial" w:hAnsi="Arial"/>
                <w:sz w:val="14"/>
                <w:szCs w:val="14"/>
                <w:color w:val="auto"/>
              </w:rPr>
              <w:t>Glass Segment Adjusted EBIT</w:t>
            </w:r>
          </w:p>
        </w:tc>
        <w:tc>
          <w:tcPr>
            <w:tcW w:w="11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50</w:t>
            </w:r>
          </w:p>
        </w:tc>
        <w:tc>
          <w:tcPr>
            <w:tcW w:w="100" w:type="dxa"/>
            <w:vAlign w:val="bottom"/>
            <w:shd w:val="clear" w:color="auto" w:fill="D9D9D9"/>
          </w:tcPr>
          <w:p>
            <w:pPr>
              <w:spacing w:after="0"/>
              <w:rPr>
                <w:sz w:val="18"/>
                <w:szCs w:val="18"/>
                <w:color w:val="auto"/>
              </w:rPr>
            </w:pPr>
          </w:p>
        </w:tc>
        <w:tc>
          <w:tcPr>
            <w:tcW w:w="1420" w:type="dxa"/>
            <w:vAlign w:val="bottom"/>
            <w:shd w:val="clear" w:color="auto" w:fill="D9D9D9"/>
          </w:tcPr>
          <w:p>
            <w:pPr>
              <w:jc w:val="right"/>
              <w:ind w:right="148"/>
              <w:spacing w:after="0"/>
              <w:rPr>
                <w:sz w:val="20"/>
                <w:szCs w:val="20"/>
                <w:color w:val="auto"/>
              </w:rPr>
            </w:pPr>
            <w:r>
              <w:rPr>
                <w:rFonts w:ascii="Arial" w:cs="Arial" w:eastAsia="Arial" w:hAnsi="Arial"/>
                <w:sz w:val="14"/>
                <w:szCs w:val="14"/>
                <w:color w:val="auto"/>
              </w:rPr>
              <w:t>46.500</w:t>
            </w:r>
          </w:p>
        </w:tc>
        <w:tc>
          <w:tcPr>
            <w:tcW w:w="100" w:type="dxa"/>
            <w:vAlign w:val="bottom"/>
            <w:shd w:val="clear" w:color="auto" w:fill="D9D9D9"/>
          </w:tcPr>
          <w:p>
            <w:pPr>
              <w:spacing w:after="0"/>
              <w:rPr>
                <w:sz w:val="18"/>
                <w:szCs w:val="18"/>
                <w:color w:val="auto"/>
              </w:rPr>
            </w:pPr>
          </w:p>
        </w:tc>
        <w:tc>
          <w:tcPr>
            <w:tcW w:w="1400" w:type="dxa"/>
            <w:vAlign w:val="bottom"/>
            <w:shd w:val="clear" w:color="auto" w:fill="D9D9D9"/>
          </w:tcPr>
          <w:p>
            <w:pPr>
              <w:jc w:val="right"/>
              <w:ind w:right="168"/>
              <w:spacing w:after="0"/>
              <w:rPr>
                <w:sz w:val="20"/>
                <w:szCs w:val="20"/>
                <w:color w:val="auto"/>
              </w:rPr>
            </w:pPr>
            <w:r>
              <w:rPr>
                <w:rFonts w:ascii="Arial" w:cs="Arial" w:eastAsia="Arial" w:hAnsi="Arial"/>
                <w:sz w:val="14"/>
                <w:szCs w:val="14"/>
                <w:color w:val="auto"/>
              </w:rPr>
              <w:t>50.500</w:t>
            </w:r>
          </w:p>
        </w:tc>
        <w:tc>
          <w:tcPr>
            <w:tcW w:w="80" w:type="dxa"/>
            <w:vAlign w:val="bottom"/>
            <w:shd w:val="clear" w:color="auto" w:fill="D9D9D9"/>
          </w:tcPr>
          <w:p>
            <w:pPr>
              <w:spacing w:after="0"/>
              <w:rPr>
                <w:sz w:val="18"/>
                <w:szCs w:val="18"/>
                <w:color w:val="auto"/>
              </w:rPr>
            </w:pPr>
          </w:p>
        </w:tc>
        <w:tc>
          <w:tcPr>
            <w:tcW w:w="1320" w:type="dxa"/>
            <w:vAlign w:val="bottom"/>
            <w:shd w:val="clear" w:color="auto" w:fill="D9D9D9"/>
          </w:tcPr>
          <w:p>
            <w:pPr>
              <w:jc w:val="right"/>
              <w:ind w:right="148"/>
              <w:spacing w:after="0"/>
              <w:rPr>
                <w:sz w:val="20"/>
                <w:szCs w:val="20"/>
                <w:color w:val="auto"/>
              </w:rPr>
            </w:pPr>
            <w:r>
              <w:rPr>
                <w:rFonts w:ascii="Arial" w:cs="Arial" w:eastAsia="Arial" w:hAnsi="Arial"/>
                <w:sz w:val="14"/>
                <w:szCs w:val="14"/>
                <w:color w:val="auto"/>
              </w:rPr>
              <w:t>59.000</w:t>
            </w:r>
          </w:p>
        </w:tc>
        <w:tc>
          <w:tcPr>
            <w:tcW w:w="100" w:type="dxa"/>
            <w:vAlign w:val="bottom"/>
            <w:shd w:val="clear" w:color="auto" w:fill="D9D9D9"/>
          </w:tcPr>
          <w:p>
            <w:pPr>
              <w:spacing w:after="0"/>
              <w:rPr>
                <w:sz w:val="18"/>
                <w:szCs w:val="18"/>
                <w:color w:val="auto"/>
              </w:rPr>
            </w:pPr>
          </w:p>
        </w:tc>
        <w:tc>
          <w:tcPr>
            <w:tcW w:w="1320" w:type="dxa"/>
            <w:vAlign w:val="bottom"/>
            <w:shd w:val="clear" w:color="auto" w:fill="D9D9D9"/>
          </w:tcPr>
          <w:p>
            <w:pPr>
              <w:jc w:val="right"/>
              <w:ind w:right="148"/>
              <w:spacing w:after="0"/>
              <w:rPr>
                <w:sz w:val="20"/>
                <w:szCs w:val="20"/>
                <w:color w:val="auto"/>
              </w:rPr>
            </w:pPr>
            <w:r>
              <w:rPr>
                <w:rFonts w:ascii="Arial" w:cs="Arial" w:eastAsia="Arial" w:hAnsi="Arial"/>
                <w:sz w:val="14"/>
                <w:szCs w:val="14"/>
                <w:color w:val="auto"/>
              </w:rPr>
              <w:t>59.389</w:t>
            </w:r>
          </w:p>
        </w:tc>
        <w:tc>
          <w:tcPr>
            <w:tcW w:w="300" w:type="dxa"/>
            <w:vAlign w:val="bottom"/>
            <w:shd w:val="clear" w:color="auto" w:fill="D9D9D9"/>
          </w:tcPr>
          <w:p>
            <w:pPr>
              <w:spacing w:after="0"/>
              <w:rPr>
                <w:sz w:val="18"/>
                <w:szCs w:val="18"/>
                <w:color w:val="auto"/>
              </w:rPr>
            </w:pPr>
          </w:p>
        </w:tc>
        <w:tc>
          <w:tcPr>
            <w:tcW w:w="1340" w:type="dxa"/>
            <w:vAlign w:val="bottom"/>
            <w:shd w:val="clear" w:color="auto" w:fill="D9D9D9"/>
          </w:tcPr>
          <w:p>
            <w:pPr>
              <w:jc w:val="right"/>
              <w:ind w:right="488"/>
              <w:spacing w:after="0"/>
              <w:rPr>
                <w:sz w:val="20"/>
                <w:szCs w:val="20"/>
                <w:color w:val="auto"/>
              </w:rPr>
            </w:pPr>
            <w:r>
              <w:rPr>
                <w:rFonts w:ascii="Arial" w:cs="Arial" w:eastAsia="Arial" w:hAnsi="Arial"/>
                <w:sz w:val="14"/>
                <w:szCs w:val="14"/>
                <w:color w:val="auto"/>
              </w:rPr>
              <w:t>200.00</w:t>
            </w:r>
          </w:p>
        </w:tc>
      </w:tr>
      <w:tr>
        <w:trPr>
          <w:trHeight w:val="21"/>
        </w:trPr>
        <w:tc>
          <w:tcPr>
            <w:tcW w:w="252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14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42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40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32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320" w:type="dxa"/>
            <w:vAlign w:val="bottom"/>
            <w:shd w:val="clear" w:color="auto" w:fill="D9D9D9"/>
          </w:tcPr>
          <w:p>
            <w:pPr>
              <w:spacing w:after="0" w:line="20" w:lineRule="exact"/>
              <w:rPr>
                <w:sz w:val="1"/>
                <w:szCs w:val="1"/>
                <w:color w:val="auto"/>
              </w:rPr>
            </w:pPr>
          </w:p>
        </w:tc>
        <w:tc>
          <w:tcPr>
            <w:tcW w:w="300" w:type="dxa"/>
            <w:vAlign w:val="bottom"/>
            <w:shd w:val="clear" w:color="auto" w:fill="D9D9D9"/>
          </w:tcPr>
          <w:p>
            <w:pPr>
              <w:spacing w:after="0" w:line="20" w:lineRule="exact"/>
              <w:rPr>
                <w:sz w:val="1"/>
                <w:szCs w:val="1"/>
                <w:color w:val="auto"/>
              </w:rPr>
            </w:pPr>
          </w:p>
        </w:tc>
        <w:tc>
          <w:tcPr>
            <w:tcW w:w="1340" w:type="dxa"/>
            <w:vAlign w:val="bottom"/>
            <w:shd w:val="clear" w:color="auto" w:fill="D9D9D9"/>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48" w:name="page49"/>
    <w:bookmarkEnd w:id="48"/>
    <w:p>
      <w:pPr>
        <w:ind w:left="340"/>
        <w:spacing w:after="0"/>
        <w:rPr>
          <w:sz w:val="20"/>
          <w:szCs w:val="20"/>
          <w:color w:val="auto"/>
        </w:rPr>
      </w:pPr>
      <w:r>
        <w:rPr>
          <w:rFonts w:ascii="Arial" w:cs="Arial" w:eastAsia="Arial" w:hAnsi="Arial"/>
          <w:sz w:val="11"/>
          <w:szCs w:val="11"/>
          <w:color w:val="auto"/>
        </w:rPr>
        <w:t>___________________________</w:t>
      </w:r>
    </w:p>
    <w:p>
      <w:pPr>
        <w:spacing w:after="0" w:line="111" w:lineRule="exact"/>
        <w:rPr>
          <w:sz w:val="20"/>
          <w:szCs w:val="20"/>
          <w:color w:val="auto"/>
        </w:rPr>
      </w:pPr>
    </w:p>
    <w:p>
      <w:pPr>
        <w:ind w:left="820" w:hanging="488"/>
        <w:spacing w:after="0" w:line="287" w:lineRule="auto"/>
        <w:tabs>
          <w:tab w:leader="none" w:pos="8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Consolidated and Segment Adjusted EBIT are non-GAAP measures which are further defined on page </w:t>
      </w:r>
      <w:r>
        <w:rPr>
          <w:rFonts w:ascii="Arial" w:cs="Arial" w:eastAsia="Arial" w:hAnsi="Arial"/>
          <w:sz w:val="18"/>
          <w:szCs w:val="18"/>
          <w:u w:val="single" w:color="auto"/>
          <w:color w:val="0000FF"/>
        </w:rPr>
        <w:t>35</w:t>
      </w:r>
      <w:r>
        <w:rPr>
          <w:rFonts w:ascii="Arial" w:cs="Arial" w:eastAsia="Arial" w:hAnsi="Arial"/>
          <w:sz w:val="18"/>
          <w:szCs w:val="18"/>
          <w:color w:val="auto"/>
        </w:rPr>
        <w:t>, and reconciled to GAAP net earnings in Appendix A to this Proxy Statement.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outlines the performance metrics, weighting and performance levels and actual performance achievement for the fiscal 2025 performance cycle for Mr. T. Johnson, whose annual cash incentive is based on a combination of consolidated performance goals and performance goals for the Services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2025 Annual Cash Incentive Performance Levels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Actual Performance – Mr. T.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5445E"/>
              </w:rPr>
              <w:t>Percentage</w:t>
            </w:r>
          </w:p>
        </w:tc>
      </w:tr>
      <w:tr>
        <w:trPr>
          <w:trHeight w:val="175"/>
        </w:trPr>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445E"/>
              </w:rPr>
              <w:t>Actual</w:t>
            </w:r>
          </w:p>
        </w:tc>
        <w:tc>
          <w:tcPr>
            <w:tcW w:w="3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5445E"/>
              </w:rPr>
              <w:t>Performance</w:t>
            </w:r>
          </w:p>
        </w:tc>
      </w:tr>
      <w:tr>
        <w:trPr>
          <w:trHeight w:val="162"/>
        </w:trPr>
        <w:tc>
          <w:tcPr>
            <w:tcW w:w="2660" w:type="dxa"/>
            <w:vAlign w:val="bottom"/>
            <w:gridSpan w:val="2"/>
          </w:tcPr>
          <w:p>
            <w:pPr>
              <w:ind w:left="20"/>
              <w:spacing w:after="0"/>
              <w:rPr>
                <w:sz w:val="20"/>
                <w:szCs w:val="20"/>
                <w:color w:val="auto"/>
              </w:rPr>
            </w:pPr>
            <w:r>
              <w:rPr>
                <w:rFonts w:ascii="Arial" w:cs="Arial" w:eastAsia="Arial" w:hAnsi="Arial"/>
                <w:sz w:val="14"/>
                <w:szCs w:val="14"/>
                <w:b w:val="1"/>
                <w:bCs w:val="1"/>
                <w:color w:val="05445E"/>
              </w:rPr>
              <w:t>Performance</w:t>
            </w: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05445E"/>
              </w:rPr>
              <w:t>Weighting</w:t>
            </w:r>
          </w:p>
        </w:tc>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05445E"/>
              </w:rPr>
              <w:t>Threshold</w:t>
            </w:r>
          </w:p>
        </w:tc>
        <w:tc>
          <w:tcPr>
            <w:tcW w:w="1480" w:type="dxa"/>
            <w:vAlign w:val="bottom"/>
            <w:gridSpan w:val="2"/>
          </w:tcPr>
          <w:p>
            <w:pPr>
              <w:ind w:left="480"/>
              <w:spacing w:after="0"/>
              <w:rPr>
                <w:sz w:val="20"/>
                <w:szCs w:val="20"/>
                <w:color w:val="auto"/>
              </w:rPr>
            </w:pPr>
            <w:r>
              <w:rPr>
                <w:rFonts w:ascii="Arial" w:cs="Arial" w:eastAsia="Arial" w:hAnsi="Arial"/>
                <w:sz w:val="14"/>
                <w:szCs w:val="14"/>
                <w:b w:val="1"/>
                <w:bCs w:val="1"/>
                <w:color w:val="05445E"/>
              </w:rPr>
              <w:t>Target</w:t>
            </w: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05445E"/>
              </w:rPr>
              <w:t>Maximum</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445E"/>
              </w:rPr>
              <w:t>Performance</w:t>
            </w:r>
          </w:p>
        </w:tc>
        <w:tc>
          <w:tcPr>
            <w:tcW w:w="3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5445E"/>
              </w:rPr>
              <w:t>Achieved</w:t>
            </w:r>
          </w:p>
        </w:tc>
      </w:tr>
      <w:tr>
        <w:trPr>
          <w:trHeight w:val="219"/>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5445E"/>
              </w:rPr>
              <w:t>Goal</w:t>
            </w:r>
          </w:p>
        </w:tc>
        <w:tc>
          <w:tcPr>
            <w:tcW w:w="100" w:type="dxa"/>
            <w:vAlign w:val="bottom"/>
            <w:tcBorders>
              <w:bottom w:val="single" w:sz="8" w:color="D9D9D9"/>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445E"/>
              </w:rPr>
              <w:t>(%)</w:t>
            </w:r>
          </w:p>
        </w:tc>
        <w:tc>
          <w:tcPr>
            <w:tcW w:w="100" w:type="dxa"/>
            <w:vAlign w:val="bottom"/>
            <w:tcBorders>
              <w:bottom w:val="single" w:sz="8" w:color="D9D9D9"/>
            </w:tcBorders>
          </w:tcPr>
          <w:p>
            <w:pPr>
              <w:spacing w:after="0"/>
              <w:rPr>
                <w:sz w:val="19"/>
                <w:szCs w:val="19"/>
                <w:color w:val="auto"/>
              </w:rPr>
            </w:pP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05445E"/>
              </w:rPr>
              <w:t>($ in millions)</w:t>
            </w:r>
          </w:p>
        </w:tc>
        <w:tc>
          <w:tcPr>
            <w:tcW w:w="100" w:type="dxa"/>
            <w:vAlign w:val="bottom"/>
            <w:tcBorders>
              <w:bottom w:val="single" w:sz="8" w:color="D9D9D9"/>
            </w:tcBorders>
          </w:tcPr>
          <w:p>
            <w:pPr>
              <w:spacing w:after="0"/>
              <w:rPr>
                <w:sz w:val="19"/>
                <w:szCs w:val="19"/>
                <w:color w:val="auto"/>
              </w:rPr>
            </w:pP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05445E"/>
              </w:rPr>
              <w:t>($ in millions)</w:t>
            </w:r>
          </w:p>
        </w:tc>
        <w:tc>
          <w:tcPr>
            <w:tcW w:w="80" w:type="dxa"/>
            <w:vAlign w:val="bottom"/>
            <w:tcBorders>
              <w:bottom w:val="single" w:sz="8" w:color="D9D9D9"/>
            </w:tcBorders>
          </w:tcPr>
          <w:p>
            <w:pPr>
              <w:spacing w:after="0"/>
              <w:rPr>
                <w:sz w:val="19"/>
                <w:szCs w:val="19"/>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05445E"/>
              </w:rPr>
              <w:t>($ in millions)</w:t>
            </w:r>
          </w:p>
        </w:tc>
        <w:tc>
          <w:tcPr>
            <w:tcW w:w="100" w:type="dxa"/>
            <w:vAlign w:val="bottom"/>
            <w:tcBorders>
              <w:bottom w:val="single" w:sz="8" w:color="D9D9D9"/>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445E"/>
              </w:rPr>
              <w:t>($ in millions)</w:t>
            </w:r>
          </w:p>
        </w:tc>
        <w:tc>
          <w:tcPr>
            <w:tcW w:w="300" w:type="dxa"/>
            <w:vAlign w:val="bottom"/>
            <w:tcBorders>
              <w:bottom w:val="single" w:sz="8" w:color="D9D9D9"/>
            </w:tcBorders>
          </w:tcPr>
          <w:p>
            <w:pPr>
              <w:spacing w:after="0"/>
              <w:rPr>
                <w:sz w:val="19"/>
                <w:szCs w:val="19"/>
                <w:color w:val="auto"/>
              </w:rPr>
            </w:pPr>
          </w:p>
        </w:tc>
        <w:tc>
          <w:tcPr>
            <w:tcW w:w="13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05445E"/>
              </w:rPr>
              <w:t>(%)</w:t>
            </w:r>
          </w:p>
        </w:tc>
      </w:tr>
      <w:tr>
        <w:trPr>
          <w:trHeight w:val="210"/>
        </w:trPr>
        <w:tc>
          <w:tcPr>
            <w:tcW w:w="266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4"/>
                <w:szCs w:val="14"/>
                <w:color w:val="auto"/>
              </w:rPr>
              <w:t>Consolidated Adjusted EBIT</w:t>
            </w:r>
          </w:p>
        </w:tc>
        <w:tc>
          <w:tcPr>
            <w:tcW w:w="11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D9D9D9"/>
            </w:tcBorders>
            <w:shd w:val="clear" w:color="auto" w:fill="D9D9D9"/>
          </w:tcPr>
          <w:p>
            <w:pPr>
              <w:spacing w:after="0"/>
              <w:rPr>
                <w:sz w:val="18"/>
                <w:szCs w:val="18"/>
                <w:color w:val="auto"/>
              </w:rPr>
            </w:pPr>
          </w:p>
        </w:tc>
        <w:tc>
          <w:tcPr>
            <w:tcW w:w="1420" w:type="dxa"/>
            <w:vAlign w:val="bottom"/>
            <w:tcBorders>
              <w:bottom w:val="single" w:sz="8" w:color="D9D9D9"/>
            </w:tcBorders>
            <w:shd w:val="clear" w:color="auto" w:fill="D9D9D9"/>
          </w:tcPr>
          <w:p>
            <w:pPr>
              <w:jc w:val="right"/>
              <w:ind w:right="148"/>
              <w:spacing w:after="0"/>
              <w:rPr>
                <w:sz w:val="20"/>
                <w:szCs w:val="20"/>
                <w:color w:val="auto"/>
              </w:rPr>
            </w:pPr>
            <w:r>
              <w:rPr>
                <w:rFonts w:ascii="Arial" w:cs="Arial" w:eastAsia="Arial" w:hAnsi="Arial"/>
                <w:sz w:val="14"/>
                <w:szCs w:val="14"/>
                <w:color w:val="auto"/>
              </w:rPr>
              <w:t>136.000</w:t>
            </w:r>
          </w:p>
        </w:tc>
        <w:tc>
          <w:tcPr>
            <w:tcW w:w="100" w:type="dxa"/>
            <w:vAlign w:val="bottom"/>
            <w:tcBorders>
              <w:bottom w:val="single" w:sz="8" w:color="D9D9D9"/>
            </w:tcBorders>
            <w:shd w:val="clear" w:color="auto" w:fill="D9D9D9"/>
          </w:tcPr>
          <w:p>
            <w:pPr>
              <w:spacing w:after="0"/>
              <w:rPr>
                <w:sz w:val="18"/>
                <w:szCs w:val="18"/>
                <w:color w:val="auto"/>
              </w:rPr>
            </w:pPr>
          </w:p>
        </w:tc>
        <w:tc>
          <w:tcPr>
            <w:tcW w:w="1400" w:type="dxa"/>
            <w:vAlign w:val="bottom"/>
            <w:tcBorders>
              <w:bottom w:val="single" w:sz="8" w:color="D9D9D9"/>
            </w:tcBorders>
            <w:shd w:val="clear" w:color="auto" w:fill="D9D9D9"/>
          </w:tcPr>
          <w:p>
            <w:pPr>
              <w:jc w:val="right"/>
              <w:ind w:right="168"/>
              <w:spacing w:after="0"/>
              <w:rPr>
                <w:sz w:val="20"/>
                <w:szCs w:val="20"/>
                <w:color w:val="auto"/>
              </w:rPr>
            </w:pPr>
            <w:r>
              <w:rPr>
                <w:rFonts w:ascii="Arial" w:cs="Arial" w:eastAsia="Arial" w:hAnsi="Arial"/>
                <w:sz w:val="14"/>
                <w:szCs w:val="14"/>
                <w:color w:val="auto"/>
              </w:rPr>
              <w:t>148.200</w:t>
            </w:r>
          </w:p>
        </w:tc>
        <w:tc>
          <w:tcPr>
            <w:tcW w:w="80" w:type="dxa"/>
            <w:vAlign w:val="bottom"/>
            <w:tcBorders>
              <w:bottom w:val="single" w:sz="8" w:color="D9D9D9"/>
            </w:tcBorders>
            <w:shd w:val="clear" w:color="auto" w:fill="D9D9D9"/>
          </w:tcPr>
          <w:p>
            <w:pPr>
              <w:spacing w:after="0"/>
              <w:rPr>
                <w:sz w:val="18"/>
                <w:szCs w:val="18"/>
                <w:color w:val="auto"/>
              </w:rPr>
            </w:pPr>
          </w:p>
        </w:tc>
        <w:tc>
          <w:tcPr>
            <w:tcW w:w="1320" w:type="dxa"/>
            <w:vAlign w:val="bottom"/>
            <w:tcBorders>
              <w:bottom w:val="single" w:sz="8" w:color="D9D9D9"/>
            </w:tcBorders>
            <w:shd w:val="clear" w:color="auto" w:fill="D9D9D9"/>
          </w:tcPr>
          <w:p>
            <w:pPr>
              <w:jc w:val="right"/>
              <w:ind w:right="148"/>
              <w:spacing w:after="0"/>
              <w:rPr>
                <w:sz w:val="20"/>
                <w:szCs w:val="20"/>
                <w:color w:val="auto"/>
              </w:rPr>
            </w:pPr>
            <w:r>
              <w:rPr>
                <w:rFonts w:ascii="Arial" w:cs="Arial" w:eastAsia="Arial" w:hAnsi="Arial"/>
                <w:sz w:val="14"/>
                <w:szCs w:val="14"/>
                <w:color w:val="auto"/>
              </w:rPr>
              <w:t>155.000</w:t>
            </w:r>
          </w:p>
        </w:tc>
        <w:tc>
          <w:tcPr>
            <w:tcW w:w="100" w:type="dxa"/>
            <w:vAlign w:val="bottom"/>
            <w:tcBorders>
              <w:bottom w:val="single" w:sz="8" w:color="D9D9D9"/>
            </w:tcBorders>
            <w:shd w:val="clear" w:color="auto" w:fill="D9D9D9"/>
          </w:tcPr>
          <w:p>
            <w:pPr>
              <w:spacing w:after="0"/>
              <w:rPr>
                <w:sz w:val="18"/>
                <w:szCs w:val="18"/>
                <w:color w:val="auto"/>
              </w:rPr>
            </w:pPr>
          </w:p>
        </w:tc>
        <w:tc>
          <w:tcPr>
            <w:tcW w:w="1320" w:type="dxa"/>
            <w:vAlign w:val="bottom"/>
            <w:tcBorders>
              <w:bottom w:val="single" w:sz="8" w:color="D9D9D9"/>
            </w:tcBorders>
            <w:shd w:val="clear" w:color="auto" w:fill="D9D9D9"/>
          </w:tcPr>
          <w:p>
            <w:pPr>
              <w:jc w:val="right"/>
              <w:ind w:right="148"/>
              <w:spacing w:after="0"/>
              <w:rPr>
                <w:sz w:val="20"/>
                <w:szCs w:val="20"/>
                <w:color w:val="auto"/>
              </w:rPr>
            </w:pPr>
            <w:r>
              <w:rPr>
                <w:rFonts w:ascii="Arial" w:cs="Arial" w:eastAsia="Arial" w:hAnsi="Arial"/>
                <w:sz w:val="14"/>
                <w:szCs w:val="14"/>
                <w:color w:val="auto"/>
              </w:rPr>
              <w:t>146.617</w:t>
            </w:r>
          </w:p>
        </w:tc>
        <w:tc>
          <w:tcPr>
            <w:tcW w:w="300" w:type="dxa"/>
            <w:vAlign w:val="bottom"/>
            <w:tcBorders>
              <w:bottom w:val="single" w:sz="8" w:color="D9D9D9"/>
            </w:tcBorders>
            <w:shd w:val="clear" w:color="auto" w:fill="D9D9D9"/>
          </w:tcPr>
          <w:p>
            <w:pPr>
              <w:jc w:val="right"/>
              <w:ind w:right="33"/>
              <w:spacing w:after="0"/>
              <w:rPr>
                <w:sz w:val="20"/>
                <w:szCs w:val="20"/>
                <w:color w:val="auto"/>
              </w:rPr>
            </w:pPr>
            <w:r>
              <w:rPr>
                <w:rFonts w:ascii="Arial" w:cs="Arial" w:eastAsia="Arial" w:hAnsi="Arial"/>
                <w:sz w:val="9"/>
                <w:szCs w:val="9"/>
                <w:color w:val="auto"/>
              </w:rPr>
              <w:t>(1)</w:t>
            </w:r>
          </w:p>
        </w:tc>
        <w:tc>
          <w:tcPr>
            <w:tcW w:w="1340" w:type="dxa"/>
            <w:vAlign w:val="bottom"/>
            <w:tcBorders>
              <w:bottom w:val="single" w:sz="8" w:color="D9D9D9"/>
            </w:tcBorders>
            <w:shd w:val="clear" w:color="auto" w:fill="D9D9D9"/>
          </w:tcPr>
          <w:p>
            <w:pPr>
              <w:ind w:left="460"/>
              <w:spacing w:after="0"/>
              <w:rPr>
                <w:sz w:val="20"/>
                <w:szCs w:val="20"/>
                <w:color w:val="auto"/>
              </w:rPr>
            </w:pPr>
            <w:r>
              <w:rPr>
                <w:rFonts w:ascii="Arial" w:cs="Arial" w:eastAsia="Arial" w:hAnsi="Arial"/>
                <w:sz w:val="14"/>
                <w:szCs w:val="14"/>
                <w:color w:val="auto"/>
              </w:rPr>
              <w:t>93.51</w:t>
            </w:r>
          </w:p>
        </w:tc>
      </w:tr>
      <w:tr>
        <w:trPr>
          <w:trHeight w:val="208"/>
        </w:trPr>
        <w:tc>
          <w:tcPr>
            <w:tcW w:w="2660" w:type="dxa"/>
            <w:vAlign w:val="bottom"/>
            <w:gridSpan w:val="2"/>
          </w:tcPr>
          <w:p>
            <w:pPr>
              <w:ind w:left="20"/>
              <w:spacing w:after="0"/>
              <w:rPr>
                <w:sz w:val="20"/>
                <w:szCs w:val="20"/>
                <w:color w:val="auto"/>
              </w:rPr>
            </w:pPr>
            <w:r>
              <w:rPr>
                <w:rFonts w:ascii="Arial" w:cs="Arial" w:eastAsia="Arial" w:hAnsi="Arial"/>
                <w:sz w:val="14"/>
                <w:szCs w:val="14"/>
                <w:color w:val="auto"/>
              </w:rPr>
              <w:t>Services Segment Net Sales</w:t>
            </w:r>
          </w:p>
        </w:tc>
        <w:tc>
          <w:tcPr>
            <w:tcW w:w="1100" w:type="dxa"/>
            <w:vAlign w:val="bottom"/>
          </w:tcPr>
          <w:p>
            <w:pPr>
              <w:jc w:val="center"/>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8"/>
                <w:szCs w:val="18"/>
                <w:color w:val="auto"/>
              </w:rPr>
            </w:pP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374.300</w:t>
            </w:r>
          </w:p>
        </w:tc>
        <w:tc>
          <w:tcPr>
            <w:tcW w:w="100" w:type="dxa"/>
            <w:vAlign w:val="bottom"/>
          </w:tcPr>
          <w:p>
            <w:pPr>
              <w:spacing w:after="0"/>
              <w:rPr>
                <w:sz w:val="18"/>
                <w:szCs w:val="18"/>
                <w:color w:val="auto"/>
              </w:rPr>
            </w:pP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394.000</w:t>
            </w:r>
          </w:p>
        </w:tc>
        <w:tc>
          <w:tcPr>
            <w:tcW w:w="80" w:type="dxa"/>
            <w:vAlign w:val="bottom"/>
          </w:tcPr>
          <w:p>
            <w:pPr>
              <w:spacing w:after="0"/>
              <w:rPr>
                <w:sz w:val="18"/>
                <w:szCs w:val="18"/>
                <w:color w:val="auto"/>
              </w:rPr>
            </w:pPr>
          </w:p>
        </w:tc>
        <w:tc>
          <w:tcPr>
            <w:tcW w:w="1320" w:type="dxa"/>
            <w:vAlign w:val="bottom"/>
          </w:tcPr>
          <w:p>
            <w:pPr>
              <w:jc w:val="right"/>
              <w:ind w:right="148"/>
              <w:spacing w:after="0"/>
              <w:rPr>
                <w:sz w:val="20"/>
                <w:szCs w:val="20"/>
                <w:color w:val="auto"/>
              </w:rPr>
            </w:pPr>
            <w:r>
              <w:rPr>
                <w:rFonts w:ascii="Arial" w:cs="Arial" w:eastAsia="Arial" w:hAnsi="Arial"/>
                <w:sz w:val="14"/>
                <w:szCs w:val="14"/>
                <w:color w:val="auto"/>
              </w:rPr>
              <w:t>423.000</w:t>
            </w:r>
          </w:p>
        </w:tc>
        <w:tc>
          <w:tcPr>
            <w:tcW w:w="100" w:type="dxa"/>
            <w:vAlign w:val="bottom"/>
          </w:tcPr>
          <w:p>
            <w:pPr>
              <w:spacing w:after="0"/>
              <w:rPr>
                <w:sz w:val="18"/>
                <w:szCs w:val="18"/>
                <w:color w:val="auto"/>
              </w:rPr>
            </w:pPr>
          </w:p>
        </w:tc>
        <w:tc>
          <w:tcPr>
            <w:tcW w:w="1320" w:type="dxa"/>
            <w:vAlign w:val="bottom"/>
          </w:tcPr>
          <w:p>
            <w:pPr>
              <w:jc w:val="right"/>
              <w:ind w:right="148"/>
              <w:spacing w:after="0"/>
              <w:rPr>
                <w:sz w:val="20"/>
                <w:szCs w:val="20"/>
                <w:color w:val="auto"/>
              </w:rPr>
            </w:pPr>
            <w:r>
              <w:rPr>
                <w:rFonts w:ascii="Arial" w:cs="Arial" w:eastAsia="Arial" w:hAnsi="Arial"/>
                <w:sz w:val="14"/>
                <w:szCs w:val="14"/>
                <w:color w:val="auto"/>
              </w:rPr>
              <w:t>419.861</w:t>
            </w:r>
          </w:p>
        </w:tc>
        <w:tc>
          <w:tcPr>
            <w:tcW w:w="300" w:type="dxa"/>
            <w:vAlign w:val="bottom"/>
          </w:tcPr>
          <w:p>
            <w:pPr>
              <w:spacing w:after="0"/>
              <w:rPr>
                <w:sz w:val="18"/>
                <w:szCs w:val="18"/>
                <w:color w:val="auto"/>
              </w:rPr>
            </w:pPr>
          </w:p>
        </w:tc>
        <w:tc>
          <w:tcPr>
            <w:tcW w:w="1340" w:type="dxa"/>
            <w:vAlign w:val="bottom"/>
          </w:tcPr>
          <w:p>
            <w:pPr>
              <w:jc w:val="right"/>
              <w:ind w:right="488"/>
              <w:spacing w:after="0"/>
              <w:rPr>
                <w:sz w:val="20"/>
                <w:szCs w:val="20"/>
                <w:color w:val="auto"/>
              </w:rPr>
            </w:pPr>
            <w:r>
              <w:rPr>
                <w:rFonts w:ascii="Arial" w:cs="Arial" w:eastAsia="Arial" w:hAnsi="Arial"/>
                <w:sz w:val="14"/>
                <w:szCs w:val="14"/>
                <w:color w:val="auto"/>
              </w:rPr>
              <w:t>187.37</w:t>
            </w:r>
          </w:p>
        </w:tc>
      </w:tr>
      <w:tr>
        <w:trPr>
          <w:trHeight w:val="22"/>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8"/>
        </w:trPr>
        <w:tc>
          <w:tcPr>
            <w:tcW w:w="2660" w:type="dxa"/>
            <w:vAlign w:val="bottom"/>
            <w:gridSpan w:val="2"/>
            <w:shd w:val="clear" w:color="auto" w:fill="D9D9D9"/>
          </w:tcPr>
          <w:p>
            <w:pPr>
              <w:ind w:left="20"/>
              <w:spacing w:after="0"/>
              <w:rPr>
                <w:sz w:val="20"/>
                <w:szCs w:val="20"/>
                <w:color w:val="auto"/>
              </w:rPr>
            </w:pPr>
            <w:r>
              <w:rPr>
                <w:rFonts w:ascii="Arial" w:cs="Arial" w:eastAsia="Arial" w:hAnsi="Arial"/>
                <w:sz w:val="14"/>
                <w:szCs w:val="14"/>
                <w:color w:val="auto"/>
              </w:rPr>
              <w:t>Services Segment Adjusted EBIT</w:t>
            </w:r>
          </w:p>
        </w:tc>
        <w:tc>
          <w:tcPr>
            <w:tcW w:w="11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50</w:t>
            </w:r>
          </w:p>
        </w:tc>
        <w:tc>
          <w:tcPr>
            <w:tcW w:w="100" w:type="dxa"/>
            <w:vAlign w:val="bottom"/>
            <w:shd w:val="clear" w:color="auto" w:fill="D9D9D9"/>
          </w:tcPr>
          <w:p>
            <w:pPr>
              <w:spacing w:after="0"/>
              <w:rPr>
                <w:sz w:val="18"/>
                <w:szCs w:val="18"/>
                <w:color w:val="auto"/>
              </w:rPr>
            </w:pPr>
          </w:p>
        </w:tc>
        <w:tc>
          <w:tcPr>
            <w:tcW w:w="1420" w:type="dxa"/>
            <w:vAlign w:val="bottom"/>
            <w:shd w:val="clear" w:color="auto" w:fill="D9D9D9"/>
          </w:tcPr>
          <w:p>
            <w:pPr>
              <w:jc w:val="right"/>
              <w:ind w:right="148"/>
              <w:spacing w:after="0"/>
              <w:rPr>
                <w:sz w:val="20"/>
                <w:szCs w:val="20"/>
                <w:color w:val="auto"/>
              </w:rPr>
            </w:pPr>
            <w:r>
              <w:rPr>
                <w:rFonts w:ascii="Arial" w:cs="Arial" w:eastAsia="Arial" w:hAnsi="Arial"/>
                <w:sz w:val="14"/>
                <w:szCs w:val="14"/>
                <w:color w:val="auto"/>
              </w:rPr>
              <w:t>22.900</w:t>
            </w:r>
          </w:p>
        </w:tc>
        <w:tc>
          <w:tcPr>
            <w:tcW w:w="100" w:type="dxa"/>
            <w:vAlign w:val="bottom"/>
            <w:shd w:val="clear" w:color="auto" w:fill="D9D9D9"/>
          </w:tcPr>
          <w:p>
            <w:pPr>
              <w:spacing w:after="0"/>
              <w:rPr>
                <w:sz w:val="18"/>
                <w:szCs w:val="18"/>
                <w:color w:val="auto"/>
              </w:rPr>
            </w:pPr>
          </w:p>
        </w:tc>
        <w:tc>
          <w:tcPr>
            <w:tcW w:w="1400" w:type="dxa"/>
            <w:vAlign w:val="bottom"/>
            <w:shd w:val="clear" w:color="auto" w:fill="D9D9D9"/>
          </w:tcPr>
          <w:p>
            <w:pPr>
              <w:jc w:val="right"/>
              <w:ind w:right="168"/>
              <w:spacing w:after="0"/>
              <w:rPr>
                <w:sz w:val="20"/>
                <w:szCs w:val="20"/>
                <w:color w:val="auto"/>
              </w:rPr>
            </w:pPr>
            <w:r>
              <w:rPr>
                <w:rFonts w:ascii="Arial" w:cs="Arial" w:eastAsia="Arial" w:hAnsi="Arial"/>
                <w:sz w:val="14"/>
                <w:szCs w:val="14"/>
                <w:color w:val="auto"/>
              </w:rPr>
              <w:t>26.000</w:t>
            </w:r>
          </w:p>
        </w:tc>
        <w:tc>
          <w:tcPr>
            <w:tcW w:w="80" w:type="dxa"/>
            <w:vAlign w:val="bottom"/>
            <w:shd w:val="clear" w:color="auto" w:fill="D9D9D9"/>
          </w:tcPr>
          <w:p>
            <w:pPr>
              <w:spacing w:after="0"/>
              <w:rPr>
                <w:sz w:val="18"/>
                <w:szCs w:val="18"/>
                <w:color w:val="auto"/>
              </w:rPr>
            </w:pPr>
          </w:p>
        </w:tc>
        <w:tc>
          <w:tcPr>
            <w:tcW w:w="1320" w:type="dxa"/>
            <w:vAlign w:val="bottom"/>
            <w:shd w:val="clear" w:color="auto" w:fill="D9D9D9"/>
          </w:tcPr>
          <w:p>
            <w:pPr>
              <w:jc w:val="right"/>
              <w:ind w:right="148"/>
              <w:spacing w:after="0"/>
              <w:rPr>
                <w:sz w:val="20"/>
                <w:szCs w:val="20"/>
                <w:color w:val="auto"/>
              </w:rPr>
            </w:pPr>
            <w:r>
              <w:rPr>
                <w:rFonts w:ascii="Arial" w:cs="Arial" w:eastAsia="Arial" w:hAnsi="Arial"/>
                <w:sz w:val="14"/>
                <w:szCs w:val="14"/>
                <w:color w:val="auto"/>
              </w:rPr>
              <w:t>28.600</w:t>
            </w:r>
          </w:p>
        </w:tc>
        <w:tc>
          <w:tcPr>
            <w:tcW w:w="100" w:type="dxa"/>
            <w:vAlign w:val="bottom"/>
            <w:shd w:val="clear" w:color="auto" w:fill="D9D9D9"/>
          </w:tcPr>
          <w:p>
            <w:pPr>
              <w:spacing w:after="0"/>
              <w:rPr>
                <w:sz w:val="18"/>
                <w:szCs w:val="18"/>
                <w:color w:val="auto"/>
              </w:rPr>
            </w:pPr>
          </w:p>
        </w:tc>
        <w:tc>
          <w:tcPr>
            <w:tcW w:w="1320" w:type="dxa"/>
            <w:vAlign w:val="bottom"/>
            <w:shd w:val="clear" w:color="auto" w:fill="D9D9D9"/>
          </w:tcPr>
          <w:p>
            <w:pPr>
              <w:jc w:val="right"/>
              <w:ind w:right="148"/>
              <w:spacing w:after="0"/>
              <w:rPr>
                <w:sz w:val="20"/>
                <w:szCs w:val="20"/>
                <w:color w:val="auto"/>
              </w:rPr>
            </w:pPr>
            <w:r>
              <w:rPr>
                <w:rFonts w:ascii="Arial" w:cs="Arial" w:eastAsia="Arial" w:hAnsi="Arial"/>
                <w:sz w:val="14"/>
                <w:szCs w:val="14"/>
                <w:color w:val="auto"/>
              </w:rPr>
              <w:t>29.557</w:t>
            </w:r>
          </w:p>
        </w:tc>
        <w:tc>
          <w:tcPr>
            <w:tcW w:w="300" w:type="dxa"/>
            <w:vAlign w:val="bottom"/>
            <w:shd w:val="clear" w:color="auto" w:fill="D9D9D9"/>
          </w:tcPr>
          <w:p>
            <w:pPr>
              <w:spacing w:after="0"/>
              <w:rPr>
                <w:sz w:val="18"/>
                <w:szCs w:val="18"/>
                <w:color w:val="auto"/>
              </w:rPr>
            </w:pPr>
          </w:p>
        </w:tc>
        <w:tc>
          <w:tcPr>
            <w:tcW w:w="1340" w:type="dxa"/>
            <w:vAlign w:val="bottom"/>
            <w:shd w:val="clear" w:color="auto" w:fill="D9D9D9"/>
          </w:tcPr>
          <w:p>
            <w:pPr>
              <w:ind w:left="460"/>
              <w:spacing w:after="0"/>
              <w:rPr>
                <w:sz w:val="20"/>
                <w:szCs w:val="20"/>
                <w:color w:val="auto"/>
              </w:rPr>
            </w:pPr>
            <w:r>
              <w:rPr>
                <w:rFonts w:ascii="Arial" w:cs="Arial" w:eastAsia="Arial" w:hAnsi="Arial"/>
                <w:sz w:val="14"/>
                <w:szCs w:val="14"/>
                <w:color w:val="auto"/>
              </w:rPr>
              <w:t>200.00</w:t>
            </w:r>
          </w:p>
        </w:tc>
      </w:tr>
      <w:tr>
        <w:trPr>
          <w:trHeight w:val="22"/>
        </w:trPr>
        <w:tc>
          <w:tcPr>
            <w:tcW w:w="256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10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42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40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32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320" w:type="dxa"/>
            <w:vAlign w:val="bottom"/>
            <w:shd w:val="clear" w:color="auto" w:fill="D9D9D9"/>
          </w:tcPr>
          <w:p>
            <w:pPr>
              <w:spacing w:after="0" w:line="20" w:lineRule="exact"/>
              <w:rPr>
                <w:sz w:val="1"/>
                <w:szCs w:val="1"/>
                <w:color w:val="auto"/>
              </w:rPr>
            </w:pPr>
          </w:p>
        </w:tc>
        <w:tc>
          <w:tcPr>
            <w:tcW w:w="300" w:type="dxa"/>
            <w:vAlign w:val="bottom"/>
            <w:shd w:val="clear" w:color="auto" w:fill="D9D9D9"/>
          </w:tcPr>
          <w:p>
            <w:pPr>
              <w:spacing w:after="0" w:line="20" w:lineRule="exact"/>
              <w:rPr>
                <w:sz w:val="1"/>
                <w:szCs w:val="1"/>
                <w:color w:val="auto"/>
              </w:rPr>
            </w:pPr>
          </w:p>
        </w:tc>
        <w:tc>
          <w:tcPr>
            <w:tcW w:w="1340" w:type="dxa"/>
            <w:vAlign w:val="bottom"/>
            <w:shd w:val="clear" w:color="auto" w:fill="D9D9D9"/>
          </w:tcPr>
          <w:p>
            <w:pPr>
              <w:spacing w:after="0" w:line="20" w:lineRule="exact"/>
              <w:rPr>
                <w:sz w:val="1"/>
                <w:szCs w:val="1"/>
                <w:color w:val="auto"/>
              </w:rPr>
            </w:pPr>
          </w:p>
        </w:tc>
      </w:tr>
    </w:tbl>
    <w:p>
      <w:pPr>
        <w:spacing w:after="0" w:line="284"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___________________________</w:t>
      </w:r>
    </w:p>
    <w:p>
      <w:pPr>
        <w:spacing w:after="0" w:line="111" w:lineRule="exact"/>
        <w:rPr>
          <w:sz w:val="20"/>
          <w:szCs w:val="20"/>
          <w:color w:val="auto"/>
        </w:rPr>
      </w:pPr>
    </w:p>
    <w:p>
      <w:pPr>
        <w:ind w:left="820" w:hanging="488"/>
        <w:spacing w:after="0" w:line="287" w:lineRule="auto"/>
        <w:tabs>
          <w:tab w:leader="none" w:pos="8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Consolidated and Segment Adjusted EBIT are non-GAAP measures which are further defined on page </w:t>
      </w:r>
      <w:r>
        <w:rPr>
          <w:rFonts w:ascii="Arial" w:cs="Arial" w:eastAsia="Arial" w:hAnsi="Arial"/>
          <w:sz w:val="18"/>
          <w:szCs w:val="18"/>
          <w:u w:val="single" w:color="auto"/>
          <w:color w:val="0000FF"/>
        </w:rPr>
        <w:t>35</w:t>
      </w:r>
      <w:r>
        <w:rPr>
          <w:rFonts w:ascii="Arial" w:cs="Arial" w:eastAsia="Arial" w:hAnsi="Arial"/>
          <w:sz w:val="18"/>
          <w:szCs w:val="18"/>
          <w:color w:val="auto"/>
        </w:rPr>
        <w:t>, and reconciled to GAAP net earnings in Appendix A to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9" w:name="page50"/>
    <w:bookmarkEnd w:id="49"/>
    <w:p>
      <w:pPr>
        <w:spacing w:after="0" w:line="287" w:lineRule="auto"/>
        <w:rPr>
          <w:sz w:val="20"/>
          <w:szCs w:val="20"/>
          <w:color w:val="auto"/>
        </w:rPr>
      </w:pPr>
      <w:r>
        <w:rPr>
          <w:rFonts w:ascii="Arial" w:cs="Arial" w:eastAsia="Arial" w:hAnsi="Arial"/>
          <w:sz w:val="18"/>
          <w:szCs w:val="18"/>
          <w:color w:val="auto"/>
        </w:rPr>
        <w:t>The following table sets forth certain information with respect to the fiscal 2025 annual cash incentive compensation payouts for each of our Named Executive Officers.</w:t>
      </w:r>
    </w:p>
    <w:p>
      <w:pPr>
        <w:spacing w:after="0" w:line="20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Fiscal 2025 Annual Cash Incentive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34925</wp:posOffset>
            </wp:positionV>
            <wp:extent cx="59150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5445E"/>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994410" cy="651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94410" cy="65151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Ty R.</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Silberhorn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Matthew J.</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994410" cy="925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9441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Brent C.</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Jewell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Troy R.</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994410" cy="6940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9441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Raelyn A.</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Trende</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100" w:type="dxa"/>
            <w:vAlign w:val="bottom"/>
          </w:tcPr>
          <w:p>
            <w:pPr>
              <w:spacing w:after="0"/>
              <w:rPr>
                <w:sz w:val="17"/>
                <w:szCs w:val="17"/>
                <w:color w:val="auto"/>
              </w:rPr>
            </w:pPr>
          </w:p>
        </w:tc>
        <w:tc>
          <w:tcPr>
            <w:tcW w:w="3040" w:type="dxa"/>
            <w:vAlign w:val="bottom"/>
            <w:gridSpan w:val="4"/>
          </w:tcPr>
          <w:p>
            <w:pPr>
              <w:ind w:left="820"/>
              <w:spacing w:after="0"/>
              <w:rPr>
                <w:sz w:val="20"/>
                <w:szCs w:val="20"/>
                <w:color w:val="auto"/>
              </w:rPr>
            </w:pPr>
            <w:r>
              <w:rPr>
                <w:rFonts w:ascii="Arial" w:cs="Arial" w:eastAsia="Arial" w:hAnsi="Arial"/>
                <w:sz w:val="14"/>
                <w:szCs w:val="14"/>
                <w:b w:val="1"/>
                <w:bCs w:val="1"/>
                <w:color w:val="05445E"/>
              </w:rPr>
              <w:t>Performance Goals</w:t>
            </w:r>
          </w:p>
        </w:tc>
        <w:tc>
          <w:tcPr>
            <w:tcW w:w="2580" w:type="dxa"/>
            <w:vAlign w:val="bottom"/>
            <w:gridSpan w:val="4"/>
          </w:tcPr>
          <w:p>
            <w:pPr>
              <w:ind w:left="340"/>
              <w:spacing w:after="0"/>
              <w:rPr>
                <w:sz w:val="20"/>
                <w:szCs w:val="20"/>
                <w:color w:val="auto"/>
              </w:rPr>
            </w:pPr>
            <w:r>
              <w:rPr>
                <w:rFonts w:ascii="Arial" w:cs="Arial" w:eastAsia="Arial" w:hAnsi="Arial"/>
                <w:sz w:val="14"/>
                <w:szCs w:val="14"/>
                <w:b w:val="1"/>
                <w:bCs w:val="1"/>
                <w:color w:val="05445E"/>
              </w:rPr>
              <w:t>Target Payout Opportunity</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05445E"/>
              </w:rPr>
              <w:t>Actual Payout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05445E"/>
              </w:rPr>
              <w:t>Percent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5445E"/>
                <w:w w:val="90"/>
              </w:rPr>
              <w:t>of</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5445E"/>
              </w:rPr>
              <w:t>Percent of</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5445E"/>
              </w:rPr>
              <w:t>Formula</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5445E"/>
              </w:rPr>
              <w:t>Fiscal</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5445E"/>
              </w:rPr>
              <w:t>Fiscal 2025</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5445E"/>
              </w:rPr>
              <w:t>Percent of</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5445E"/>
              </w:rPr>
              <w:t>Payout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5445E"/>
              </w:rPr>
              <w:t>2025</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05445E"/>
              </w:rPr>
              <w:t>Weighting</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5445E"/>
              </w:rPr>
              <w:t>Salary</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05445E"/>
              </w:rPr>
              <w:t>Amount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5445E"/>
              </w:rPr>
              <w:t>Target</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5445E"/>
              </w:rPr>
              <w:t>Amount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5445E"/>
              </w:rPr>
              <w:t>Salary</w:t>
            </w:r>
          </w:p>
        </w:tc>
        <w:tc>
          <w:tcPr>
            <w:tcW w:w="0" w:type="dxa"/>
            <w:vAlign w:val="bottom"/>
          </w:tcPr>
          <w:p>
            <w:pPr>
              <w:spacing w:after="0"/>
              <w:rPr>
                <w:sz w:val="1"/>
                <w:szCs w:val="1"/>
                <w:color w:val="auto"/>
              </w:rPr>
            </w:pPr>
          </w:p>
        </w:tc>
      </w:tr>
      <w:tr>
        <w:trPr>
          <w:trHeight w:val="211"/>
        </w:trPr>
        <w:tc>
          <w:tcPr>
            <w:tcW w:w="100" w:type="dxa"/>
            <w:vAlign w:val="bottom"/>
            <w:tcBorders>
              <w:bottom w:val="single" w:sz="8" w:color="DBDBDB"/>
            </w:tcBorders>
          </w:tcPr>
          <w:p>
            <w:pPr>
              <w:spacing w:after="0"/>
              <w:rPr>
                <w:sz w:val="18"/>
                <w:szCs w:val="18"/>
                <w:color w:val="auto"/>
              </w:rPr>
            </w:pPr>
          </w:p>
        </w:tc>
        <w:tc>
          <w:tcPr>
            <w:tcW w:w="16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05445E"/>
              </w:rPr>
              <w:t>Metric</w:t>
            </w:r>
          </w:p>
        </w:tc>
        <w:tc>
          <w:tcPr>
            <w:tcW w:w="140" w:type="dxa"/>
            <w:vAlign w:val="bottom"/>
            <w:tcBorders>
              <w:bottom w:val="single" w:sz="8" w:color="DBDBDB"/>
            </w:tcBorders>
          </w:tcPr>
          <w:p>
            <w:pPr>
              <w:spacing w:after="0"/>
              <w:rPr>
                <w:sz w:val="18"/>
                <w:szCs w:val="18"/>
                <w:color w:val="auto"/>
              </w:rPr>
            </w:pP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05445E"/>
              </w:rPr>
              <w:t>(%)</w:t>
            </w:r>
          </w:p>
        </w:tc>
        <w:tc>
          <w:tcPr>
            <w:tcW w:w="80" w:type="dxa"/>
            <w:vAlign w:val="bottom"/>
            <w:tcBorders>
              <w:bottom w:val="single" w:sz="8" w:color="DBDBDB"/>
            </w:tcBorders>
          </w:tcPr>
          <w:p>
            <w:pPr>
              <w:spacing w:after="0"/>
              <w:rPr>
                <w:sz w:val="18"/>
                <w:szCs w:val="18"/>
                <w:color w:val="auto"/>
              </w:rPr>
            </w:pP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05445E"/>
              </w:rPr>
              <w:t>(%)</w:t>
            </w:r>
          </w:p>
        </w:tc>
        <w:tc>
          <w:tcPr>
            <w:tcW w:w="80" w:type="dxa"/>
            <w:vAlign w:val="bottom"/>
            <w:tcBorders>
              <w:bottom w:val="single" w:sz="8" w:color="DBDBDB"/>
            </w:tcBorders>
          </w:tcPr>
          <w:p>
            <w:pPr>
              <w:spacing w:after="0"/>
              <w:rPr>
                <w:sz w:val="18"/>
                <w:szCs w:val="18"/>
                <w:color w:val="auto"/>
              </w:rPr>
            </w:pPr>
          </w:p>
        </w:tc>
        <w:tc>
          <w:tcPr>
            <w:tcW w:w="12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05445E"/>
              </w:rPr>
              <w:t>($)</w:t>
            </w:r>
          </w:p>
        </w:tc>
        <w:tc>
          <w:tcPr>
            <w:tcW w:w="100" w:type="dxa"/>
            <w:vAlign w:val="bottom"/>
            <w:tcBorders>
              <w:bottom w:val="single" w:sz="8" w:color="DBDBDB"/>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445E"/>
              </w:rPr>
              <w:t>(%)</w:t>
            </w:r>
          </w:p>
        </w:tc>
        <w:tc>
          <w:tcPr>
            <w:tcW w:w="100" w:type="dxa"/>
            <w:vAlign w:val="bottom"/>
            <w:tcBorders>
              <w:bottom w:val="single" w:sz="8" w:color="DBDBDB"/>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445E"/>
                <w:w w:val="93"/>
              </w:rPr>
              <w:t>($)</w:t>
            </w:r>
          </w:p>
        </w:tc>
        <w:tc>
          <w:tcPr>
            <w:tcW w:w="100" w:type="dxa"/>
            <w:vAlign w:val="bottom"/>
            <w:tcBorders>
              <w:bottom w:val="single" w:sz="8" w:color="DBDBDB"/>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445E"/>
              </w:rPr>
              <w:t>(%)</w:t>
            </w:r>
          </w:p>
        </w:tc>
        <w:tc>
          <w:tcPr>
            <w:tcW w:w="0" w:type="dxa"/>
            <w:vAlign w:val="bottom"/>
          </w:tcPr>
          <w:p>
            <w:pPr>
              <w:spacing w:after="0"/>
              <w:rPr>
                <w:sz w:val="1"/>
                <w:szCs w:val="1"/>
                <w:color w:val="auto"/>
              </w:rPr>
            </w:pPr>
          </w:p>
        </w:tc>
      </w:tr>
      <w:tr>
        <w:trPr>
          <w:trHeight w:val="203"/>
        </w:trPr>
        <w:tc>
          <w:tcPr>
            <w:tcW w:w="100" w:type="dxa"/>
            <w:vAlign w:val="bottom"/>
            <w:shd w:val="clear" w:color="auto" w:fill="DBDBDB"/>
          </w:tcPr>
          <w:p>
            <w:pPr>
              <w:spacing w:after="0"/>
              <w:rPr>
                <w:sz w:val="17"/>
                <w:szCs w:val="17"/>
                <w:color w:val="auto"/>
              </w:rPr>
            </w:pPr>
          </w:p>
        </w:tc>
        <w:tc>
          <w:tcPr>
            <w:tcW w:w="16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Consolidated Net Sales</w:t>
            </w:r>
          </w:p>
        </w:tc>
        <w:tc>
          <w:tcPr>
            <w:tcW w:w="1340" w:type="dxa"/>
            <w:vAlign w:val="bottom"/>
            <w:gridSpan w:val="2"/>
            <w:shd w:val="clear" w:color="auto" w:fill="DBDBDB"/>
          </w:tcPr>
          <w:p>
            <w:pPr>
              <w:jc w:val="right"/>
              <w:ind w:right="168"/>
              <w:spacing w:after="0"/>
              <w:rPr>
                <w:sz w:val="20"/>
                <w:szCs w:val="20"/>
                <w:color w:val="auto"/>
              </w:rPr>
            </w:pPr>
            <w:r>
              <w:rPr>
                <w:rFonts w:ascii="Arial" w:cs="Arial" w:eastAsia="Arial" w:hAnsi="Arial"/>
                <w:sz w:val="14"/>
                <w:szCs w:val="14"/>
                <w:color w:val="auto"/>
              </w:rPr>
              <w:t>25.00</w:t>
            </w:r>
          </w:p>
        </w:tc>
        <w:tc>
          <w:tcPr>
            <w:tcW w:w="8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25.00</w:t>
            </w:r>
          </w:p>
        </w:tc>
        <w:tc>
          <w:tcPr>
            <w:tcW w:w="8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233,000</w:t>
            </w:r>
          </w:p>
        </w:tc>
        <w:tc>
          <w:tcPr>
            <w:tcW w:w="100" w:type="dxa"/>
            <w:vAlign w:val="bottom"/>
            <w:shd w:val="clear" w:color="auto" w:fill="DBDBDB"/>
          </w:tcPr>
          <w:p>
            <w:pPr>
              <w:spacing w:after="0"/>
              <w:rPr>
                <w:sz w:val="17"/>
                <w:szCs w:val="17"/>
                <w:color w:val="auto"/>
              </w:rPr>
            </w:pP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55.63</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129,618</w:t>
            </w: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137"/>
        </w:trPr>
        <w:tc>
          <w:tcPr>
            <w:tcW w:w="100" w:type="dxa"/>
            <w:vAlign w:val="bottom"/>
            <w:tcBorders>
              <w:bottom w:val="single" w:sz="8" w:color="DBDBDB"/>
            </w:tcBorders>
            <w:shd w:val="clear" w:color="auto" w:fill="DBDBDB"/>
          </w:tcPr>
          <w:p>
            <w:pPr>
              <w:spacing w:after="0"/>
              <w:rPr>
                <w:sz w:val="11"/>
                <w:szCs w:val="11"/>
                <w:color w:val="auto"/>
              </w:rPr>
            </w:pPr>
          </w:p>
        </w:tc>
        <w:tc>
          <w:tcPr>
            <w:tcW w:w="1620" w:type="dxa"/>
            <w:vAlign w:val="bottom"/>
            <w:tcBorders>
              <w:bottom w:val="single" w:sz="8" w:color="DBDBDB"/>
            </w:tcBorders>
            <w:vMerge w:val="continue"/>
            <w:shd w:val="clear" w:color="auto" w:fill="DBDBDB"/>
          </w:tcPr>
          <w:p>
            <w:pPr>
              <w:spacing w:after="0"/>
              <w:rPr>
                <w:sz w:val="11"/>
                <w:szCs w:val="11"/>
                <w:color w:val="auto"/>
              </w:rPr>
            </w:pPr>
          </w:p>
        </w:tc>
        <w:tc>
          <w:tcPr>
            <w:tcW w:w="140" w:type="dxa"/>
            <w:vAlign w:val="bottom"/>
            <w:tcBorders>
              <w:bottom w:val="single" w:sz="8" w:color="DBDBDB"/>
            </w:tcBorders>
            <w:shd w:val="clear" w:color="auto" w:fill="DBDBDB"/>
          </w:tcPr>
          <w:p>
            <w:pPr>
              <w:spacing w:after="0"/>
              <w:rPr>
                <w:sz w:val="11"/>
                <w:szCs w:val="11"/>
                <w:color w:val="auto"/>
              </w:rPr>
            </w:pPr>
          </w:p>
        </w:tc>
        <w:tc>
          <w:tcPr>
            <w:tcW w:w="1200" w:type="dxa"/>
            <w:vAlign w:val="bottom"/>
            <w:tcBorders>
              <w:bottom w:val="single" w:sz="8" w:color="DBDBDB"/>
            </w:tcBorders>
            <w:shd w:val="clear" w:color="auto" w:fill="DBDBDB"/>
          </w:tcPr>
          <w:p>
            <w:pPr>
              <w:spacing w:after="0"/>
              <w:rPr>
                <w:sz w:val="11"/>
                <w:szCs w:val="11"/>
                <w:color w:val="auto"/>
              </w:rPr>
            </w:pPr>
          </w:p>
        </w:tc>
        <w:tc>
          <w:tcPr>
            <w:tcW w:w="80" w:type="dxa"/>
            <w:vAlign w:val="bottom"/>
            <w:tcBorders>
              <w:bottom w:val="single" w:sz="8" w:color="DBDBDB"/>
            </w:tcBorders>
            <w:shd w:val="clear" w:color="auto" w:fill="DBDBDB"/>
          </w:tcPr>
          <w:p>
            <w:pPr>
              <w:spacing w:after="0"/>
              <w:rPr>
                <w:sz w:val="11"/>
                <w:szCs w:val="11"/>
                <w:color w:val="auto"/>
              </w:rPr>
            </w:pPr>
          </w:p>
        </w:tc>
        <w:tc>
          <w:tcPr>
            <w:tcW w:w="1200" w:type="dxa"/>
            <w:vAlign w:val="bottom"/>
            <w:tcBorders>
              <w:bottom w:val="single" w:sz="8" w:color="DBDBDB"/>
            </w:tcBorders>
            <w:shd w:val="clear" w:color="auto" w:fill="DBDBDB"/>
          </w:tcPr>
          <w:p>
            <w:pPr>
              <w:spacing w:after="0"/>
              <w:rPr>
                <w:sz w:val="11"/>
                <w:szCs w:val="11"/>
                <w:color w:val="auto"/>
              </w:rPr>
            </w:pPr>
          </w:p>
        </w:tc>
        <w:tc>
          <w:tcPr>
            <w:tcW w:w="80" w:type="dxa"/>
            <w:vAlign w:val="bottom"/>
            <w:tcBorders>
              <w:bottom w:val="single" w:sz="8" w:color="DBDBDB"/>
            </w:tcBorders>
            <w:shd w:val="clear" w:color="auto" w:fill="DBDBDB"/>
          </w:tcPr>
          <w:p>
            <w:pPr>
              <w:spacing w:after="0"/>
              <w:rPr>
                <w:sz w:val="11"/>
                <w:szCs w:val="11"/>
                <w:color w:val="auto"/>
              </w:rPr>
            </w:pPr>
          </w:p>
        </w:tc>
        <w:tc>
          <w:tcPr>
            <w:tcW w:w="1200" w:type="dxa"/>
            <w:vAlign w:val="bottom"/>
            <w:tcBorders>
              <w:bottom w:val="single" w:sz="8" w:color="DBDBDB"/>
            </w:tcBorders>
            <w:shd w:val="clear" w:color="auto" w:fill="DBDBDB"/>
          </w:tcPr>
          <w:p>
            <w:pPr>
              <w:spacing w:after="0"/>
              <w:rPr>
                <w:sz w:val="11"/>
                <w:szCs w:val="11"/>
                <w:color w:val="auto"/>
              </w:rPr>
            </w:pPr>
          </w:p>
        </w:tc>
        <w:tc>
          <w:tcPr>
            <w:tcW w:w="100" w:type="dxa"/>
            <w:vAlign w:val="bottom"/>
            <w:tcBorders>
              <w:bottom w:val="single" w:sz="8" w:color="DBDBDB"/>
            </w:tcBorders>
            <w:shd w:val="clear" w:color="auto" w:fill="DBDBDB"/>
          </w:tcPr>
          <w:p>
            <w:pPr>
              <w:spacing w:after="0"/>
              <w:rPr>
                <w:sz w:val="11"/>
                <w:szCs w:val="11"/>
                <w:color w:val="auto"/>
              </w:rPr>
            </w:pPr>
          </w:p>
        </w:tc>
        <w:tc>
          <w:tcPr>
            <w:tcW w:w="1120" w:type="dxa"/>
            <w:vAlign w:val="bottom"/>
            <w:tcBorders>
              <w:bottom w:val="single" w:sz="8" w:color="DBDBDB"/>
            </w:tcBorders>
            <w:shd w:val="clear" w:color="auto" w:fill="DBDBDB"/>
          </w:tcPr>
          <w:p>
            <w:pPr>
              <w:spacing w:after="0"/>
              <w:rPr>
                <w:sz w:val="11"/>
                <w:szCs w:val="11"/>
                <w:color w:val="auto"/>
              </w:rPr>
            </w:pPr>
          </w:p>
        </w:tc>
        <w:tc>
          <w:tcPr>
            <w:tcW w:w="100" w:type="dxa"/>
            <w:vAlign w:val="bottom"/>
            <w:tcBorders>
              <w:bottom w:val="single" w:sz="8" w:color="DBDBDB"/>
            </w:tcBorders>
            <w:shd w:val="clear" w:color="auto" w:fill="DBDBDB"/>
          </w:tcPr>
          <w:p>
            <w:pPr>
              <w:spacing w:after="0"/>
              <w:rPr>
                <w:sz w:val="11"/>
                <w:szCs w:val="11"/>
                <w:color w:val="auto"/>
              </w:rPr>
            </w:pPr>
          </w:p>
        </w:tc>
        <w:tc>
          <w:tcPr>
            <w:tcW w:w="1200" w:type="dxa"/>
            <w:vAlign w:val="bottom"/>
            <w:tcBorders>
              <w:bottom w:val="single" w:sz="8" w:color="DBDBDB"/>
            </w:tcBorders>
            <w:shd w:val="clear" w:color="auto" w:fill="DBDBDB"/>
          </w:tcPr>
          <w:p>
            <w:pPr>
              <w:spacing w:after="0"/>
              <w:rPr>
                <w:sz w:val="11"/>
                <w:szCs w:val="11"/>
                <w:color w:val="auto"/>
              </w:rPr>
            </w:pPr>
          </w:p>
        </w:tc>
        <w:tc>
          <w:tcPr>
            <w:tcW w:w="100" w:type="dxa"/>
            <w:vAlign w:val="bottom"/>
            <w:tcBorders>
              <w:bottom w:val="single" w:sz="8" w:color="DBDBDB"/>
            </w:tcBorders>
            <w:shd w:val="clear" w:color="auto" w:fill="DBDBDB"/>
          </w:tcPr>
          <w:p>
            <w:pPr>
              <w:spacing w:after="0"/>
              <w:rPr>
                <w:sz w:val="11"/>
                <w:szCs w:val="11"/>
                <w:color w:val="auto"/>
              </w:rPr>
            </w:pPr>
          </w:p>
        </w:tc>
        <w:tc>
          <w:tcPr>
            <w:tcW w:w="1160" w:type="dxa"/>
            <w:vAlign w:val="bottom"/>
            <w:tcBorders>
              <w:bottom w:val="single" w:sz="8" w:color="DBDBDB"/>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16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Consolidated Adjusted</w:t>
            </w:r>
          </w:p>
        </w:tc>
        <w:tc>
          <w:tcPr>
            <w:tcW w:w="1340" w:type="dxa"/>
            <w:vAlign w:val="bottom"/>
            <w:gridSpan w:val="2"/>
            <w:shd w:val="clear" w:color="auto" w:fill="DBDBDB"/>
          </w:tcPr>
          <w:p>
            <w:pPr>
              <w:jc w:val="right"/>
              <w:ind w:right="168"/>
              <w:spacing w:after="0"/>
              <w:rPr>
                <w:sz w:val="20"/>
                <w:szCs w:val="20"/>
                <w:color w:val="auto"/>
              </w:rPr>
            </w:pPr>
            <w:r>
              <w:rPr>
                <w:rFonts w:ascii="Arial" w:cs="Arial" w:eastAsia="Arial" w:hAnsi="Arial"/>
                <w:sz w:val="14"/>
                <w:szCs w:val="14"/>
                <w:color w:val="auto"/>
              </w:rPr>
              <w:t>75.00</w:t>
            </w:r>
          </w:p>
        </w:tc>
        <w:tc>
          <w:tcPr>
            <w:tcW w:w="8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75.00</w:t>
            </w:r>
          </w:p>
        </w:tc>
        <w:tc>
          <w:tcPr>
            <w:tcW w:w="8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699,000</w:t>
            </w:r>
          </w:p>
        </w:tc>
        <w:tc>
          <w:tcPr>
            <w:tcW w:w="100" w:type="dxa"/>
            <w:vAlign w:val="bottom"/>
            <w:shd w:val="clear" w:color="auto" w:fill="DBDBDB"/>
          </w:tcPr>
          <w:p>
            <w:pPr>
              <w:spacing w:after="0"/>
              <w:rPr>
                <w:sz w:val="16"/>
                <w:szCs w:val="16"/>
                <w:color w:val="auto"/>
              </w:rPr>
            </w:pP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93.51</w:t>
            </w:r>
          </w:p>
        </w:tc>
        <w:tc>
          <w:tcPr>
            <w:tcW w:w="10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653,635</w:t>
            </w:r>
          </w:p>
        </w:tc>
        <w:tc>
          <w:tcPr>
            <w:tcW w:w="10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70.13</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EBIT</w:t>
            </w:r>
          </w:p>
        </w:tc>
        <w:tc>
          <w:tcPr>
            <w:tcW w:w="14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8"/>
                <w:szCs w:val="18"/>
                <w:color w:val="auto"/>
              </w:rPr>
            </w:pPr>
          </w:p>
        </w:tc>
        <w:tc>
          <w:tcPr>
            <w:tcW w:w="1620" w:type="dxa"/>
            <w:vAlign w:val="bottom"/>
            <w:tcBorders>
              <w:top w:val="single" w:sz="8" w:color="DBDBDB"/>
              <w:bottom w:val="single" w:sz="8" w:color="DBDBDB"/>
            </w:tcBorders>
            <w:shd w:val="clear" w:color="auto" w:fill="DBDBDB"/>
          </w:tcPr>
          <w:p>
            <w:pPr>
              <w:spacing w:after="0"/>
              <w:rPr>
                <w:sz w:val="18"/>
                <w:szCs w:val="18"/>
                <w:color w:val="auto"/>
              </w:rPr>
            </w:pPr>
          </w:p>
        </w:tc>
        <w:tc>
          <w:tcPr>
            <w:tcW w:w="140" w:type="dxa"/>
            <w:vAlign w:val="bottom"/>
            <w:tcBorders>
              <w:top w:val="single" w:sz="8" w:color="DBDBDB"/>
              <w:bottom w:val="single" w:sz="8" w:color="DBDBDB"/>
            </w:tcBorders>
            <w:shd w:val="clear" w:color="auto" w:fill="DBDBDB"/>
          </w:tcPr>
          <w:p>
            <w:pPr>
              <w:spacing w:after="0"/>
              <w:rPr>
                <w:sz w:val="18"/>
                <w:szCs w:val="18"/>
                <w:color w:val="auto"/>
              </w:rPr>
            </w:pPr>
          </w:p>
        </w:tc>
        <w:tc>
          <w:tcPr>
            <w:tcW w:w="1200" w:type="dxa"/>
            <w:vAlign w:val="bottom"/>
            <w:tcBorders>
              <w:top w:val="single" w:sz="8" w:color="auto"/>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100.00</w:t>
            </w:r>
          </w:p>
        </w:tc>
        <w:tc>
          <w:tcPr>
            <w:tcW w:w="80" w:type="dxa"/>
            <w:vAlign w:val="bottom"/>
            <w:tcBorders>
              <w:top w:val="single" w:sz="8" w:color="DBDBDB"/>
              <w:bottom w:val="single" w:sz="8" w:color="DBDBDB"/>
            </w:tcBorders>
            <w:shd w:val="clear" w:color="auto" w:fill="DBDBDB"/>
          </w:tcPr>
          <w:p>
            <w:pPr>
              <w:spacing w:after="0"/>
              <w:rPr>
                <w:sz w:val="18"/>
                <w:szCs w:val="18"/>
                <w:color w:val="auto"/>
              </w:rPr>
            </w:pPr>
          </w:p>
        </w:tc>
        <w:tc>
          <w:tcPr>
            <w:tcW w:w="1200" w:type="dxa"/>
            <w:vAlign w:val="bottom"/>
            <w:tcBorders>
              <w:top w:val="single" w:sz="8" w:color="auto"/>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100.00</w:t>
            </w:r>
          </w:p>
        </w:tc>
        <w:tc>
          <w:tcPr>
            <w:tcW w:w="80" w:type="dxa"/>
            <w:vAlign w:val="bottom"/>
            <w:tcBorders>
              <w:top w:val="single" w:sz="8" w:color="DBDBDB"/>
              <w:bottom w:val="single" w:sz="8" w:color="DBDBDB"/>
            </w:tcBorders>
            <w:shd w:val="clear" w:color="auto" w:fill="DBDBDB"/>
          </w:tcPr>
          <w:p>
            <w:pPr>
              <w:spacing w:after="0"/>
              <w:rPr>
                <w:sz w:val="18"/>
                <w:szCs w:val="18"/>
                <w:color w:val="auto"/>
              </w:rPr>
            </w:pPr>
          </w:p>
        </w:tc>
        <w:tc>
          <w:tcPr>
            <w:tcW w:w="1200" w:type="dxa"/>
            <w:vAlign w:val="bottom"/>
            <w:tcBorders>
              <w:top w:val="single" w:sz="8" w:color="auto"/>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932,000</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120" w:type="dxa"/>
            <w:vAlign w:val="bottom"/>
            <w:tcBorders>
              <w:top w:val="single" w:sz="8" w:color="auto"/>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84.04</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200" w:type="dxa"/>
            <w:vAlign w:val="bottom"/>
            <w:tcBorders>
              <w:top w:val="single" w:sz="8" w:color="auto"/>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783,253</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160" w:type="dxa"/>
            <w:vAlign w:val="bottom"/>
            <w:tcBorders>
              <w:top w:val="single" w:sz="8" w:color="auto"/>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84.04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0" w:type="dxa"/>
            <w:vAlign w:val="bottom"/>
          </w:tcPr>
          <w:p>
            <w:pPr>
              <w:spacing w:after="0"/>
              <w:rPr>
                <w:sz w:val="15"/>
                <w:szCs w:val="15"/>
                <w:color w:val="auto"/>
              </w:rPr>
            </w:pPr>
          </w:p>
        </w:tc>
        <w:tc>
          <w:tcPr>
            <w:tcW w:w="1620" w:type="dxa"/>
            <w:vAlign w:val="bottom"/>
            <w:vMerge w:val="restart"/>
          </w:tcPr>
          <w:p>
            <w:pPr>
              <w:ind w:left="20"/>
              <w:spacing w:after="0"/>
              <w:rPr>
                <w:sz w:val="20"/>
                <w:szCs w:val="20"/>
                <w:color w:val="auto"/>
              </w:rPr>
            </w:pPr>
            <w:r>
              <w:rPr>
                <w:rFonts w:ascii="Arial" w:cs="Arial" w:eastAsia="Arial" w:hAnsi="Arial"/>
                <w:sz w:val="14"/>
                <w:szCs w:val="14"/>
                <w:color w:val="auto"/>
              </w:rPr>
              <w:t>Consolidated Net Sales</w:t>
            </w:r>
          </w:p>
        </w:tc>
        <w:tc>
          <w:tcPr>
            <w:tcW w:w="1340" w:type="dxa"/>
            <w:vAlign w:val="bottom"/>
            <w:gridSpan w:val="2"/>
          </w:tcPr>
          <w:p>
            <w:pPr>
              <w:jc w:val="right"/>
              <w:ind w:right="168"/>
              <w:spacing w:after="0"/>
              <w:rPr>
                <w:sz w:val="20"/>
                <w:szCs w:val="20"/>
                <w:color w:val="auto"/>
              </w:rPr>
            </w:pPr>
            <w:r>
              <w:rPr>
                <w:rFonts w:ascii="Arial" w:cs="Arial" w:eastAsia="Arial" w:hAnsi="Arial"/>
                <w:sz w:val="14"/>
                <w:szCs w:val="14"/>
                <w:color w:val="auto"/>
              </w:rPr>
              <w:t>25.00</w:t>
            </w:r>
          </w:p>
        </w:tc>
        <w:tc>
          <w:tcPr>
            <w:tcW w:w="8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18.75</w:t>
            </w:r>
          </w:p>
        </w:tc>
        <w:tc>
          <w:tcPr>
            <w:tcW w:w="8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121,125</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55.63</w:t>
            </w:r>
          </w:p>
        </w:tc>
        <w:tc>
          <w:tcPr>
            <w:tcW w:w="10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67,382</w:t>
            </w:r>
          </w:p>
        </w:tc>
        <w:tc>
          <w:tcPr>
            <w:tcW w:w="100" w:type="dxa"/>
            <w:vAlign w:val="bottom"/>
          </w:tcPr>
          <w:p>
            <w:pPr>
              <w:spacing w:after="0"/>
              <w:rPr>
                <w:sz w:val="15"/>
                <w:szCs w:val="15"/>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Arial" w:cs="Arial" w:eastAsia="Arial" w:hAnsi="Arial"/>
                <w:sz w:val="14"/>
                <w:szCs w:val="14"/>
                <w:color w:val="auto"/>
              </w:rPr>
              <w:t>Consolidated Adjusted</w:t>
            </w:r>
          </w:p>
        </w:tc>
        <w:tc>
          <w:tcPr>
            <w:tcW w:w="1340" w:type="dxa"/>
            <w:vAlign w:val="bottom"/>
            <w:gridSpan w:val="2"/>
          </w:tcPr>
          <w:p>
            <w:pPr>
              <w:jc w:val="right"/>
              <w:ind w:right="168"/>
              <w:spacing w:after="0"/>
              <w:rPr>
                <w:sz w:val="20"/>
                <w:szCs w:val="20"/>
                <w:color w:val="auto"/>
              </w:rPr>
            </w:pPr>
            <w:r>
              <w:rPr>
                <w:rFonts w:ascii="Arial" w:cs="Arial" w:eastAsia="Arial" w:hAnsi="Arial"/>
                <w:sz w:val="14"/>
                <w:szCs w:val="14"/>
                <w:color w:val="auto"/>
              </w:rPr>
              <w:t>75.00</w:t>
            </w:r>
          </w:p>
        </w:tc>
        <w:tc>
          <w:tcPr>
            <w:tcW w:w="80" w:type="dxa"/>
            <w:vAlign w:val="bottom"/>
          </w:tcPr>
          <w:p>
            <w:pPr>
              <w:spacing w:after="0"/>
              <w:rPr>
                <w:sz w:val="18"/>
                <w:szCs w:val="18"/>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56.25</w:t>
            </w:r>
          </w:p>
        </w:tc>
        <w:tc>
          <w:tcPr>
            <w:tcW w:w="8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363,375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93.51</w:t>
            </w:r>
          </w:p>
        </w:tc>
        <w:tc>
          <w:tcPr>
            <w:tcW w:w="100" w:type="dxa"/>
            <w:vAlign w:val="bottom"/>
          </w:tcPr>
          <w:p>
            <w:pPr>
              <w:spacing w:after="0"/>
              <w:rPr>
                <w:sz w:val="18"/>
                <w:szCs w:val="18"/>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339,792</w:t>
            </w:r>
          </w:p>
        </w:tc>
        <w:tc>
          <w:tcPr>
            <w:tcW w:w="100" w:type="dxa"/>
            <w:vAlign w:val="bottom"/>
          </w:tcPr>
          <w:p>
            <w:pPr>
              <w:spacing w:after="0"/>
              <w:rPr>
                <w:sz w:val="18"/>
                <w:szCs w:val="18"/>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52.60</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Arial" w:cs="Arial" w:eastAsia="Arial" w:hAnsi="Arial"/>
                <w:sz w:val="14"/>
                <w:szCs w:val="14"/>
                <w:color w:val="auto"/>
              </w:rPr>
              <w:t>EBIT</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7"/>
                <w:szCs w:val="17"/>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75.00</w:t>
            </w:r>
          </w:p>
        </w:tc>
        <w:tc>
          <w:tcPr>
            <w:tcW w:w="80" w:type="dxa"/>
            <w:vAlign w:val="bottom"/>
          </w:tcPr>
          <w:p>
            <w:pPr>
              <w:spacing w:after="0"/>
              <w:rPr>
                <w:sz w:val="17"/>
                <w:szCs w:val="17"/>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484,500</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84.04</w:t>
            </w:r>
          </w:p>
        </w:tc>
        <w:tc>
          <w:tcPr>
            <w:tcW w:w="100" w:type="dxa"/>
            <w:vAlign w:val="bottom"/>
          </w:tcPr>
          <w:p>
            <w:pPr>
              <w:spacing w:after="0"/>
              <w:rPr>
                <w:sz w:val="17"/>
                <w:szCs w:val="17"/>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407,174</w:t>
            </w:r>
          </w:p>
        </w:tc>
        <w:tc>
          <w:tcPr>
            <w:tcW w:w="100" w:type="dxa"/>
            <w:vAlign w:val="bottom"/>
          </w:tcPr>
          <w:p>
            <w:pPr>
              <w:spacing w:after="0"/>
              <w:rPr>
                <w:sz w:val="17"/>
                <w:szCs w:val="17"/>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63.03</w:t>
            </w:r>
          </w:p>
        </w:tc>
        <w:tc>
          <w:tcPr>
            <w:tcW w:w="0" w:type="dxa"/>
            <w:vAlign w:val="bottom"/>
          </w:tcPr>
          <w:p>
            <w:pPr>
              <w:spacing w:after="0"/>
              <w:rPr>
                <w:sz w:val="1"/>
                <w:szCs w:val="1"/>
                <w:color w:val="auto"/>
              </w:rPr>
            </w:pPr>
          </w:p>
        </w:tc>
      </w:tr>
      <w:tr>
        <w:trPr>
          <w:trHeight w:val="22"/>
        </w:trPr>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DBDBDB"/>
            </w:tcBorders>
          </w:tcPr>
          <w:p>
            <w:pPr>
              <w:spacing w:after="0" w:line="20" w:lineRule="exact"/>
              <w:rPr>
                <w:sz w:val="1"/>
                <w:szCs w:val="1"/>
                <w:color w:val="auto"/>
              </w:rPr>
            </w:pPr>
          </w:p>
        </w:tc>
        <w:tc>
          <w:tcPr>
            <w:tcW w:w="16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0" w:type="dxa"/>
            <w:vAlign w:val="bottom"/>
            <w:shd w:val="clear" w:color="auto" w:fill="DBDBDB"/>
          </w:tcPr>
          <w:p>
            <w:pPr>
              <w:spacing w:after="0"/>
              <w:rPr>
                <w:sz w:val="13"/>
                <w:szCs w:val="13"/>
                <w:color w:val="auto"/>
              </w:rPr>
            </w:pPr>
          </w:p>
        </w:tc>
        <w:tc>
          <w:tcPr>
            <w:tcW w:w="16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Consolidated Adjusted</w:t>
            </w:r>
          </w:p>
        </w:tc>
        <w:tc>
          <w:tcPr>
            <w:tcW w:w="1340" w:type="dxa"/>
            <w:vAlign w:val="bottom"/>
            <w:gridSpan w:val="2"/>
            <w:shd w:val="clear" w:color="auto" w:fill="DBDBDB"/>
          </w:tcPr>
          <w:p>
            <w:pPr>
              <w:jc w:val="right"/>
              <w:ind w:right="168"/>
              <w:spacing w:after="0"/>
              <w:rPr>
                <w:sz w:val="20"/>
                <w:szCs w:val="20"/>
                <w:color w:val="auto"/>
              </w:rPr>
            </w:pPr>
            <w:r>
              <w:rPr>
                <w:rFonts w:ascii="Arial" w:cs="Arial" w:eastAsia="Arial" w:hAnsi="Arial"/>
                <w:sz w:val="14"/>
                <w:szCs w:val="14"/>
                <w:color w:val="auto"/>
              </w:rPr>
              <w:t>25.00</w:t>
            </w:r>
          </w:p>
        </w:tc>
        <w:tc>
          <w:tcPr>
            <w:tcW w:w="8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15.00</w:t>
            </w:r>
          </w:p>
        </w:tc>
        <w:tc>
          <w:tcPr>
            <w:tcW w:w="8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68,250</w:t>
            </w:r>
          </w:p>
        </w:tc>
        <w:tc>
          <w:tcPr>
            <w:tcW w:w="100" w:type="dxa"/>
            <w:vAlign w:val="bottom"/>
            <w:shd w:val="clear" w:color="auto" w:fill="DBDBDB"/>
          </w:tcPr>
          <w:p>
            <w:pPr>
              <w:spacing w:after="0"/>
              <w:rPr>
                <w:sz w:val="13"/>
                <w:szCs w:val="13"/>
                <w:color w:val="auto"/>
              </w:rPr>
            </w:pP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93.51</w:t>
            </w:r>
          </w:p>
        </w:tc>
        <w:tc>
          <w:tcPr>
            <w:tcW w:w="100" w:type="dxa"/>
            <w:vAlign w:val="bottom"/>
            <w:shd w:val="clear" w:color="auto" w:fill="DBDBDB"/>
          </w:tcPr>
          <w:p>
            <w:pPr>
              <w:spacing w:after="0"/>
              <w:rPr>
                <w:sz w:val="13"/>
                <w:szCs w:val="13"/>
                <w:color w:val="auto"/>
              </w:rPr>
            </w:pPr>
          </w:p>
        </w:tc>
        <w:tc>
          <w:tcPr>
            <w:tcW w:w="120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63,827</w:t>
            </w:r>
          </w:p>
        </w:tc>
        <w:tc>
          <w:tcPr>
            <w:tcW w:w="100" w:type="dxa"/>
            <w:vAlign w:val="bottom"/>
            <w:shd w:val="clear" w:color="auto" w:fill="DBDBDB"/>
          </w:tcPr>
          <w:p>
            <w:pPr>
              <w:spacing w:after="0"/>
              <w:rPr>
                <w:sz w:val="13"/>
                <w:szCs w:val="13"/>
                <w:color w:val="auto"/>
              </w:rPr>
            </w:pPr>
          </w:p>
        </w:tc>
        <w:tc>
          <w:tcPr>
            <w:tcW w:w="116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192"/>
        </w:trPr>
        <w:tc>
          <w:tcPr>
            <w:tcW w:w="100" w:type="dxa"/>
            <w:vAlign w:val="bottom"/>
            <w:tcBorders>
              <w:bottom w:val="single" w:sz="8" w:color="DBDBDB"/>
            </w:tcBorders>
            <w:shd w:val="clear" w:color="auto" w:fill="DBDBDB"/>
          </w:tcPr>
          <w:p>
            <w:pPr>
              <w:spacing w:after="0"/>
              <w:rPr>
                <w:sz w:val="16"/>
                <w:szCs w:val="16"/>
                <w:color w:val="auto"/>
              </w:rPr>
            </w:pPr>
          </w:p>
        </w:tc>
        <w:tc>
          <w:tcPr>
            <w:tcW w:w="1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EBIT</w:t>
            </w:r>
          </w:p>
        </w:tc>
        <w:tc>
          <w:tcPr>
            <w:tcW w:w="140" w:type="dxa"/>
            <w:vAlign w:val="bottom"/>
            <w:tcBorders>
              <w:bottom w:val="single" w:sz="8" w:color="DBDBDB"/>
            </w:tcBorders>
            <w:shd w:val="clear" w:color="auto" w:fill="DBDBDB"/>
          </w:tcPr>
          <w:p>
            <w:pPr>
              <w:spacing w:after="0"/>
              <w:rPr>
                <w:sz w:val="16"/>
                <w:szCs w:val="16"/>
                <w:color w:val="auto"/>
              </w:rPr>
            </w:pPr>
          </w:p>
        </w:tc>
        <w:tc>
          <w:tcPr>
            <w:tcW w:w="120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20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2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2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1620" w:type="dxa"/>
            <w:vAlign w:val="bottom"/>
            <w:shd w:val="clear" w:color="auto" w:fill="DBDBDB"/>
          </w:tcPr>
          <w:p>
            <w:pPr>
              <w:ind w:left="20"/>
              <w:spacing w:after="0"/>
              <w:rPr>
                <w:sz w:val="20"/>
                <w:szCs w:val="20"/>
                <w:color w:val="auto"/>
              </w:rPr>
            </w:pPr>
            <w:r>
              <w:rPr>
                <w:rFonts w:ascii="Arial" w:cs="Arial" w:eastAsia="Arial" w:hAnsi="Arial"/>
                <w:sz w:val="14"/>
                <w:szCs w:val="14"/>
                <w:color w:val="auto"/>
              </w:rPr>
              <w:t>Glass Segment Net</w:t>
            </w:r>
          </w:p>
        </w:tc>
        <w:tc>
          <w:tcPr>
            <w:tcW w:w="1340" w:type="dxa"/>
            <w:vAlign w:val="bottom"/>
            <w:gridSpan w:val="2"/>
            <w:shd w:val="clear" w:color="auto" w:fill="DBDBDB"/>
          </w:tcPr>
          <w:p>
            <w:pPr>
              <w:jc w:val="right"/>
              <w:ind w:right="168"/>
              <w:spacing w:after="0"/>
              <w:rPr>
                <w:sz w:val="20"/>
                <w:szCs w:val="20"/>
                <w:color w:val="auto"/>
              </w:rPr>
            </w:pPr>
            <w:r>
              <w:rPr>
                <w:rFonts w:ascii="Arial" w:cs="Arial" w:eastAsia="Arial" w:hAnsi="Arial"/>
                <w:sz w:val="14"/>
                <w:szCs w:val="14"/>
                <w:color w:val="auto"/>
              </w:rPr>
              <w:t>25.00</w:t>
            </w:r>
          </w:p>
        </w:tc>
        <w:tc>
          <w:tcPr>
            <w:tcW w:w="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62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w:t>
            </w:r>
          </w:p>
        </w:tc>
        <w:tc>
          <w:tcPr>
            <w:tcW w:w="14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15.00</w:t>
            </w:r>
          </w:p>
        </w:tc>
        <w:tc>
          <w:tcPr>
            <w:tcW w:w="8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68,250</w:t>
            </w:r>
          </w:p>
        </w:tc>
        <w:tc>
          <w:tcPr>
            <w:tcW w:w="100" w:type="dxa"/>
            <w:vAlign w:val="bottom"/>
            <w:shd w:val="clear" w:color="auto" w:fill="DBDBDB"/>
          </w:tcPr>
          <w:p>
            <w:pPr>
              <w:spacing w:after="0"/>
              <w:rPr>
                <w:sz w:val="16"/>
                <w:szCs w:val="16"/>
                <w:color w:val="auto"/>
              </w:rPr>
            </w:pPr>
          </w:p>
        </w:tc>
        <w:tc>
          <w:tcPr>
            <w:tcW w:w="122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130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620" w:type="dxa"/>
            <w:vAlign w:val="bottom"/>
            <w:shd w:val="clear" w:color="auto" w:fill="DBDBDB"/>
          </w:tcPr>
          <w:p>
            <w:pPr>
              <w:ind w:left="20"/>
              <w:spacing w:after="0"/>
              <w:rPr>
                <w:sz w:val="20"/>
                <w:szCs w:val="20"/>
                <w:color w:val="auto"/>
              </w:rPr>
            </w:pPr>
            <w:r>
              <w:rPr>
                <w:rFonts w:ascii="Arial" w:cs="Arial" w:eastAsia="Arial" w:hAnsi="Arial"/>
                <w:sz w:val="14"/>
                <w:szCs w:val="14"/>
                <w:color w:val="auto"/>
              </w:rPr>
              <w:t>Glass Segment Adjusted</w:t>
            </w: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50.00</w:t>
            </w:r>
          </w:p>
        </w:tc>
        <w:tc>
          <w:tcPr>
            <w:tcW w:w="8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30.00</w:t>
            </w:r>
          </w:p>
        </w:tc>
        <w:tc>
          <w:tcPr>
            <w:tcW w:w="8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136,500</w:t>
            </w:r>
          </w:p>
        </w:tc>
        <w:tc>
          <w:tcPr>
            <w:tcW w:w="100" w:type="dxa"/>
            <w:vAlign w:val="bottom"/>
            <w:shd w:val="clear" w:color="auto" w:fill="DBDBDB"/>
          </w:tcPr>
          <w:p>
            <w:pPr>
              <w:spacing w:after="0"/>
              <w:rPr>
                <w:sz w:val="18"/>
                <w:szCs w:val="18"/>
                <w:color w:val="auto"/>
              </w:rPr>
            </w:pP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273,000</w:t>
            </w:r>
          </w:p>
        </w:tc>
        <w:tc>
          <w:tcPr>
            <w:tcW w:w="100" w:type="dxa"/>
            <w:vAlign w:val="bottom"/>
            <w:shd w:val="clear" w:color="auto" w:fill="DBDBDB"/>
          </w:tcPr>
          <w:p>
            <w:pPr>
              <w:spacing w:after="0"/>
              <w:rPr>
                <w:sz w:val="18"/>
                <w:szCs w:val="18"/>
                <w:color w:val="auto"/>
              </w:rPr>
            </w:pPr>
          </w:p>
        </w:tc>
        <w:tc>
          <w:tcPr>
            <w:tcW w:w="116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EBIT</w:t>
            </w:r>
          </w:p>
        </w:tc>
        <w:tc>
          <w:tcPr>
            <w:tcW w:w="14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8"/>
                <w:szCs w:val="18"/>
                <w:color w:val="auto"/>
              </w:rPr>
            </w:pPr>
          </w:p>
        </w:tc>
        <w:tc>
          <w:tcPr>
            <w:tcW w:w="1620" w:type="dxa"/>
            <w:vAlign w:val="bottom"/>
            <w:tcBorders>
              <w:top w:val="single" w:sz="8" w:color="DBDBDB"/>
              <w:bottom w:val="single" w:sz="8" w:color="DBDBDB"/>
            </w:tcBorders>
            <w:shd w:val="clear" w:color="auto" w:fill="DBDBDB"/>
          </w:tcPr>
          <w:p>
            <w:pPr>
              <w:spacing w:after="0"/>
              <w:rPr>
                <w:sz w:val="18"/>
                <w:szCs w:val="18"/>
                <w:color w:val="auto"/>
              </w:rPr>
            </w:pPr>
          </w:p>
        </w:tc>
        <w:tc>
          <w:tcPr>
            <w:tcW w:w="140" w:type="dxa"/>
            <w:vAlign w:val="bottom"/>
            <w:tcBorders>
              <w:top w:val="single" w:sz="8" w:color="DBDBDB"/>
              <w:bottom w:val="single" w:sz="8" w:color="DBDBDB"/>
            </w:tcBorders>
            <w:shd w:val="clear" w:color="auto" w:fill="DBDBDB"/>
          </w:tcPr>
          <w:p>
            <w:pPr>
              <w:spacing w:after="0"/>
              <w:rPr>
                <w:sz w:val="18"/>
                <w:szCs w:val="18"/>
                <w:color w:val="auto"/>
              </w:rPr>
            </w:pPr>
          </w:p>
        </w:tc>
        <w:tc>
          <w:tcPr>
            <w:tcW w:w="1200" w:type="dxa"/>
            <w:vAlign w:val="bottom"/>
            <w:tcBorders>
              <w:top w:val="single" w:sz="8" w:color="auto"/>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100.00</w:t>
            </w:r>
          </w:p>
        </w:tc>
        <w:tc>
          <w:tcPr>
            <w:tcW w:w="80" w:type="dxa"/>
            <w:vAlign w:val="bottom"/>
            <w:tcBorders>
              <w:top w:val="single" w:sz="8" w:color="DBDBDB"/>
              <w:bottom w:val="single" w:sz="8" w:color="DBDBDB"/>
            </w:tcBorders>
            <w:shd w:val="clear" w:color="auto" w:fill="DBDBDB"/>
          </w:tcPr>
          <w:p>
            <w:pPr>
              <w:spacing w:after="0"/>
              <w:rPr>
                <w:sz w:val="18"/>
                <w:szCs w:val="18"/>
                <w:color w:val="auto"/>
              </w:rPr>
            </w:pPr>
          </w:p>
        </w:tc>
        <w:tc>
          <w:tcPr>
            <w:tcW w:w="1200" w:type="dxa"/>
            <w:vAlign w:val="bottom"/>
            <w:tcBorders>
              <w:top w:val="single" w:sz="8" w:color="auto"/>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60.00</w:t>
            </w:r>
          </w:p>
        </w:tc>
        <w:tc>
          <w:tcPr>
            <w:tcW w:w="80" w:type="dxa"/>
            <w:vAlign w:val="bottom"/>
            <w:tcBorders>
              <w:top w:val="single" w:sz="8" w:color="DBDBDB"/>
              <w:bottom w:val="single" w:sz="8" w:color="DBDBDB"/>
            </w:tcBorders>
            <w:shd w:val="clear" w:color="auto" w:fill="DBDBDB"/>
          </w:tcPr>
          <w:p>
            <w:pPr>
              <w:spacing w:after="0"/>
              <w:rPr>
                <w:sz w:val="18"/>
                <w:szCs w:val="18"/>
                <w:color w:val="auto"/>
              </w:rPr>
            </w:pPr>
          </w:p>
        </w:tc>
        <w:tc>
          <w:tcPr>
            <w:tcW w:w="1200" w:type="dxa"/>
            <w:vAlign w:val="bottom"/>
            <w:tcBorders>
              <w:top w:val="single" w:sz="8" w:color="auto"/>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273,000</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120" w:type="dxa"/>
            <w:vAlign w:val="bottom"/>
            <w:tcBorders>
              <w:top w:val="single" w:sz="8" w:color="auto"/>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123.38</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200" w:type="dxa"/>
            <w:vAlign w:val="bottom"/>
            <w:tcBorders>
              <w:top w:val="single" w:sz="8" w:color="auto"/>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336,827</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160" w:type="dxa"/>
            <w:vAlign w:val="bottom"/>
            <w:tcBorders>
              <w:top w:val="single" w:sz="8" w:color="auto"/>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74.03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2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4"/>
                <w:szCs w:val="14"/>
                <w:color w:val="auto"/>
              </w:rPr>
              <w:t>Consolidated Adjusted</w:t>
            </w:r>
          </w:p>
        </w:tc>
        <w:tc>
          <w:tcPr>
            <w:tcW w:w="14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340" w:type="dxa"/>
            <w:vAlign w:val="bottom"/>
            <w:gridSpan w:val="2"/>
          </w:tcPr>
          <w:p>
            <w:pPr>
              <w:jc w:val="right"/>
              <w:ind w:right="168"/>
              <w:spacing w:after="0" w:line="141" w:lineRule="exact"/>
              <w:rPr>
                <w:sz w:val="20"/>
                <w:szCs w:val="20"/>
                <w:color w:val="auto"/>
              </w:rPr>
            </w:pPr>
            <w:r>
              <w:rPr>
                <w:rFonts w:ascii="Arial" w:cs="Arial" w:eastAsia="Arial" w:hAnsi="Arial"/>
                <w:sz w:val="14"/>
                <w:szCs w:val="14"/>
                <w:color w:val="auto"/>
              </w:rPr>
              <w:t>25.00</w:t>
            </w:r>
          </w:p>
        </w:tc>
        <w:tc>
          <w:tcPr>
            <w:tcW w:w="80" w:type="dxa"/>
            <w:vAlign w:val="bottom"/>
          </w:tcPr>
          <w:p>
            <w:pPr>
              <w:spacing w:after="0"/>
              <w:rPr>
                <w:sz w:val="12"/>
                <w:szCs w:val="12"/>
                <w:color w:val="auto"/>
              </w:rPr>
            </w:pPr>
          </w:p>
        </w:tc>
        <w:tc>
          <w:tcPr>
            <w:tcW w:w="1200" w:type="dxa"/>
            <w:vAlign w:val="bottom"/>
          </w:tcPr>
          <w:p>
            <w:pPr>
              <w:jc w:val="right"/>
              <w:ind w:right="168"/>
              <w:spacing w:after="0" w:line="141" w:lineRule="exact"/>
              <w:rPr>
                <w:sz w:val="20"/>
                <w:szCs w:val="20"/>
                <w:color w:val="auto"/>
              </w:rPr>
            </w:pPr>
            <w:r>
              <w:rPr>
                <w:rFonts w:ascii="Arial" w:cs="Arial" w:eastAsia="Arial" w:hAnsi="Arial"/>
                <w:sz w:val="14"/>
                <w:szCs w:val="14"/>
                <w:color w:val="auto"/>
              </w:rPr>
              <w:t>15.00</w:t>
            </w:r>
          </w:p>
        </w:tc>
        <w:tc>
          <w:tcPr>
            <w:tcW w:w="80" w:type="dxa"/>
            <w:vAlign w:val="bottom"/>
          </w:tcPr>
          <w:p>
            <w:pPr>
              <w:spacing w:after="0"/>
              <w:rPr>
                <w:sz w:val="12"/>
                <w:szCs w:val="12"/>
                <w:color w:val="auto"/>
              </w:rPr>
            </w:pPr>
          </w:p>
        </w:tc>
        <w:tc>
          <w:tcPr>
            <w:tcW w:w="1200" w:type="dxa"/>
            <w:vAlign w:val="bottom"/>
          </w:tcPr>
          <w:p>
            <w:pPr>
              <w:jc w:val="right"/>
              <w:ind w:right="148"/>
              <w:spacing w:after="0" w:line="141" w:lineRule="exact"/>
              <w:rPr>
                <w:sz w:val="20"/>
                <w:szCs w:val="20"/>
                <w:color w:val="auto"/>
              </w:rPr>
            </w:pPr>
            <w:r>
              <w:rPr>
                <w:rFonts w:ascii="Arial" w:cs="Arial" w:eastAsia="Arial" w:hAnsi="Arial"/>
                <w:sz w:val="14"/>
                <w:szCs w:val="14"/>
                <w:color w:val="auto"/>
              </w:rPr>
              <w:t>64,200</w:t>
            </w:r>
          </w:p>
        </w:tc>
        <w:tc>
          <w:tcPr>
            <w:tcW w:w="1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color w:val="auto"/>
              </w:rPr>
              <w:t>93.51</w:t>
            </w:r>
          </w:p>
        </w:tc>
        <w:tc>
          <w:tcPr>
            <w:tcW w:w="100" w:type="dxa"/>
            <w:vAlign w:val="bottom"/>
          </w:tcPr>
          <w:p>
            <w:pPr>
              <w:spacing w:after="0"/>
              <w:rPr>
                <w:sz w:val="12"/>
                <w:szCs w:val="12"/>
                <w:color w:val="auto"/>
              </w:rPr>
            </w:pPr>
          </w:p>
        </w:tc>
        <w:tc>
          <w:tcPr>
            <w:tcW w:w="1200" w:type="dxa"/>
            <w:vAlign w:val="bottom"/>
          </w:tcPr>
          <w:p>
            <w:pPr>
              <w:jc w:val="right"/>
              <w:ind w:right="168"/>
              <w:spacing w:after="0" w:line="141" w:lineRule="exact"/>
              <w:rPr>
                <w:sz w:val="20"/>
                <w:szCs w:val="20"/>
                <w:color w:val="auto"/>
              </w:rPr>
            </w:pPr>
            <w:r>
              <w:rPr>
                <w:rFonts w:ascii="Arial" w:cs="Arial" w:eastAsia="Arial" w:hAnsi="Arial"/>
                <w:sz w:val="14"/>
                <w:szCs w:val="14"/>
                <w:color w:val="auto"/>
              </w:rPr>
              <w:t>60,033</w:t>
            </w:r>
          </w:p>
        </w:tc>
        <w:tc>
          <w:tcPr>
            <w:tcW w:w="100" w:type="dxa"/>
            <w:vAlign w:val="bottom"/>
          </w:tcPr>
          <w:p>
            <w:pPr>
              <w:spacing w:after="0"/>
              <w:rPr>
                <w:sz w:val="12"/>
                <w:szCs w:val="12"/>
                <w:color w:val="auto"/>
              </w:rPr>
            </w:pPr>
          </w:p>
        </w:tc>
        <w:tc>
          <w:tcPr>
            <w:tcW w:w="1160" w:type="dxa"/>
            <w:vAlign w:val="bottom"/>
          </w:tcPr>
          <w:p>
            <w:pPr>
              <w:jc w:val="right"/>
              <w:ind w:right="148"/>
              <w:spacing w:after="0" w:line="141" w:lineRule="exact"/>
              <w:rPr>
                <w:sz w:val="20"/>
                <w:szCs w:val="20"/>
                <w:color w:val="auto"/>
              </w:rPr>
            </w:pPr>
            <w:r>
              <w:rPr>
                <w:rFonts w:ascii="Arial" w:cs="Arial" w:eastAsia="Arial" w:hAnsi="Arial"/>
                <w:sz w:val="14"/>
                <w:szCs w:val="14"/>
                <w:color w:val="auto"/>
              </w:rPr>
              <w:t>14.02</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Arial" w:cs="Arial" w:eastAsia="Arial" w:hAnsi="Arial"/>
                <w:sz w:val="14"/>
                <w:szCs w:val="14"/>
                <w:color w:val="auto"/>
              </w:rPr>
              <w:t>EBIT</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Arial" w:cs="Arial" w:eastAsia="Arial" w:hAnsi="Arial"/>
                <w:sz w:val="14"/>
                <w:szCs w:val="14"/>
                <w:color w:val="auto"/>
              </w:rPr>
              <w:t>Services Segment Net</w:t>
            </w:r>
          </w:p>
        </w:tc>
        <w:tc>
          <w:tcPr>
            <w:tcW w:w="1340" w:type="dxa"/>
            <w:vAlign w:val="bottom"/>
            <w:gridSpan w:val="2"/>
          </w:tcPr>
          <w:p>
            <w:pPr>
              <w:jc w:val="right"/>
              <w:ind w:right="168"/>
              <w:spacing w:after="0"/>
              <w:rPr>
                <w:sz w:val="20"/>
                <w:szCs w:val="20"/>
                <w:color w:val="auto"/>
              </w:rPr>
            </w:pPr>
            <w:r>
              <w:rPr>
                <w:rFonts w:ascii="Arial" w:cs="Arial" w:eastAsia="Arial" w:hAnsi="Arial"/>
                <w:sz w:val="14"/>
                <w:szCs w:val="14"/>
                <w:color w:val="auto"/>
              </w:rPr>
              <w:t>25.00</w:t>
            </w:r>
          </w:p>
        </w:tc>
        <w:tc>
          <w:tcPr>
            <w:tcW w:w="80" w:type="dxa"/>
            <w:vAlign w:val="bottom"/>
          </w:tcPr>
          <w:p>
            <w:pPr>
              <w:spacing w:after="0"/>
              <w:rPr>
                <w:sz w:val="18"/>
                <w:szCs w:val="18"/>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15.00</w:t>
            </w:r>
          </w:p>
        </w:tc>
        <w:tc>
          <w:tcPr>
            <w:tcW w:w="8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64,200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Arial" w:cs="Arial" w:eastAsia="Arial" w:hAnsi="Arial"/>
                <w:sz w:val="14"/>
                <w:szCs w:val="14"/>
                <w:color w:val="auto"/>
              </w:rPr>
              <w:t>Sales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187.37</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120,292</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28.11</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Arial" w:cs="Arial" w:eastAsia="Arial" w:hAnsi="Arial"/>
                <w:sz w:val="14"/>
                <w:szCs w:val="14"/>
                <w:color w:val="auto"/>
              </w:rPr>
              <w:t>Services Segment</w:t>
            </w:r>
          </w:p>
        </w:tc>
        <w:tc>
          <w:tcPr>
            <w:tcW w:w="1340" w:type="dxa"/>
            <w:vAlign w:val="bottom"/>
            <w:gridSpan w:val="2"/>
          </w:tcPr>
          <w:p>
            <w:pPr>
              <w:jc w:val="right"/>
              <w:ind w:right="168"/>
              <w:spacing w:after="0"/>
              <w:rPr>
                <w:sz w:val="20"/>
                <w:szCs w:val="20"/>
                <w:color w:val="auto"/>
              </w:rPr>
            </w:pPr>
            <w:r>
              <w:rPr>
                <w:rFonts w:ascii="Arial" w:cs="Arial" w:eastAsia="Arial" w:hAnsi="Arial"/>
                <w:sz w:val="14"/>
                <w:szCs w:val="14"/>
                <w:color w:val="auto"/>
              </w:rPr>
              <w:t>50.00</w:t>
            </w:r>
          </w:p>
        </w:tc>
        <w:tc>
          <w:tcPr>
            <w:tcW w:w="80" w:type="dxa"/>
            <w:vAlign w:val="bottom"/>
          </w:tcPr>
          <w:p>
            <w:pPr>
              <w:spacing w:after="0"/>
              <w:rPr>
                <w:sz w:val="18"/>
                <w:szCs w:val="18"/>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128,400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Arial" w:cs="Arial" w:eastAsia="Arial" w:hAnsi="Arial"/>
                <w:sz w:val="14"/>
                <w:szCs w:val="14"/>
                <w:color w:val="auto"/>
              </w:rPr>
              <w:t>Adjusted EBIT</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200.00</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256,800</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22"/>
        </w:trPr>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7"/>
                <w:szCs w:val="17"/>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60.00</w:t>
            </w:r>
          </w:p>
        </w:tc>
        <w:tc>
          <w:tcPr>
            <w:tcW w:w="80" w:type="dxa"/>
            <w:vAlign w:val="bottom"/>
          </w:tcPr>
          <w:p>
            <w:pPr>
              <w:spacing w:after="0"/>
              <w:rPr>
                <w:sz w:val="17"/>
                <w:szCs w:val="17"/>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256,800</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170.22</w:t>
            </w:r>
          </w:p>
        </w:tc>
        <w:tc>
          <w:tcPr>
            <w:tcW w:w="100" w:type="dxa"/>
            <w:vAlign w:val="bottom"/>
          </w:tcPr>
          <w:p>
            <w:pPr>
              <w:spacing w:after="0"/>
              <w:rPr>
                <w:sz w:val="17"/>
                <w:szCs w:val="17"/>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437,125</w:t>
            </w:r>
          </w:p>
        </w:tc>
        <w:tc>
          <w:tcPr>
            <w:tcW w:w="100" w:type="dxa"/>
            <w:vAlign w:val="bottom"/>
          </w:tcPr>
          <w:p>
            <w:pPr>
              <w:spacing w:after="0"/>
              <w:rPr>
                <w:sz w:val="17"/>
                <w:szCs w:val="17"/>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102.13</w:t>
            </w:r>
          </w:p>
        </w:tc>
        <w:tc>
          <w:tcPr>
            <w:tcW w:w="0" w:type="dxa"/>
            <w:vAlign w:val="bottom"/>
          </w:tcPr>
          <w:p>
            <w:pPr>
              <w:spacing w:after="0"/>
              <w:rPr>
                <w:sz w:val="1"/>
                <w:szCs w:val="1"/>
                <w:color w:val="auto"/>
              </w:rPr>
            </w:pPr>
          </w:p>
        </w:tc>
      </w:tr>
      <w:tr>
        <w:trPr>
          <w:trHeight w:val="22"/>
        </w:trPr>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DBDBDB"/>
            </w:tcBorders>
          </w:tcPr>
          <w:p>
            <w:pPr>
              <w:spacing w:after="0" w:line="20" w:lineRule="exact"/>
              <w:rPr>
                <w:sz w:val="1"/>
                <w:szCs w:val="1"/>
                <w:color w:val="auto"/>
              </w:rPr>
            </w:pPr>
          </w:p>
        </w:tc>
        <w:tc>
          <w:tcPr>
            <w:tcW w:w="16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0" w:type="dxa"/>
            <w:vAlign w:val="bottom"/>
            <w:shd w:val="clear" w:color="auto" w:fill="DBDBDB"/>
          </w:tcPr>
          <w:p>
            <w:pPr>
              <w:spacing w:after="0"/>
              <w:rPr>
                <w:sz w:val="17"/>
                <w:szCs w:val="17"/>
                <w:color w:val="auto"/>
              </w:rPr>
            </w:pPr>
          </w:p>
        </w:tc>
        <w:tc>
          <w:tcPr>
            <w:tcW w:w="16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Consolidated Net Sales</w:t>
            </w:r>
          </w:p>
        </w:tc>
        <w:tc>
          <w:tcPr>
            <w:tcW w:w="1340" w:type="dxa"/>
            <w:vAlign w:val="bottom"/>
            <w:gridSpan w:val="2"/>
            <w:shd w:val="clear" w:color="auto" w:fill="DBDBDB"/>
          </w:tcPr>
          <w:p>
            <w:pPr>
              <w:jc w:val="right"/>
              <w:ind w:right="428"/>
              <w:spacing w:after="0"/>
              <w:rPr>
                <w:sz w:val="20"/>
                <w:szCs w:val="20"/>
                <w:color w:val="auto"/>
              </w:rPr>
            </w:pPr>
            <w:r>
              <w:rPr>
                <w:rFonts w:ascii="Arial" w:cs="Arial" w:eastAsia="Arial" w:hAnsi="Arial"/>
                <w:sz w:val="14"/>
                <w:szCs w:val="14"/>
                <w:color w:val="auto"/>
              </w:rPr>
              <w:t>25.00</w:t>
            </w:r>
          </w:p>
        </w:tc>
        <w:tc>
          <w:tcPr>
            <w:tcW w:w="8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428"/>
              <w:spacing w:after="0"/>
              <w:rPr>
                <w:sz w:val="20"/>
                <w:szCs w:val="20"/>
                <w:color w:val="auto"/>
              </w:rPr>
            </w:pPr>
            <w:r>
              <w:rPr>
                <w:rFonts w:ascii="Arial" w:cs="Arial" w:eastAsia="Arial" w:hAnsi="Arial"/>
                <w:sz w:val="14"/>
                <w:szCs w:val="14"/>
                <w:color w:val="auto"/>
              </w:rPr>
              <w:t>8.75</w:t>
            </w:r>
          </w:p>
        </w:tc>
        <w:tc>
          <w:tcPr>
            <w:tcW w:w="8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428"/>
              <w:spacing w:after="0"/>
              <w:rPr>
                <w:sz w:val="20"/>
                <w:szCs w:val="20"/>
                <w:color w:val="auto"/>
              </w:rPr>
            </w:pPr>
            <w:r>
              <w:rPr>
                <w:rFonts w:ascii="Arial" w:cs="Arial" w:eastAsia="Arial" w:hAnsi="Arial"/>
                <w:sz w:val="14"/>
                <w:szCs w:val="14"/>
                <w:color w:val="auto"/>
              </w:rPr>
              <w:t>35,875</w:t>
            </w:r>
          </w:p>
        </w:tc>
        <w:tc>
          <w:tcPr>
            <w:tcW w:w="100" w:type="dxa"/>
            <w:vAlign w:val="bottom"/>
            <w:shd w:val="clear" w:color="auto" w:fill="DBDBDB"/>
          </w:tcPr>
          <w:p>
            <w:pPr>
              <w:spacing w:after="0"/>
              <w:rPr>
                <w:sz w:val="17"/>
                <w:szCs w:val="17"/>
                <w:color w:val="auto"/>
              </w:rPr>
            </w:pP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35,875</w:t>
            </w:r>
          </w:p>
        </w:tc>
        <w:tc>
          <w:tcPr>
            <w:tcW w:w="10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64"/>
        </w:trPr>
        <w:tc>
          <w:tcPr>
            <w:tcW w:w="100" w:type="dxa"/>
            <w:vAlign w:val="bottom"/>
            <w:tcBorders>
              <w:bottom w:val="single" w:sz="8" w:color="DBDBDB"/>
            </w:tcBorders>
            <w:shd w:val="clear" w:color="auto" w:fill="DBDBDB"/>
          </w:tcPr>
          <w:p>
            <w:pPr>
              <w:spacing w:after="0"/>
              <w:rPr>
                <w:sz w:val="14"/>
                <w:szCs w:val="14"/>
                <w:color w:val="auto"/>
              </w:rPr>
            </w:pPr>
          </w:p>
        </w:tc>
        <w:tc>
          <w:tcPr>
            <w:tcW w:w="1620" w:type="dxa"/>
            <w:vAlign w:val="bottom"/>
            <w:tcBorders>
              <w:bottom w:val="single" w:sz="8" w:color="DBDBDB"/>
            </w:tcBorders>
            <w:vMerge w:val="continue"/>
            <w:shd w:val="clear" w:color="auto" w:fill="DBDBDB"/>
          </w:tcPr>
          <w:p>
            <w:pPr>
              <w:spacing w:after="0"/>
              <w:rPr>
                <w:sz w:val="14"/>
                <w:szCs w:val="14"/>
                <w:color w:val="auto"/>
              </w:rPr>
            </w:pPr>
          </w:p>
        </w:tc>
        <w:tc>
          <w:tcPr>
            <w:tcW w:w="140" w:type="dxa"/>
            <w:vAlign w:val="bottom"/>
            <w:tcBorders>
              <w:bottom w:val="single" w:sz="8" w:color="DBDBDB"/>
            </w:tcBorders>
            <w:shd w:val="clear" w:color="auto" w:fill="DBDBDB"/>
          </w:tcPr>
          <w:p>
            <w:pPr>
              <w:spacing w:after="0"/>
              <w:rPr>
                <w:sz w:val="14"/>
                <w:szCs w:val="14"/>
                <w:color w:val="auto"/>
              </w:rPr>
            </w:pPr>
          </w:p>
        </w:tc>
        <w:tc>
          <w:tcPr>
            <w:tcW w:w="1200" w:type="dxa"/>
            <w:vAlign w:val="bottom"/>
            <w:tcBorders>
              <w:bottom w:val="single" w:sz="8" w:color="DBDBDB"/>
            </w:tcBorders>
            <w:shd w:val="clear" w:color="auto" w:fill="DBDBDB"/>
          </w:tcPr>
          <w:p>
            <w:pPr>
              <w:spacing w:after="0"/>
              <w:rPr>
                <w:sz w:val="14"/>
                <w:szCs w:val="14"/>
                <w:color w:val="auto"/>
              </w:rPr>
            </w:pPr>
          </w:p>
        </w:tc>
        <w:tc>
          <w:tcPr>
            <w:tcW w:w="80" w:type="dxa"/>
            <w:vAlign w:val="bottom"/>
            <w:tcBorders>
              <w:bottom w:val="single" w:sz="8" w:color="DBDBDB"/>
            </w:tcBorders>
            <w:shd w:val="clear" w:color="auto" w:fill="DBDBDB"/>
          </w:tcPr>
          <w:p>
            <w:pPr>
              <w:spacing w:after="0"/>
              <w:rPr>
                <w:sz w:val="14"/>
                <w:szCs w:val="14"/>
                <w:color w:val="auto"/>
              </w:rPr>
            </w:pPr>
          </w:p>
        </w:tc>
        <w:tc>
          <w:tcPr>
            <w:tcW w:w="1200" w:type="dxa"/>
            <w:vAlign w:val="bottom"/>
            <w:tcBorders>
              <w:bottom w:val="single" w:sz="8" w:color="DBDBDB"/>
            </w:tcBorders>
            <w:shd w:val="clear" w:color="auto" w:fill="DBDBDB"/>
          </w:tcPr>
          <w:p>
            <w:pPr>
              <w:spacing w:after="0"/>
              <w:rPr>
                <w:sz w:val="14"/>
                <w:szCs w:val="14"/>
                <w:color w:val="auto"/>
              </w:rPr>
            </w:pPr>
          </w:p>
        </w:tc>
        <w:tc>
          <w:tcPr>
            <w:tcW w:w="80" w:type="dxa"/>
            <w:vAlign w:val="bottom"/>
            <w:tcBorders>
              <w:bottom w:val="single" w:sz="8" w:color="DBDBDB"/>
            </w:tcBorders>
            <w:shd w:val="clear" w:color="auto" w:fill="DBDBDB"/>
          </w:tcPr>
          <w:p>
            <w:pPr>
              <w:spacing w:after="0"/>
              <w:rPr>
                <w:sz w:val="14"/>
                <w:szCs w:val="14"/>
                <w:color w:val="auto"/>
              </w:rPr>
            </w:pPr>
          </w:p>
        </w:tc>
        <w:tc>
          <w:tcPr>
            <w:tcW w:w="120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20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16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162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Consolidated Adjusted</w:t>
            </w:r>
          </w:p>
        </w:tc>
        <w:tc>
          <w:tcPr>
            <w:tcW w:w="1340" w:type="dxa"/>
            <w:vAlign w:val="bottom"/>
            <w:gridSpan w:val="2"/>
            <w:shd w:val="clear" w:color="auto" w:fill="DBDBDB"/>
          </w:tcPr>
          <w:p>
            <w:pPr>
              <w:jc w:val="right"/>
              <w:ind w:right="428"/>
              <w:spacing w:after="0"/>
              <w:rPr>
                <w:sz w:val="20"/>
                <w:szCs w:val="20"/>
                <w:color w:val="auto"/>
              </w:rPr>
            </w:pPr>
            <w:r>
              <w:rPr>
                <w:rFonts w:ascii="Arial" w:cs="Arial" w:eastAsia="Arial" w:hAnsi="Arial"/>
                <w:sz w:val="14"/>
                <w:szCs w:val="14"/>
                <w:color w:val="auto"/>
              </w:rPr>
              <w:t>75.00</w:t>
            </w:r>
          </w:p>
        </w:tc>
        <w:tc>
          <w:tcPr>
            <w:tcW w:w="8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428"/>
              <w:spacing w:after="0"/>
              <w:rPr>
                <w:sz w:val="20"/>
                <w:szCs w:val="20"/>
                <w:color w:val="auto"/>
              </w:rPr>
            </w:pPr>
            <w:r>
              <w:rPr>
                <w:rFonts w:ascii="Arial" w:cs="Arial" w:eastAsia="Arial" w:hAnsi="Arial"/>
                <w:sz w:val="14"/>
                <w:szCs w:val="14"/>
                <w:color w:val="auto"/>
              </w:rPr>
              <w:t>26.25</w:t>
            </w:r>
          </w:p>
        </w:tc>
        <w:tc>
          <w:tcPr>
            <w:tcW w:w="8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428"/>
              <w:spacing w:after="0"/>
              <w:rPr>
                <w:sz w:val="20"/>
                <w:szCs w:val="20"/>
                <w:color w:val="auto"/>
              </w:rPr>
            </w:pPr>
            <w:r>
              <w:rPr>
                <w:rFonts w:ascii="Arial" w:cs="Arial" w:eastAsia="Arial" w:hAnsi="Arial"/>
                <w:sz w:val="14"/>
                <w:szCs w:val="14"/>
                <w:color w:val="auto"/>
              </w:rPr>
              <w:t>107,625</w:t>
            </w:r>
          </w:p>
        </w:tc>
        <w:tc>
          <w:tcPr>
            <w:tcW w:w="100" w:type="dxa"/>
            <w:vAlign w:val="bottom"/>
            <w:shd w:val="clear" w:color="auto" w:fill="DBDBDB"/>
          </w:tcPr>
          <w:p>
            <w:pPr>
              <w:spacing w:after="0"/>
              <w:rPr>
                <w:sz w:val="16"/>
                <w:szCs w:val="16"/>
                <w:color w:val="auto"/>
              </w:rPr>
            </w:pPr>
          </w:p>
        </w:tc>
        <w:tc>
          <w:tcPr>
            <w:tcW w:w="11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107,625</w:t>
            </w:r>
          </w:p>
        </w:tc>
        <w:tc>
          <w:tcPr>
            <w:tcW w:w="10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EBIT</w:t>
            </w:r>
          </w:p>
        </w:tc>
        <w:tc>
          <w:tcPr>
            <w:tcW w:w="14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16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DBDBDB"/>
              <w:bottom w:val="single" w:sz="8" w:color="DBDBDB"/>
            </w:tcBorders>
            <w:shd w:val="clear" w:color="auto" w:fill="DBDBDB"/>
          </w:tcPr>
          <w:p>
            <w:pPr>
              <w:spacing w:after="0"/>
              <w:rPr>
                <w:sz w:val="21"/>
                <w:szCs w:val="21"/>
                <w:color w:val="auto"/>
              </w:rPr>
            </w:pPr>
          </w:p>
        </w:tc>
        <w:tc>
          <w:tcPr>
            <w:tcW w:w="1200" w:type="dxa"/>
            <w:vAlign w:val="bottom"/>
            <w:tcBorders>
              <w:top w:val="single" w:sz="8" w:color="auto"/>
              <w:bottom w:val="single" w:sz="8" w:color="DBDBDB"/>
            </w:tcBorders>
            <w:shd w:val="clear" w:color="auto" w:fill="DBDBDB"/>
          </w:tcPr>
          <w:p>
            <w:pPr>
              <w:jc w:val="right"/>
              <w:ind w:right="588"/>
              <w:spacing w:after="0"/>
              <w:rPr>
                <w:sz w:val="20"/>
                <w:szCs w:val="20"/>
                <w:color w:val="auto"/>
              </w:rPr>
            </w:pPr>
            <w:r>
              <w:rPr>
                <w:rFonts w:ascii="Arial" w:cs="Arial" w:eastAsia="Arial" w:hAnsi="Arial"/>
                <w:sz w:val="14"/>
                <w:szCs w:val="14"/>
                <w:color w:val="auto"/>
              </w:rPr>
              <w:t>100.00</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200" w:type="dxa"/>
            <w:vAlign w:val="bottom"/>
            <w:tcBorders>
              <w:top w:val="single" w:sz="8" w:color="auto"/>
              <w:bottom w:val="single" w:sz="8" w:color="DBDBDB"/>
            </w:tcBorders>
            <w:shd w:val="clear" w:color="auto" w:fill="DBDBDB"/>
          </w:tcPr>
          <w:p>
            <w:pPr>
              <w:jc w:val="right"/>
              <w:ind w:right="668"/>
              <w:spacing w:after="0"/>
              <w:rPr>
                <w:sz w:val="20"/>
                <w:szCs w:val="20"/>
                <w:color w:val="auto"/>
              </w:rPr>
            </w:pPr>
            <w:r>
              <w:rPr>
                <w:rFonts w:ascii="Arial" w:cs="Arial" w:eastAsia="Arial" w:hAnsi="Arial"/>
                <w:sz w:val="14"/>
                <w:szCs w:val="14"/>
                <w:color w:val="auto"/>
              </w:rPr>
              <w:t>35.00</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200" w:type="dxa"/>
            <w:vAlign w:val="bottom"/>
            <w:tcBorders>
              <w:top w:val="single" w:sz="8" w:color="auto"/>
              <w:bottom w:val="single" w:sz="8" w:color="DBDBDB"/>
            </w:tcBorders>
            <w:shd w:val="clear" w:color="auto" w:fill="DBDBDB"/>
          </w:tcPr>
          <w:p>
            <w:pPr>
              <w:jc w:val="right"/>
              <w:ind w:right="428"/>
              <w:spacing w:after="0"/>
              <w:rPr>
                <w:sz w:val="20"/>
                <w:szCs w:val="20"/>
                <w:color w:val="auto"/>
              </w:rPr>
            </w:pPr>
            <w:r>
              <w:rPr>
                <w:rFonts w:ascii="Arial" w:cs="Arial" w:eastAsia="Arial" w:hAnsi="Arial"/>
                <w:sz w:val="14"/>
                <w:szCs w:val="14"/>
                <w:color w:val="auto"/>
              </w:rPr>
              <w:t>143,500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12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200" w:type="dxa"/>
            <w:vAlign w:val="bottom"/>
            <w:tcBorders>
              <w:top w:val="single" w:sz="8" w:color="auto"/>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143,500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160" w:type="dxa"/>
            <w:vAlign w:val="bottom"/>
            <w:tcBorders>
              <w:top w:val="single" w:sz="8" w:color="auto"/>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35.00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0" w:space="720"/>
            <w:col w:w="9760"/>
          </w:cols>
          <w:pgMar w:left="320" w:top="1147" w:right="3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97" w:lineRule="exact"/>
        <w:rPr>
          <w:sz w:val="20"/>
          <w:szCs w:val="20"/>
          <w:color w:val="auto"/>
        </w:rPr>
      </w:pPr>
    </w:p>
    <w:p>
      <w:pPr>
        <w:ind w:left="500" w:hanging="492"/>
        <w:spacing w:after="0" w:line="287" w:lineRule="auto"/>
        <w:tabs>
          <w:tab w:leader="none" w:pos="4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Ms. Trende's actual payout is prorated based on her partial year of service, beginning on July 29, 2024. Her Offer Letter provided Ms. Trende with a guaranteed fiscal 2025 annual cash incentive paid out at 100% of target.</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Consolidated and Segment Adjusted EBIT are non-GAAP financial measures which are further defined on page </w:t>
      </w:r>
      <w:r>
        <w:rPr>
          <w:rFonts w:ascii="Arial" w:cs="Arial" w:eastAsia="Arial" w:hAnsi="Arial"/>
          <w:sz w:val="18"/>
          <w:szCs w:val="18"/>
          <w:u w:val="single" w:color="auto"/>
          <w:color w:val="0000FF"/>
        </w:rPr>
        <w:t>35</w:t>
      </w:r>
      <w:r>
        <w:rPr>
          <w:rFonts w:ascii="Arial" w:cs="Arial" w:eastAsia="Arial" w:hAnsi="Arial"/>
          <w:sz w:val="18"/>
          <w:szCs w:val="18"/>
          <w:color w:val="auto"/>
        </w:rPr>
        <w:t>, and reconciled to GAAP net earnings in Appendix A to this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Segment net sales is defined as net sales for a certain segment and includes revenue related to intersegment transactions.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u w:val="single" w:color="auto"/>
          <w:color w:val="auto"/>
        </w:rPr>
        <w:t>Long-Term Incentive Compensation</w:t>
      </w:r>
      <w:r>
        <w:rPr>
          <w:rFonts w:ascii="Arial" w:cs="Arial" w:eastAsia="Arial" w:hAnsi="Arial"/>
          <w:sz w:val="18"/>
          <w:szCs w:val="18"/>
          <w:color w:val="auto"/>
        </w:rPr>
        <w:t>. Our long-term incentive program is designed to align the interests of executives with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and to focus executives on the achievement of long-term sustained performance, entrepreneurship, and delivery of quality products and services, while creating appropriate retention incentives through the use of multi-year vesting schedules.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fiscal 2025, our long-term incentive program for our Named Executive Officers (other than Mr. Silberhorn) was comprised of 50% time-based restricted stock awards and 50% performance awards with a three-year performance period, each described in more detail below. Mr. Silberhorn’s long-term incentive award in fiscal 2025 consisted of 40% time-based restricted stock and 60% as a performance award.</w:t>
      </w:r>
    </w:p>
    <w:p>
      <w:pPr>
        <w:sectPr>
          <w:pgSz w:w="11900" w:h="16838" w:orient="portrait"/>
          <w:cols w:equalWidth="0" w:num="1">
            <w:col w:w="11240"/>
          </w:cols>
          <w:pgMar w:left="320" w:top="114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0" w:name="page51"/>
    <w:bookmarkEnd w:id="50"/>
    <w:p>
      <w:pPr>
        <w:jc w:val="both"/>
        <w:spacing w:after="0" w:line="287" w:lineRule="auto"/>
        <w:rPr>
          <w:sz w:val="20"/>
          <w:szCs w:val="20"/>
          <w:color w:val="auto"/>
        </w:rPr>
      </w:pPr>
      <w:r>
        <w:rPr>
          <w:rFonts w:ascii="Arial" w:cs="Arial" w:eastAsia="Arial" w:hAnsi="Arial"/>
          <w:sz w:val="18"/>
          <w:szCs w:val="18"/>
          <w:color w:val="auto"/>
        </w:rPr>
        <w:t>Dividends or other distributions (whether cash, stock or otherwise) with respect to the awards will accrue during the three-year vesting or other performance period and will be paid only on the shares earned at the end of the period when shares are issued.</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u w:val="single" w:color="auto"/>
          <w:color w:val="auto"/>
        </w:rPr>
        <w:t>Restricted Stock Awards</w:t>
      </w:r>
      <w:r>
        <w:rPr>
          <w:rFonts w:ascii="Arial" w:cs="Arial" w:eastAsia="Arial" w:hAnsi="Arial"/>
          <w:sz w:val="18"/>
          <w:szCs w:val="18"/>
          <w:color w:val="auto"/>
        </w:rPr>
        <w:t>. Each year, the Committee approves a time-based restricted stock award for each executive with a preliminary</w:t>
      </w:r>
      <w:r>
        <w:rPr>
          <w:rFonts w:ascii="Arial" w:cs="Arial" w:eastAsia="Arial" w:hAnsi="Arial"/>
          <w:sz w:val="18"/>
          <w:szCs w:val="18"/>
          <w:i w:val="1"/>
          <w:iCs w:val="1"/>
          <w:color w:val="auto"/>
        </w:rPr>
        <w:t xml:space="preserve"> </w:t>
      </w:r>
      <w:r>
        <w:rPr>
          <w:rFonts w:ascii="Arial" w:cs="Arial" w:eastAsia="Arial" w:hAnsi="Arial"/>
          <w:sz w:val="18"/>
          <w:szCs w:val="18"/>
          <w:color w:val="auto"/>
        </w:rPr>
        <w:t>target fixed dollar value based on a percentage of base salary, after reviewing long-term incentives for comparable roles at peer companies, and based on data provided by the independent compensation consultant. For our Chief Executive Officer, the Committee determines the award’s value after considering the results of our Chief Executive Officer’s most recent annual performance evaluation. For our Other Named Executive Officers, our Chief Executive Officer recommends to the Committee increases or decreases in the award’s value based on the executive’s contributions to the Company’s performance, future leadership potential, and subjective evaluation of their individual performance for the just completed fiscal year.</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stock awards are granted under the 2019 Stock Incentive Plan, and they generally vest in three equal annual installments commencing on April 30 of the year following the date of the award. Upon issuance of the restricted stock, each holder is entitled to the rights of a shareholder, including the right to vote the shares of restricted stock. Restricted stock awards issued pursuant to the 2019 Stock Incentive Plan accrue dividends and other distributions during the vesting period, which will be paid only if the restricted stock vests. The following table summarizes the restricted stock awards granted to each of the Named Executive Officers in fiscal 2025.</w:t>
      </w:r>
    </w:p>
    <w:p>
      <w:pPr>
        <w:spacing w:after="0" w:line="233"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Fiscal 2025 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34925</wp:posOffset>
            </wp:positionV>
            <wp:extent cx="6540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5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rPr>
              <w:t>Percentage of</w:t>
            </w:r>
          </w:p>
        </w:tc>
        <w:tc>
          <w:tcPr>
            <w:tcW w:w="208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Restricted Stock</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7"/>
              </w:rPr>
              <w:t>Value of</w:t>
            </w:r>
          </w:p>
        </w:tc>
        <w:tc>
          <w:tcPr>
            <w:tcW w:w="1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Fiscal 2025</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05445E"/>
                <w:w w:val="99"/>
              </w:rPr>
              <w:t>Grant</w:t>
            </w:r>
          </w:p>
        </w:tc>
      </w:tr>
      <w:tr>
        <w:trPr>
          <w:trHeight w:val="212"/>
        </w:trPr>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Awarded</w:t>
            </w:r>
          </w:p>
        </w:tc>
        <w:tc>
          <w:tcPr>
            <w:tcW w:w="1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8"/>
              </w:rPr>
              <w:t>Award</w:t>
            </w:r>
          </w:p>
        </w:tc>
        <w:tc>
          <w:tcPr>
            <w:tcW w:w="1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05445E"/>
                <w:w w:val="99"/>
              </w:rPr>
              <w:t>Salary</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05445E"/>
                <w:w w:val="99"/>
              </w:rPr>
              <w:t>Price</w:t>
            </w:r>
          </w:p>
        </w:tc>
      </w:tr>
      <w:tr>
        <w:trPr>
          <w:trHeight w:val="266"/>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5445E"/>
              </w:rPr>
              <w:t>Name</w:t>
            </w:r>
          </w:p>
        </w:tc>
        <w:tc>
          <w:tcPr>
            <w:tcW w:w="80" w:type="dxa"/>
            <w:vAlign w:val="bottom"/>
            <w:tcBorders>
              <w:bottom w:val="single" w:sz="8" w:color="D9D9D9"/>
            </w:tcBorders>
          </w:tcPr>
          <w:p>
            <w:pPr>
              <w:spacing w:after="0"/>
              <w:rPr>
                <w:sz w:val="23"/>
                <w:szCs w:val="2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100" w:type="dxa"/>
            <w:vAlign w:val="bottom"/>
            <w:tcBorders>
              <w:bottom w:val="single" w:sz="8" w:color="D9D9D9"/>
            </w:tcBorders>
          </w:tcPr>
          <w:p>
            <w:pPr>
              <w:spacing w:after="0"/>
              <w:rPr>
                <w:sz w:val="23"/>
                <w:szCs w:val="2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88"/>
              </w:rPr>
              <w:t>($)</w:t>
            </w:r>
            <w:r>
              <w:rPr>
                <w:rFonts w:ascii="Arial" w:cs="Arial" w:eastAsia="Arial" w:hAnsi="Arial"/>
                <w:sz w:val="23"/>
                <w:szCs w:val="23"/>
                <w:b w:val="1"/>
                <w:bCs w:val="1"/>
                <w:color w:val="05445E"/>
                <w:w w:val="88"/>
                <w:vertAlign w:val="superscript"/>
              </w:rPr>
              <w:t>(1)</w:t>
            </w:r>
          </w:p>
        </w:tc>
        <w:tc>
          <w:tcPr>
            <w:tcW w:w="80" w:type="dxa"/>
            <w:vAlign w:val="bottom"/>
            <w:tcBorders>
              <w:bottom w:val="single" w:sz="8" w:color="D9D9D9"/>
            </w:tcBorders>
          </w:tcPr>
          <w:p>
            <w:pPr>
              <w:spacing w:after="0"/>
              <w:rPr>
                <w:sz w:val="23"/>
                <w:szCs w:val="2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80" w:type="dxa"/>
            <w:vAlign w:val="bottom"/>
            <w:tcBorders>
              <w:bottom w:val="single" w:sz="8" w:color="D9D9D9"/>
            </w:tcBorders>
          </w:tcPr>
          <w:p>
            <w:pPr>
              <w:spacing w:after="0"/>
              <w:rPr>
                <w:sz w:val="23"/>
                <w:szCs w:val="23"/>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88"/>
              </w:rPr>
              <w:t>($)</w:t>
            </w:r>
            <w:r>
              <w:rPr>
                <w:rFonts w:ascii="Arial" w:cs="Arial" w:eastAsia="Arial" w:hAnsi="Arial"/>
                <w:sz w:val="23"/>
                <w:szCs w:val="23"/>
                <w:b w:val="1"/>
                <w:bCs w:val="1"/>
                <w:color w:val="05445E"/>
                <w:w w:val="88"/>
                <w:vertAlign w:val="superscript"/>
              </w:rPr>
              <w:t>(2)</w:t>
            </w:r>
          </w:p>
        </w:tc>
      </w:tr>
      <w:tr>
        <w:trPr>
          <w:trHeight w:val="243"/>
        </w:trPr>
        <w:tc>
          <w:tcPr>
            <w:tcW w:w="248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Ty R. Silberhorn</w:t>
            </w:r>
          </w:p>
        </w:tc>
        <w:tc>
          <w:tcPr>
            <w:tcW w:w="1820" w:type="dxa"/>
            <w:vAlign w:val="bottom"/>
            <w:tcBorders>
              <w:bottom w:val="single" w:sz="8" w:color="D9D9D9"/>
            </w:tcBorders>
            <w:shd w:val="clear" w:color="auto" w:fill="D9D9D9"/>
          </w:tcPr>
          <w:p>
            <w:pPr>
              <w:jc w:val="right"/>
              <w:ind w:right="370"/>
              <w:spacing w:after="0"/>
              <w:rPr>
                <w:sz w:val="20"/>
                <w:szCs w:val="20"/>
                <w:color w:val="auto"/>
              </w:rPr>
            </w:pPr>
            <w:r>
              <w:rPr>
                <w:rFonts w:ascii="Arial" w:cs="Arial" w:eastAsia="Arial" w:hAnsi="Arial"/>
                <w:sz w:val="18"/>
                <w:szCs w:val="18"/>
                <w:color w:val="auto"/>
              </w:rPr>
              <w:t>19,376</w:t>
            </w:r>
          </w:p>
        </w:tc>
        <w:tc>
          <w:tcPr>
            <w:tcW w:w="100" w:type="dxa"/>
            <w:vAlign w:val="bottom"/>
            <w:tcBorders>
              <w:bottom w:val="single" w:sz="8" w:color="D9D9D9"/>
            </w:tcBorders>
            <w:shd w:val="clear" w:color="auto" w:fill="D9D9D9"/>
          </w:tcPr>
          <w:p>
            <w:pPr>
              <w:spacing w:after="0"/>
              <w:rPr>
                <w:sz w:val="21"/>
                <w:szCs w:val="21"/>
                <w:color w:val="auto"/>
              </w:rPr>
            </w:pPr>
          </w:p>
        </w:tc>
        <w:tc>
          <w:tcPr>
            <w:tcW w:w="1820" w:type="dxa"/>
            <w:vAlign w:val="bottom"/>
            <w:tcBorders>
              <w:bottom w:val="single" w:sz="8" w:color="D9D9D9"/>
            </w:tcBorders>
            <w:shd w:val="clear" w:color="auto" w:fill="D9D9D9"/>
          </w:tcPr>
          <w:p>
            <w:pPr>
              <w:jc w:val="right"/>
              <w:ind w:right="250"/>
              <w:spacing w:after="0"/>
              <w:rPr>
                <w:sz w:val="20"/>
                <w:szCs w:val="20"/>
                <w:color w:val="auto"/>
              </w:rPr>
            </w:pPr>
            <w:r>
              <w:rPr>
                <w:rFonts w:ascii="Arial" w:cs="Arial" w:eastAsia="Arial" w:hAnsi="Arial"/>
                <w:sz w:val="18"/>
                <w:szCs w:val="18"/>
                <w:color w:val="auto"/>
              </w:rPr>
              <w:t>1,211,581</w:t>
            </w:r>
          </w:p>
        </w:tc>
        <w:tc>
          <w:tcPr>
            <w:tcW w:w="80" w:type="dxa"/>
            <w:vAlign w:val="bottom"/>
            <w:tcBorders>
              <w:bottom w:val="single" w:sz="8" w:color="D9D9D9"/>
            </w:tcBorders>
            <w:shd w:val="clear" w:color="auto" w:fill="D9D9D9"/>
          </w:tcPr>
          <w:p>
            <w:pPr>
              <w:spacing w:after="0"/>
              <w:rPr>
                <w:sz w:val="21"/>
                <w:szCs w:val="21"/>
                <w:color w:val="auto"/>
              </w:rPr>
            </w:pPr>
          </w:p>
        </w:tc>
        <w:tc>
          <w:tcPr>
            <w:tcW w:w="1840" w:type="dxa"/>
            <w:vAlign w:val="bottom"/>
            <w:tcBorders>
              <w:bottom w:val="single" w:sz="8" w:color="D9D9D9"/>
            </w:tcBorders>
            <w:shd w:val="clear" w:color="auto" w:fill="D9D9D9"/>
          </w:tcPr>
          <w:p>
            <w:pPr>
              <w:jc w:val="right"/>
              <w:ind w:right="370"/>
              <w:spacing w:after="0"/>
              <w:rPr>
                <w:sz w:val="20"/>
                <w:szCs w:val="20"/>
                <w:color w:val="auto"/>
              </w:rPr>
            </w:pPr>
            <w:r>
              <w:rPr>
                <w:rFonts w:ascii="Arial" w:cs="Arial" w:eastAsia="Arial" w:hAnsi="Arial"/>
                <w:sz w:val="18"/>
                <w:szCs w:val="18"/>
                <w:color w:val="auto"/>
              </w:rPr>
              <w:t>130.00</w:t>
            </w:r>
          </w:p>
        </w:tc>
        <w:tc>
          <w:tcPr>
            <w:tcW w:w="80" w:type="dxa"/>
            <w:vAlign w:val="bottom"/>
            <w:tcBorders>
              <w:bottom w:val="single" w:sz="8" w:color="D9D9D9"/>
            </w:tcBorders>
            <w:shd w:val="clear" w:color="auto" w:fill="D9D9D9"/>
          </w:tcPr>
          <w:p>
            <w:pPr>
              <w:spacing w:after="0"/>
              <w:rPr>
                <w:sz w:val="21"/>
                <w:szCs w:val="21"/>
                <w:color w:val="auto"/>
              </w:rPr>
            </w:pPr>
          </w:p>
        </w:tc>
        <w:tc>
          <w:tcPr>
            <w:tcW w:w="2080" w:type="dxa"/>
            <w:vAlign w:val="bottom"/>
            <w:tcBorders>
              <w:bottom w:val="single" w:sz="8" w:color="D9D9D9"/>
            </w:tcBorders>
            <w:shd w:val="clear" w:color="auto" w:fill="D9D9D9"/>
          </w:tcPr>
          <w:p>
            <w:pPr>
              <w:jc w:val="right"/>
              <w:ind w:right="590"/>
              <w:spacing w:after="0"/>
              <w:rPr>
                <w:sz w:val="20"/>
                <w:szCs w:val="20"/>
                <w:color w:val="auto"/>
              </w:rPr>
            </w:pPr>
            <w:r>
              <w:rPr>
                <w:rFonts w:ascii="Arial" w:cs="Arial" w:eastAsia="Arial" w:hAnsi="Arial"/>
                <w:sz w:val="18"/>
                <w:szCs w:val="18"/>
                <w:color w:val="auto"/>
              </w:rPr>
              <w:t>62.53</w:t>
            </w:r>
          </w:p>
        </w:tc>
      </w:tr>
      <w:tr>
        <w:trPr>
          <w:trHeight w:val="247"/>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Matthew J. Osberg</w:t>
            </w:r>
          </w:p>
        </w:tc>
        <w:tc>
          <w:tcPr>
            <w:tcW w:w="1820" w:type="dxa"/>
            <w:vAlign w:val="bottom"/>
          </w:tcPr>
          <w:p>
            <w:pPr>
              <w:jc w:val="right"/>
              <w:ind w:right="370"/>
              <w:spacing w:after="0"/>
              <w:rPr>
                <w:sz w:val="20"/>
                <w:szCs w:val="20"/>
                <w:color w:val="auto"/>
              </w:rPr>
            </w:pPr>
            <w:r>
              <w:rPr>
                <w:rFonts w:ascii="Arial" w:cs="Arial" w:eastAsia="Arial" w:hAnsi="Arial"/>
                <w:sz w:val="18"/>
                <w:szCs w:val="18"/>
                <w:color w:val="auto"/>
              </w:rPr>
              <w:t>7,748</w:t>
            </w:r>
          </w:p>
        </w:tc>
        <w:tc>
          <w:tcPr>
            <w:tcW w:w="100" w:type="dxa"/>
            <w:vAlign w:val="bottom"/>
          </w:tcPr>
          <w:p>
            <w:pPr>
              <w:spacing w:after="0"/>
              <w:rPr>
                <w:sz w:val="21"/>
                <w:szCs w:val="21"/>
                <w:color w:val="auto"/>
              </w:rPr>
            </w:pPr>
          </w:p>
        </w:tc>
        <w:tc>
          <w:tcPr>
            <w:tcW w:w="1820" w:type="dxa"/>
            <w:vAlign w:val="bottom"/>
          </w:tcPr>
          <w:p>
            <w:pPr>
              <w:jc w:val="right"/>
              <w:ind w:right="250"/>
              <w:spacing w:after="0"/>
              <w:rPr>
                <w:sz w:val="20"/>
                <w:szCs w:val="20"/>
                <w:color w:val="auto"/>
              </w:rPr>
            </w:pPr>
            <w:r>
              <w:rPr>
                <w:rFonts w:ascii="Arial" w:cs="Arial" w:eastAsia="Arial" w:hAnsi="Arial"/>
                <w:sz w:val="18"/>
                <w:szCs w:val="18"/>
                <w:color w:val="auto"/>
              </w:rPr>
              <w:t>484,483</w:t>
            </w:r>
          </w:p>
        </w:tc>
        <w:tc>
          <w:tcPr>
            <w:tcW w:w="80" w:type="dxa"/>
            <w:vAlign w:val="bottom"/>
          </w:tcPr>
          <w:p>
            <w:pPr>
              <w:spacing w:after="0"/>
              <w:rPr>
                <w:sz w:val="21"/>
                <w:szCs w:val="21"/>
                <w:color w:val="auto"/>
              </w:rPr>
            </w:pPr>
          </w:p>
        </w:tc>
        <w:tc>
          <w:tcPr>
            <w:tcW w:w="1840" w:type="dxa"/>
            <w:vAlign w:val="bottom"/>
          </w:tcPr>
          <w:p>
            <w:pPr>
              <w:jc w:val="right"/>
              <w:ind w:right="370"/>
              <w:spacing w:after="0"/>
              <w:rPr>
                <w:sz w:val="20"/>
                <w:szCs w:val="20"/>
                <w:color w:val="auto"/>
              </w:rPr>
            </w:pPr>
            <w:r>
              <w:rPr>
                <w:rFonts w:ascii="Arial" w:cs="Arial" w:eastAsia="Arial" w:hAnsi="Arial"/>
                <w:sz w:val="18"/>
                <w:szCs w:val="18"/>
                <w:color w:val="auto"/>
              </w:rPr>
              <w:t>75.00</w:t>
            </w:r>
          </w:p>
        </w:tc>
        <w:tc>
          <w:tcPr>
            <w:tcW w:w="80" w:type="dxa"/>
            <w:vAlign w:val="bottom"/>
          </w:tcPr>
          <w:p>
            <w:pPr>
              <w:spacing w:after="0"/>
              <w:rPr>
                <w:sz w:val="21"/>
                <w:szCs w:val="21"/>
                <w:color w:val="auto"/>
              </w:rPr>
            </w:pPr>
          </w:p>
        </w:tc>
        <w:tc>
          <w:tcPr>
            <w:tcW w:w="2080" w:type="dxa"/>
            <w:vAlign w:val="bottom"/>
          </w:tcPr>
          <w:p>
            <w:pPr>
              <w:jc w:val="right"/>
              <w:ind w:right="590"/>
              <w:spacing w:after="0"/>
              <w:rPr>
                <w:sz w:val="20"/>
                <w:szCs w:val="20"/>
                <w:color w:val="auto"/>
              </w:rPr>
            </w:pPr>
            <w:r>
              <w:rPr>
                <w:rFonts w:ascii="Arial" w:cs="Arial" w:eastAsia="Arial" w:hAnsi="Arial"/>
                <w:sz w:val="18"/>
                <w:szCs w:val="18"/>
                <w:color w:val="auto"/>
              </w:rPr>
              <w:t>62.53</w:t>
            </w:r>
          </w:p>
        </w:tc>
      </w:tr>
      <w:tr>
        <w:trPr>
          <w:trHeight w:val="23"/>
        </w:trPr>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248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Brent C. Jewell</w:t>
            </w:r>
          </w:p>
        </w:tc>
        <w:tc>
          <w:tcPr>
            <w:tcW w:w="1820" w:type="dxa"/>
            <w:vAlign w:val="bottom"/>
            <w:tcBorders>
              <w:bottom w:val="single" w:sz="8" w:color="D9D9D9"/>
            </w:tcBorders>
            <w:shd w:val="clear" w:color="auto" w:fill="D9D9D9"/>
          </w:tcPr>
          <w:p>
            <w:pPr>
              <w:jc w:val="right"/>
              <w:ind w:right="370"/>
              <w:spacing w:after="0"/>
              <w:rPr>
                <w:sz w:val="20"/>
                <w:szCs w:val="20"/>
                <w:color w:val="auto"/>
              </w:rPr>
            </w:pPr>
            <w:r>
              <w:rPr>
                <w:rFonts w:ascii="Arial" w:cs="Arial" w:eastAsia="Arial" w:hAnsi="Arial"/>
                <w:sz w:val="18"/>
                <w:szCs w:val="18"/>
                <w:color w:val="auto"/>
              </w:rPr>
              <w:t>4,366</w:t>
            </w:r>
          </w:p>
        </w:tc>
        <w:tc>
          <w:tcPr>
            <w:tcW w:w="100" w:type="dxa"/>
            <w:vAlign w:val="bottom"/>
            <w:tcBorders>
              <w:bottom w:val="single" w:sz="8" w:color="D9D9D9"/>
            </w:tcBorders>
            <w:shd w:val="clear" w:color="auto" w:fill="D9D9D9"/>
          </w:tcPr>
          <w:p>
            <w:pPr>
              <w:spacing w:after="0"/>
              <w:rPr>
                <w:sz w:val="21"/>
                <w:szCs w:val="21"/>
                <w:color w:val="auto"/>
              </w:rPr>
            </w:pPr>
          </w:p>
        </w:tc>
        <w:tc>
          <w:tcPr>
            <w:tcW w:w="1820" w:type="dxa"/>
            <w:vAlign w:val="bottom"/>
            <w:tcBorders>
              <w:bottom w:val="single" w:sz="8" w:color="D9D9D9"/>
            </w:tcBorders>
            <w:shd w:val="clear" w:color="auto" w:fill="D9D9D9"/>
          </w:tcPr>
          <w:p>
            <w:pPr>
              <w:jc w:val="right"/>
              <w:ind w:right="250"/>
              <w:spacing w:after="0"/>
              <w:rPr>
                <w:sz w:val="20"/>
                <w:szCs w:val="20"/>
                <w:color w:val="auto"/>
              </w:rPr>
            </w:pPr>
            <w:r>
              <w:rPr>
                <w:rFonts w:ascii="Arial" w:cs="Arial" w:eastAsia="Arial" w:hAnsi="Arial"/>
                <w:sz w:val="18"/>
                <w:szCs w:val="18"/>
                <w:color w:val="auto"/>
              </w:rPr>
              <w:t>273,006</w:t>
            </w:r>
          </w:p>
        </w:tc>
        <w:tc>
          <w:tcPr>
            <w:tcW w:w="80" w:type="dxa"/>
            <w:vAlign w:val="bottom"/>
            <w:tcBorders>
              <w:bottom w:val="single" w:sz="8" w:color="D9D9D9"/>
            </w:tcBorders>
            <w:shd w:val="clear" w:color="auto" w:fill="D9D9D9"/>
          </w:tcPr>
          <w:p>
            <w:pPr>
              <w:spacing w:after="0"/>
              <w:rPr>
                <w:sz w:val="21"/>
                <w:szCs w:val="21"/>
                <w:color w:val="auto"/>
              </w:rPr>
            </w:pPr>
          </w:p>
        </w:tc>
        <w:tc>
          <w:tcPr>
            <w:tcW w:w="1840" w:type="dxa"/>
            <w:vAlign w:val="bottom"/>
            <w:tcBorders>
              <w:bottom w:val="single" w:sz="8" w:color="D9D9D9"/>
            </w:tcBorders>
            <w:shd w:val="clear" w:color="auto" w:fill="D9D9D9"/>
          </w:tcPr>
          <w:p>
            <w:pPr>
              <w:jc w:val="right"/>
              <w:ind w:right="370"/>
              <w:spacing w:after="0"/>
              <w:rPr>
                <w:sz w:val="20"/>
                <w:szCs w:val="20"/>
                <w:color w:val="auto"/>
              </w:rPr>
            </w:pPr>
            <w:r>
              <w:rPr>
                <w:rFonts w:ascii="Arial" w:cs="Arial" w:eastAsia="Arial" w:hAnsi="Arial"/>
                <w:sz w:val="18"/>
                <w:szCs w:val="18"/>
                <w:color w:val="auto"/>
              </w:rPr>
              <w:t>60.00</w:t>
            </w:r>
          </w:p>
        </w:tc>
        <w:tc>
          <w:tcPr>
            <w:tcW w:w="80" w:type="dxa"/>
            <w:vAlign w:val="bottom"/>
            <w:tcBorders>
              <w:bottom w:val="single" w:sz="8" w:color="D9D9D9"/>
            </w:tcBorders>
            <w:shd w:val="clear" w:color="auto" w:fill="D9D9D9"/>
          </w:tcPr>
          <w:p>
            <w:pPr>
              <w:spacing w:after="0"/>
              <w:rPr>
                <w:sz w:val="21"/>
                <w:szCs w:val="21"/>
                <w:color w:val="auto"/>
              </w:rPr>
            </w:pPr>
          </w:p>
        </w:tc>
        <w:tc>
          <w:tcPr>
            <w:tcW w:w="2080" w:type="dxa"/>
            <w:vAlign w:val="bottom"/>
            <w:tcBorders>
              <w:bottom w:val="single" w:sz="8" w:color="D9D9D9"/>
            </w:tcBorders>
            <w:shd w:val="clear" w:color="auto" w:fill="D9D9D9"/>
          </w:tcPr>
          <w:p>
            <w:pPr>
              <w:jc w:val="right"/>
              <w:ind w:right="590"/>
              <w:spacing w:after="0"/>
              <w:rPr>
                <w:sz w:val="20"/>
                <w:szCs w:val="20"/>
                <w:color w:val="auto"/>
              </w:rPr>
            </w:pPr>
            <w:r>
              <w:rPr>
                <w:rFonts w:ascii="Arial" w:cs="Arial" w:eastAsia="Arial" w:hAnsi="Arial"/>
                <w:sz w:val="18"/>
                <w:szCs w:val="18"/>
                <w:color w:val="auto"/>
              </w:rPr>
              <w:t>62.53</w:t>
            </w:r>
          </w:p>
        </w:tc>
      </w:tr>
      <w:tr>
        <w:trPr>
          <w:trHeight w:val="247"/>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Troy R. Johnson</w:t>
            </w:r>
          </w:p>
        </w:tc>
        <w:tc>
          <w:tcPr>
            <w:tcW w:w="1820" w:type="dxa"/>
            <w:vAlign w:val="bottom"/>
          </w:tcPr>
          <w:p>
            <w:pPr>
              <w:jc w:val="right"/>
              <w:ind w:right="370"/>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21"/>
                <w:szCs w:val="21"/>
                <w:color w:val="auto"/>
              </w:rPr>
            </w:pPr>
          </w:p>
        </w:tc>
        <w:tc>
          <w:tcPr>
            <w:tcW w:w="1820" w:type="dxa"/>
            <w:vAlign w:val="bottom"/>
          </w:tcPr>
          <w:p>
            <w:pPr>
              <w:jc w:val="right"/>
              <w:ind w:right="250"/>
              <w:spacing w:after="0"/>
              <w:rPr>
                <w:sz w:val="20"/>
                <w:szCs w:val="20"/>
                <w:color w:val="auto"/>
              </w:rPr>
            </w:pPr>
            <w:r>
              <w:rPr>
                <w:rFonts w:ascii="Arial" w:cs="Arial" w:eastAsia="Arial" w:hAnsi="Arial"/>
                <w:sz w:val="18"/>
                <w:szCs w:val="18"/>
                <w:color w:val="auto"/>
              </w:rPr>
              <w:t>192,592</w:t>
            </w:r>
          </w:p>
        </w:tc>
        <w:tc>
          <w:tcPr>
            <w:tcW w:w="80" w:type="dxa"/>
            <w:vAlign w:val="bottom"/>
          </w:tcPr>
          <w:p>
            <w:pPr>
              <w:spacing w:after="0"/>
              <w:rPr>
                <w:sz w:val="21"/>
                <w:szCs w:val="21"/>
                <w:color w:val="auto"/>
              </w:rPr>
            </w:pPr>
          </w:p>
        </w:tc>
        <w:tc>
          <w:tcPr>
            <w:tcW w:w="1840" w:type="dxa"/>
            <w:vAlign w:val="bottom"/>
          </w:tcPr>
          <w:p>
            <w:pPr>
              <w:jc w:val="right"/>
              <w:ind w:right="370"/>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21"/>
                <w:szCs w:val="21"/>
                <w:color w:val="auto"/>
              </w:rPr>
            </w:pPr>
          </w:p>
        </w:tc>
        <w:tc>
          <w:tcPr>
            <w:tcW w:w="2080" w:type="dxa"/>
            <w:vAlign w:val="bottom"/>
          </w:tcPr>
          <w:p>
            <w:pPr>
              <w:jc w:val="right"/>
              <w:ind w:right="590"/>
              <w:spacing w:after="0"/>
              <w:rPr>
                <w:sz w:val="20"/>
                <w:szCs w:val="20"/>
                <w:color w:val="auto"/>
              </w:rPr>
            </w:pPr>
            <w:r>
              <w:rPr>
                <w:rFonts w:ascii="Arial" w:cs="Arial" w:eastAsia="Arial" w:hAnsi="Arial"/>
                <w:sz w:val="18"/>
                <w:szCs w:val="18"/>
                <w:color w:val="auto"/>
              </w:rPr>
              <w:t>62.53</w:t>
            </w:r>
          </w:p>
        </w:tc>
      </w:tr>
      <w:tr>
        <w:trPr>
          <w:trHeight w:val="23"/>
        </w:trPr>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2480" w:type="dxa"/>
            <w:vAlign w:val="bottom"/>
            <w:gridSpan w:val="2"/>
            <w:shd w:val="clear" w:color="auto" w:fill="D9D9D9"/>
          </w:tcPr>
          <w:p>
            <w:pPr>
              <w:ind w:left="20"/>
              <w:spacing w:after="0"/>
              <w:rPr>
                <w:sz w:val="20"/>
                <w:szCs w:val="20"/>
                <w:color w:val="auto"/>
              </w:rPr>
            </w:pPr>
            <w:r>
              <w:rPr>
                <w:rFonts w:ascii="Arial" w:cs="Arial" w:eastAsia="Arial" w:hAnsi="Arial"/>
                <w:sz w:val="18"/>
                <w:szCs w:val="18"/>
                <w:color w:val="auto"/>
              </w:rPr>
              <w:t>Raelyn A. Trende</w:t>
            </w:r>
            <w:r>
              <w:rPr>
                <w:rFonts w:ascii="Arial" w:cs="Arial" w:eastAsia="Arial" w:hAnsi="Arial"/>
                <w:sz w:val="23"/>
                <w:szCs w:val="23"/>
                <w:color w:val="auto"/>
                <w:vertAlign w:val="superscript"/>
              </w:rPr>
              <w:t>(3)</w:t>
            </w:r>
          </w:p>
        </w:tc>
        <w:tc>
          <w:tcPr>
            <w:tcW w:w="1820" w:type="dxa"/>
            <w:vAlign w:val="bottom"/>
            <w:shd w:val="clear" w:color="auto" w:fill="D9D9D9"/>
          </w:tcPr>
          <w:p>
            <w:pPr>
              <w:jc w:val="right"/>
              <w:ind w:right="370"/>
              <w:spacing w:after="0"/>
              <w:rPr>
                <w:sz w:val="20"/>
                <w:szCs w:val="20"/>
                <w:color w:val="auto"/>
              </w:rPr>
            </w:pPr>
            <w:r>
              <w:rPr>
                <w:rFonts w:ascii="Arial" w:cs="Arial" w:eastAsia="Arial" w:hAnsi="Arial"/>
                <w:sz w:val="18"/>
                <w:szCs w:val="18"/>
                <w:color w:val="auto"/>
              </w:rPr>
              <w:t>10,661</w:t>
            </w:r>
          </w:p>
        </w:tc>
        <w:tc>
          <w:tcPr>
            <w:tcW w:w="100" w:type="dxa"/>
            <w:vAlign w:val="bottom"/>
            <w:shd w:val="clear" w:color="auto" w:fill="D9D9D9"/>
          </w:tcPr>
          <w:p>
            <w:pPr>
              <w:spacing w:after="0"/>
              <w:rPr>
                <w:sz w:val="23"/>
                <w:szCs w:val="23"/>
                <w:color w:val="auto"/>
              </w:rPr>
            </w:pPr>
          </w:p>
        </w:tc>
        <w:tc>
          <w:tcPr>
            <w:tcW w:w="1820" w:type="dxa"/>
            <w:vAlign w:val="bottom"/>
            <w:shd w:val="clear" w:color="auto" w:fill="D9D9D9"/>
          </w:tcPr>
          <w:p>
            <w:pPr>
              <w:jc w:val="right"/>
              <w:ind w:right="250"/>
              <w:spacing w:after="0"/>
              <w:rPr>
                <w:sz w:val="20"/>
                <w:szCs w:val="20"/>
                <w:color w:val="auto"/>
              </w:rPr>
            </w:pPr>
            <w:r>
              <w:rPr>
                <w:rFonts w:ascii="Arial" w:cs="Arial" w:eastAsia="Arial" w:hAnsi="Arial"/>
                <w:sz w:val="18"/>
                <w:szCs w:val="18"/>
                <w:color w:val="auto"/>
              </w:rPr>
              <w:t>721,003</w:t>
            </w:r>
          </w:p>
        </w:tc>
        <w:tc>
          <w:tcPr>
            <w:tcW w:w="80" w:type="dxa"/>
            <w:vAlign w:val="bottom"/>
            <w:shd w:val="clear" w:color="auto" w:fill="D9D9D9"/>
          </w:tcPr>
          <w:p>
            <w:pPr>
              <w:spacing w:after="0"/>
              <w:rPr>
                <w:sz w:val="23"/>
                <w:szCs w:val="23"/>
                <w:color w:val="auto"/>
              </w:rPr>
            </w:pPr>
          </w:p>
        </w:tc>
        <w:tc>
          <w:tcPr>
            <w:tcW w:w="1840" w:type="dxa"/>
            <w:vAlign w:val="bottom"/>
            <w:shd w:val="clear" w:color="auto" w:fill="D9D9D9"/>
          </w:tcPr>
          <w:p>
            <w:pPr>
              <w:jc w:val="right"/>
              <w:ind w:right="370"/>
              <w:spacing w:after="0"/>
              <w:rPr>
                <w:sz w:val="20"/>
                <w:szCs w:val="20"/>
                <w:color w:val="auto"/>
              </w:rPr>
            </w:pPr>
            <w:r>
              <w:rPr>
                <w:rFonts w:ascii="Arial" w:cs="Arial" w:eastAsia="Arial" w:hAnsi="Arial"/>
                <w:sz w:val="18"/>
                <w:szCs w:val="18"/>
                <w:color w:val="auto"/>
              </w:rPr>
              <w:t>175.85</w:t>
            </w:r>
          </w:p>
        </w:tc>
        <w:tc>
          <w:tcPr>
            <w:tcW w:w="80" w:type="dxa"/>
            <w:vAlign w:val="bottom"/>
            <w:shd w:val="clear" w:color="auto" w:fill="D9D9D9"/>
          </w:tcPr>
          <w:p>
            <w:pPr>
              <w:spacing w:after="0"/>
              <w:rPr>
                <w:sz w:val="23"/>
                <w:szCs w:val="23"/>
                <w:color w:val="auto"/>
              </w:rPr>
            </w:pPr>
          </w:p>
        </w:tc>
        <w:tc>
          <w:tcPr>
            <w:tcW w:w="2080" w:type="dxa"/>
            <w:vAlign w:val="bottom"/>
            <w:shd w:val="clear" w:color="auto" w:fill="D9D9D9"/>
          </w:tcPr>
          <w:p>
            <w:pPr>
              <w:jc w:val="right"/>
              <w:ind w:right="590"/>
              <w:spacing w:after="0"/>
              <w:rPr>
                <w:sz w:val="20"/>
                <w:szCs w:val="20"/>
                <w:color w:val="auto"/>
              </w:rPr>
            </w:pPr>
            <w:r>
              <w:rPr>
                <w:rFonts w:ascii="Arial" w:cs="Arial" w:eastAsia="Arial" w:hAnsi="Arial"/>
                <w:sz w:val="18"/>
                <w:szCs w:val="18"/>
                <w:color w:val="auto"/>
              </w:rPr>
              <w:t>67.63</w:t>
            </w:r>
          </w:p>
        </w:tc>
      </w:tr>
    </w:tbl>
    <w:p>
      <w:pPr>
        <w:spacing w:after="0" w:line="81"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___________________________</w:t>
      </w:r>
    </w:p>
    <w:p>
      <w:pPr>
        <w:spacing w:after="0" w:line="97" w:lineRule="exact"/>
        <w:rPr>
          <w:sz w:val="20"/>
          <w:szCs w:val="20"/>
          <w:color w:val="auto"/>
        </w:rPr>
      </w:pPr>
    </w:p>
    <w:p>
      <w:pPr>
        <w:jc w:val="both"/>
        <w:ind w:left="920" w:hanging="588"/>
        <w:spacing w:after="0" w:line="268" w:lineRule="auto"/>
        <w:tabs>
          <w:tab w:leader="none" w:pos="9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of the award was calculated by multiplying the number of shares of restricted stock awarded by the closing price of our common stock on the Nasdaq Global Select Market on the date of grant. The annual long-term incentive awards were made on May 1, 2024, for the Named Executive Officers except for Ms. Trende, whose awards were made on her July 29, 2024, hire date.</w:t>
      </w:r>
    </w:p>
    <w:p>
      <w:pPr>
        <w:spacing w:after="0" w:line="62" w:lineRule="exact"/>
        <w:rPr>
          <w:rFonts w:ascii="Arial" w:cs="Arial" w:eastAsia="Arial" w:hAnsi="Arial"/>
          <w:sz w:val="18"/>
          <w:szCs w:val="18"/>
          <w:color w:val="auto"/>
        </w:rPr>
      </w:pPr>
    </w:p>
    <w:p>
      <w:pPr>
        <w:ind w:left="900" w:hanging="568"/>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closing price of our common stock on the Nasdaq Global Select Market on the date of grant.</w:t>
      </w:r>
    </w:p>
    <w:p>
      <w:pPr>
        <w:spacing w:after="0" w:line="117" w:lineRule="exact"/>
        <w:rPr>
          <w:rFonts w:ascii="Arial" w:cs="Arial" w:eastAsia="Arial" w:hAnsi="Arial"/>
          <w:sz w:val="18"/>
          <w:szCs w:val="18"/>
          <w:color w:val="auto"/>
        </w:rPr>
      </w:pPr>
    </w:p>
    <w:p>
      <w:pPr>
        <w:jc w:val="both"/>
        <w:ind w:left="920" w:hanging="588"/>
        <w:spacing w:after="0" w:line="268" w:lineRule="auto"/>
        <w:tabs>
          <w:tab w:leader="none" w:pos="9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addition to Ms. Trende's long-term incentive award of 3,637 shares valued at $245,970, described in footnote (1), the Offer Letter also provided for the grant to Ms. Trende of a new hire inducement award of 7,024 time-based restricted shares of the Company's stock valued at $475,033, based on the closing price on Ms. Trende's July 29, 2024, hire date.</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Performance Awards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issues performance awards annually, with an overlapping three-year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beginning with each fiscal year's award. The Compensation Committee adopted the three-year performance award to better align the Company's long-term incentive plan with market practice and the Company's strategic plan and financial performance goals.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2025, the Compensation Committee awarded performance awards with a three-year performance period of fiscal 2025 – 2027 to the Named Executive Officers. All performance awards were granted under the 2019 Stock Incentive Plan. The performance metrics for the awards are three-year cumulative Adjusted Diluted EPS weighted at 60%, with a target three-year cumulative Adjusted Diluted EPS of $16.04, and average Adjusted ROIC over the three-year performance period, with a target average Adjusted ROIC of 14.20%. The performance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spacing w:after="0" w:line="287" w:lineRule="auto"/>
        <w:rPr>
          <w:sz w:val="20"/>
          <w:szCs w:val="20"/>
          <w:color w:val="auto"/>
        </w:rPr>
      </w:pPr>
      <w:r>
        <w:rPr>
          <w:rFonts w:ascii="Arial" w:cs="Arial" w:eastAsia="Arial" w:hAnsi="Arial"/>
          <w:sz w:val="18"/>
          <w:szCs w:val="18"/>
          <w:color w:val="auto"/>
        </w:rPr>
        <w:t>awards will settle 50% in cash and 50% in stock. The following table sets forth payout ranges as a percentage of salary at threshold, target and maximum performance with respect to our fiscal 2025 – 2027 performance awards.</w:t>
      </w: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Fiscal 2025 – 2027 Performance Award Payout Ranges</w:t>
      </w:r>
      <w:r>
        <w:rPr>
          <w:rFonts w:ascii="Arial" w:cs="Arial" w:eastAsia="Arial" w:hAnsi="Arial"/>
          <w:sz w:val="23"/>
          <w:szCs w:val="23"/>
          <w:b w:val="1"/>
          <w:bCs w:val="1"/>
          <w:color w:val="auto"/>
          <w:vertAlign w:val="superscript"/>
        </w:rPr>
        <w:t>(1)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720" w:type="dxa"/>
            <w:vAlign w:val="bottom"/>
            <w:tcBorders>
              <w:top w:val="single" w:sz="8" w:color="auto"/>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05445E"/>
              </w:rPr>
              <w:t>Threshold Payout</w:t>
            </w:r>
            <w:r>
              <w:rPr>
                <w:rFonts w:ascii="Arial" w:cs="Arial" w:eastAsia="Arial" w:hAnsi="Arial"/>
                <w:sz w:val="23"/>
                <w:szCs w:val="23"/>
                <w:b w:val="1"/>
                <w:bCs w:val="1"/>
                <w:color w:val="05445E"/>
                <w:vertAlign w:val="superscript"/>
              </w:rPr>
              <w:t>(2)</w:t>
            </w:r>
          </w:p>
        </w:tc>
        <w:tc>
          <w:tcPr>
            <w:tcW w:w="100" w:type="dxa"/>
            <w:vAlign w:val="bottom"/>
            <w:tcBorders>
              <w:top w:val="single" w:sz="8" w:color="auto"/>
            </w:tcBorders>
          </w:tcPr>
          <w:p>
            <w:pPr>
              <w:spacing w:after="0"/>
              <w:rPr>
                <w:sz w:val="22"/>
                <w:szCs w:val="22"/>
                <w:color w:val="auto"/>
              </w:rPr>
            </w:pPr>
          </w:p>
        </w:tc>
        <w:tc>
          <w:tcPr>
            <w:tcW w:w="2860" w:type="dxa"/>
            <w:vAlign w:val="bottom"/>
            <w:tcBorders>
              <w:top w:val="single" w:sz="8" w:color="auto"/>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05445E"/>
              </w:rPr>
              <w:t>Target Payout</w:t>
            </w:r>
            <w:r>
              <w:rPr>
                <w:rFonts w:ascii="Arial" w:cs="Arial" w:eastAsia="Arial" w:hAnsi="Arial"/>
                <w:sz w:val="23"/>
                <w:szCs w:val="23"/>
                <w:b w:val="1"/>
                <w:bCs w:val="1"/>
                <w:color w:val="05445E"/>
                <w:vertAlign w:val="superscript"/>
              </w:rPr>
              <w:t>(3)</w:t>
            </w:r>
          </w:p>
        </w:tc>
        <w:tc>
          <w:tcPr>
            <w:tcW w:w="100" w:type="dxa"/>
            <w:vAlign w:val="bottom"/>
            <w:tcBorders>
              <w:top w:val="single" w:sz="8" w:color="auto"/>
            </w:tcBorders>
          </w:tcPr>
          <w:p>
            <w:pPr>
              <w:spacing w:after="0"/>
              <w:rPr>
                <w:sz w:val="22"/>
                <w:szCs w:val="22"/>
                <w:color w:val="auto"/>
              </w:rPr>
            </w:pPr>
          </w:p>
        </w:tc>
        <w:tc>
          <w:tcPr>
            <w:tcW w:w="2880" w:type="dxa"/>
            <w:vAlign w:val="bottom"/>
            <w:tcBorders>
              <w:top w:val="single" w:sz="8" w:color="auto"/>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05445E"/>
              </w:rPr>
              <w:t>Maximum Payout</w:t>
            </w:r>
            <w:r>
              <w:rPr>
                <w:rFonts w:ascii="Arial" w:cs="Arial" w:eastAsia="Arial" w:hAnsi="Arial"/>
                <w:sz w:val="23"/>
                <w:szCs w:val="23"/>
                <w:b w:val="1"/>
                <w:bCs w:val="1"/>
                <w:color w:val="05445E"/>
                <w:vertAlign w:val="superscript"/>
              </w:rPr>
              <w:t>(4)</w:t>
            </w:r>
          </w:p>
        </w:tc>
      </w:tr>
      <w:tr>
        <w:trPr>
          <w:trHeight w:val="218"/>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As a</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As a</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05445E"/>
                <w:w w:val="99"/>
              </w:rPr>
              <w:t>As a</w:t>
            </w: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8"/>
              </w:rPr>
              <w:t>Percentage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8"/>
              </w:rPr>
              <w:t>Percentage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05445E"/>
                <w:w w:val="98"/>
              </w:rPr>
              <w:t>Percentage</w:t>
            </w: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8"/>
              </w:rPr>
              <w:t>of Fiscal</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8"/>
              </w:rPr>
              <w:t>of Fiscal</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05445E"/>
                <w:w w:val="98"/>
              </w:rPr>
              <w:t>of Fiscal</w:t>
            </w: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b w:val="1"/>
                <w:bCs w:val="1"/>
                <w:color w:val="05445E"/>
              </w:rPr>
              <w:t>Award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05445E"/>
                <w:w w:val="99"/>
              </w:rPr>
              <w:t>2025</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rPr>
              <w:t>Award</w:t>
            </w: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05445E"/>
              </w:rPr>
              <w:t>2025</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rPr>
              <w:t>Award</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05445E"/>
              </w:rPr>
              <w:t>2025</w:t>
            </w: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320"/>
              <w:spacing w:after="0"/>
              <w:rPr>
                <w:sz w:val="20"/>
                <w:szCs w:val="20"/>
                <w:color w:val="auto"/>
              </w:rPr>
            </w:pPr>
            <w:r>
              <w:rPr>
                <w:rFonts w:ascii="Arial" w:cs="Arial" w:eastAsia="Arial" w:hAnsi="Arial"/>
                <w:sz w:val="18"/>
                <w:szCs w:val="18"/>
                <w:b w:val="1"/>
                <w:bCs w:val="1"/>
                <w:color w:val="05445E"/>
              </w:rPr>
              <w:t>Amount</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Salary</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Amount</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Salary</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Amount</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05445E"/>
                <w:w w:val="99"/>
              </w:rPr>
              <w:t>Salary</w:t>
            </w:r>
          </w:p>
        </w:tc>
      </w:tr>
      <w:tr>
        <w:trPr>
          <w:trHeight w:val="255"/>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5445E"/>
              </w:rPr>
              <w:t>Name</w:t>
            </w:r>
          </w:p>
        </w:tc>
        <w:tc>
          <w:tcPr>
            <w:tcW w:w="100" w:type="dxa"/>
            <w:vAlign w:val="bottom"/>
            <w:tcBorders>
              <w:bottom w:val="single" w:sz="8" w:color="D9D9D9"/>
            </w:tcBorders>
          </w:tcPr>
          <w:p>
            <w:pPr>
              <w:spacing w:after="0"/>
              <w:rPr>
                <w:sz w:val="22"/>
                <w:szCs w:val="22"/>
                <w:color w:val="auto"/>
              </w:rPr>
            </w:pPr>
          </w:p>
        </w:tc>
        <w:tc>
          <w:tcPr>
            <w:tcW w:w="130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05445E"/>
              </w:rPr>
              <w:t>($)</w:t>
            </w:r>
          </w:p>
        </w:tc>
        <w:tc>
          <w:tcPr>
            <w:tcW w:w="100" w:type="dxa"/>
            <w:vAlign w:val="bottom"/>
            <w:tcBorders>
              <w:bottom w:val="single" w:sz="8" w:color="D9D9D9"/>
            </w:tcBorders>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100" w:type="dxa"/>
            <w:vAlign w:val="bottom"/>
            <w:tcBorders>
              <w:bottom w:val="single" w:sz="8" w:color="D9D9D9"/>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100" w:type="dxa"/>
            <w:vAlign w:val="bottom"/>
            <w:tcBorders>
              <w:bottom w:val="single" w:sz="8" w:color="D9D9D9"/>
            </w:tcBorders>
          </w:tcPr>
          <w:p>
            <w:pPr>
              <w:spacing w:after="0"/>
              <w:rPr>
                <w:sz w:val="22"/>
                <w:szCs w:val="22"/>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05445E"/>
              </w:rPr>
              <w:t>(%)</w:t>
            </w:r>
          </w:p>
        </w:tc>
        <w:tc>
          <w:tcPr>
            <w:tcW w:w="100" w:type="dxa"/>
            <w:vAlign w:val="bottom"/>
            <w:tcBorders>
              <w:bottom w:val="single" w:sz="8" w:color="D9D9D9"/>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100" w:type="dxa"/>
            <w:vAlign w:val="bottom"/>
            <w:tcBorders>
              <w:bottom w:val="single" w:sz="8" w:color="D9D9D9"/>
            </w:tcBorders>
          </w:tcPr>
          <w:p>
            <w:pPr>
              <w:spacing w:after="0"/>
              <w:rPr>
                <w:sz w:val="22"/>
                <w:szCs w:val="22"/>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05445E"/>
              </w:rPr>
              <w:t>(%)</w:t>
            </w:r>
          </w:p>
        </w:tc>
      </w:tr>
      <w:tr>
        <w:trPr>
          <w:trHeight w:val="250"/>
        </w:trPr>
        <w:tc>
          <w:tcPr>
            <w:tcW w:w="248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Ty R. Silberhorn</w:t>
            </w:r>
          </w:p>
        </w:tc>
        <w:tc>
          <w:tcPr>
            <w:tcW w:w="1300" w:type="dxa"/>
            <w:vAlign w:val="bottom"/>
            <w:tcBorders>
              <w:bottom w:val="single" w:sz="8" w:color="D9D9D9"/>
            </w:tcBorders>
            <w:shd w:val="clear" w:color="auto" w:fill="D9D9D9"/>
          </w:tcPr>
          <w:p>
            <w:pPr>
              <w:ind w:left="540"/>
              <w:spacing w:after="0"/>
              <w:rPr>
                <w:sz w:val="20"/>
                <w:szCs w:val="20"/>
                <w:color w:val="auto"/>
              </w:rPr>
            </w:pPr>
            <w:r>
              <w:rPr>
                <w:rFonts w:ascii="Arial" w:cs="Arial" w:eastAsia="Arial" w:hAnsi="Arial"/>
                <w:sz w:val="18"/>
                <w:szCs w:val="18"/>
                <w:color w:val="auto"/>
              </w:rPr>
              <w:t>908,693</w:t>
            </w:r>
          </w:p>
        </w:tc>
        <w:tc>
          <w:tcPr>
            <w:tcW w:w="100" w:type="dxa"/>
            <w:vAlign w:val="bottom"/>
            <w:tcBorders>
              <w:bottom w:val="single" w:sz="8" w:color="D9D9D9"/>
            </w:tcBorders>
            <w:shd w:val="clear" w:color="auto" w:fill="D9D9D9"/>
          </w:tcPr>
          <w:p>
            <w:pPr>
              <w:spacing w:after="0"/>
              <w:rPr>
                <w:sz w:val="21"/>
                <w:szCs w:val="21"/>
                <w:color w:val="auto"/>
              </w:rPr>
            </w:pPr>
          </w:p>
        </w:tc>
        <w:tc>
          <w:tcPr>
            <w:tcW w:w="13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7"/>
              </w:rPr>
              <w:t>97.50</w:t>
            </w:r>
          </w:p>
        </w:tc>
        <w:tc>
          <w:tcPr>
            <w:tcW w:w="100" w:type="dxa"/>
            <w:vAlign w:val="bottom"/>
            <w:tcBorders>
              <w:bottom w:val="single" w:sz="8" w:color="D9D9D9"/>
            </w:tcBorders>
            <w:shd w:val="clear" w:color="auto" w:fill="D9D9D9"/>
          </w:tcPr>
          <w:p>
            <w:pPr>
              <w:spacing w:after="0"/>
              <w:rPr>
                <w:sz w:val="21"/>
                <w:szCs w:val="21"/>
                <w:color w:val="auto"/>
              </w:rPr>
            </w:pPr>
          </w:p>
        </w:tc>
        <w:tc>
          <w:tcPr>
            <w:tcW w:w="1440" w:type="dxa"/>
            <w:vAlign w:val="bottom"/>
            <w:tcBorders>
              <w:bottom w:val="single" w:sz="8" w:color="D9D9D9"/>
            </w:tcBorders>
            <w:shd w:val="clear" w:color="auto" w:fill="D9D9D9"/>
          </w:tcPr>
          <w:p>
            <w:pPr>
              <w:jc w:val="right"/>
              <w:ind w:right="130"/>
              <w:spacing w:after="0"/>
              <w:rPr>
                <w:sz w:val="20"/>
                <w:szCs w:val="20"/>
                <w:color w:val="auto"/>
              </w:rPr>
            </w:pPr>
            <w:r>
              <w:rPr>
                <w:rFonts w:ascii="Arial" w:cs="Arial" w:eastAsia="Arial" w:hAnsi="Arial"/>
                <w:sz w:val="18"/>
                <w:szCs w:val="18"/>
                <w:color w:val="auto"/>
              </w:rPr>
              <w:t>1,817,386</w:t>
            </w:r>
          </w:p>
        </w:tc>
        <w:tc>
          <w:tcPr>
            <w:tcW w:w="100" w:type="dxa"/>
            <w:vAlign w:val="bottom"/>
            <w:tcBorders>
              <w:bottom w:val="single" w:sz="8" w:color="D9D9D9"/>
            </w:tcBorders>
            <w:shd w:val="clear" w:color="auto" w:fill="D9D9D9"/>
          </w:tcPr>
          <w:p>
            <w:pPr>
              <w:spacing w:after="0"/>
              <w:rPr>
                <w:sz w:val="21"/>
                <w:szCs w:val="21"/>
                <w:color w:val="auto"/>
              </w:rPr>
            </w:pPr>
          </w:p>
        </w:tc>
        <w:tc>
          <w:tcPr>
            <w:tcW w:w="1320" w:type="dxa"/>
            <w:vAlign w:val="bottom"/>
            <w:tcBorders>
              <w:bottom w:val="single" w:sz="8" w:color="D9D9D9"/>
            </w:tcBorders>
            <w:shd w:val="clear" w:color="auto" w:fill="D9D9D9"/>
          </w:tcPr>
          <w:p>
            <w:pPr>
              <w:jc w:val="right"/>
              <w:ind w:right="150"/>
              <w:spacing w:after="0"/>
              <w:rPr>
                <w:sz w:val="20"/>
                <w:szCs w:val="20"/>
                <w:color w:val="auto"/>
              </w:rPr>
            </w:pPr>
            <w:r>
              <w:rPr>
                <w:rFonts w:ascii="Arial" w:cs="Arial" w:eastAsia="Arial" w:hAnsi="Arial"/>
                <w:sz w:val="18"/>
                <w:szCs w:val="18"/>
                <w:color w:val="auto"/>
              </w:rPr>
              <w:t>195.00</w:t>
            </w:r>
          </w:p>
        </w:tc>
        <w:tc>
          <w:tcPr>
            <w:tcW w:w="100" w:type="dxa"/>
            <w:vAlign w:val="bottom"/>
            <w:tcBorders>
              <w:bottom w:val="single" w:sz="8" w:color="D9D9D9"/>
            </w:tcBorders>
            <w:shd w:val="clear" w:color="auto" w:fill="D9D9D9"/>
          </w:tcPr>
          <w:p>
            <w:pPr>
              <w:spacing w:after="0"/>
              <w:rPr>
                <w:sz w:val="21"/>
                <w:szCs w:val="21"/>
                <w:color w:val="auto"/>
              </w:rPr>
            </w:pPr>
          </w:p>
        </w:tc>
        <w:tc>
          <w:tcPr>
            <w:tcW w:w="1440" w:type="dxa"/>
            <w:vAlign w:val="bottom"/>
            <w:tcBorders>
              <w:bottom w:val="single" w:sz="8" w:color="D9D9D9"/>
            </w:tcBorders>
            <w:shd w:val="clear" w:color="auto" w:fill="D9D9D9"/>
          </w:tcPr>
          <w:p>
            <w:pPr>
              <w:jc w:val="right"/>
              <w:ind w:right="30"/>
              <w:spacing w:after="0"/>
              <w:rPr>
                <w:sz w:val="20"/>
                <w:szCs w:val="20"/>
                <w:color w:val="auto"/>
              </w:rPr>
            </w:pPr>
            <w:r>
              <w:rPr>
                <w:rFonts w:ascii="Arial" w:cs="Arial" w:eastAsia="Arial" w:hAnsi="Arial"/>
                <w:sz w:val="18"/>
                <w:szCs w:val="18"/>
                <w:color w:val="auto"/>
              </w:rPr>
              <w:t>3,634,772</w:t>
            </w:r>
          </w:p>
        </w:tc>
        <w:tc>
          <w:tcPr>
            <w:tcW w:w="100" w:type="dxa"/>
            <w:vAlign w:val="bottom"/>
            <w:tcBorders>
              <w:bottom w:val="single" w:sz="8" w:color="D9D9D9"/>
            </w:tcBorders>
            <w:shd w:val="clear" w:color="auto" w:fill="D9D9D9"/>
          </w:tcPr>
          <w:p>
            <w:pPr>
              <w:spacing w:after="0"/>
              <w:rPr>
                <w:sz w:val="21"/>
                <w:szCs w:val="21"/>
                <w:color w:val="auto"/>
              </w:rPr>
            </w:pPr>
          </w:p>
        </w:tc>
        <w:tc>
          <w:tcPr>
            <w:tcW w:w="1340" w:type="dxa"/>
            <w:vAlign w:val="bottom"/>
            <w:tcBorders>
              <w:bottom w:val="single" w:sz="8" w:color="D9D9D9"/>
            </w:tcBorders>
            <w:shd w:val="clear" w:color="auto" w:fill="D9D9D9"/>
          </w:tcPr>
          <w:p>
            <w:pPr>
              <w:jc w:val="right"/>
              <w:ind w:right="150"/>
              <w:spacing w:after="0"/>
              <w:rPr>
                <w:sz w:val="20"/>
                <w:szCs w:val="20"/>
                <w:color w:val="auto"/>
              </w:rPr>
            </w:pPr>
            <w:r>
              <w:rPr>
                <w:rFonts w:ascii="Arial" w:cs="Arial" w:eastAsia="Arial" w:hAnsi="Arial"/>
                <w:sz w:val="18"/>
                <w:szCs w:val="18"/>
                <w:color w:val="auto"/>
              </w:rPr>
              <w:t>390.00</w:t>
            </w:r>
          </w:p>
        </w:tc>
      </w:tr>
      <w:tr>
        <w:trPr>
          <w:trHeight w:val="247"/>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Matthew J. Osberg</w:t>
            </w:r>
          </w:p>
        </w:tc>
        <w:tc>
          <w:tcPr>
            <w:tcW w:w="1300" w:type="dxa"/>
            <w:vAlign w:val="bottom"/>
          </w:tcPr>
          <w:p>
            <w:pPr>
              <w:ind w:left="540"/>
              <w:spacing w:after="0"/>
              <w:rPr>
                <w:sz w:val="20"/>
                <w:szCs w:val="20"/>
                <w:color w:val="auto"/>
              </w:rPr>
            </w:pPr>
            <w:r>
              <w:rPr>
                <w:rFonts w:ascii="Arial" w:cs="Arial" w:eastAsia="Arial" w:hAnsi="Arial"/>
                <w:sz w:val="18"/>
                <w:szCs w:val="18"/>
                <w:color w:val="auto"/>
              </w:rPr>
              <w:t>242,246</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37.50</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484,491</w:t>
            </w:r>
          </w:p>
        </w:tc>
        <w:tc>
          <w:tcPr>
            <w:tcW w:w="10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968,982</w:t>
            </w:r>
          </w:p>
        </w:tc>
        <w:tc>
          <w:tcPr>
            <w:tcW w:w="1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150.00</w:t>
            </w:r>
          </w:p>
        </w:tc>
      </w:tr>
      <w:tr>
        <w:trPr>
          <w:trHeight w:val="23"/>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8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Brent C. Jewell</w:t>
            </w:r>
          </w:p>
        </w:tc>
        <w:tc>
          <w:tcPr>
            <w:tcW w:w="1300" w:type="dxa"/>
            <w:vAlign w:val="bottom"/>
            <w:tcBorders>
              <w:bottom w:val="single" w:sz="8" w:color="D9D9D9"/>
            </w:tcBorders>
            <w:shd w:val="clear" w:color="auto" w:fill="D9D9D9"/>
          </w:tcPr>
          <w:p>
            <w:pPr>
              <w:ind w:left="540"/>
              <w:spacing w:after="0"/>
              <w:rPr>
                <w:sz w:val="20"/>
                <w:szCs w:val="20"/>
                <w:color w:val="auto"/>
              </w:rPr>
            </w:pPr>
            <w:r>
              <w:rPr>
                <w:rFonts w:ascii="Arial" w:cs="Arial" w:eastAsia="Arial" w:hAnsi="Arial"/>
                <w:sz w:val="18"/>
                <w:szCs w:val="18"/>
                <w:color w:val="auto"/>
              </w:rPr>
              <w:t>136,533</w:t>
            </w:r>
          </w:p>
        </w:tc>
        <w:tc>
          <w:tcPr>
            <w:tcW w:w="100" w:type="dxa"/>
            <w:vAlign w:val="bottom"/>
            <w:tcBorders>
              <w:bottom w:val="single" w:sz="8" w:color="D9D9D9"/>
            </w:tcBorders>
            <w:shd w:val="clear" w:color="auto" w:fill="D9D9D9"/>
          </w:tcPr>
          <w:p>
            <w:pPr>
              <w:spacing w:after="0"/>
              <w:rPr>
                <w:sz w:val="21"/>
                <w:szCs w:val="21"/>
                <w:color w:val="auto"/>
              </w:rPr>
            </w:pPr>
          </w:p>
        </w:tc>
        <w:tc>
          <w:tcPr>
            <w:tcW w:w="13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97"/>
              </w:rPr>
              <w:t>30.01</w:t>
            </w:r>
          </w:p>
        </w:tc>
        <w:tc>
          <w:tcPr>
            <w:tcW w:w="100" w:type="dxa"/>
            <w:vAlign w:val="bottom"/>
            <w:tcBorders>
              <w:bottom w:val="single" w:sz="8" w:color="D9D9D9"/>
            </w:tcBorders>
            <w:shd w:val="clear" w:color="auto" w:fill="D9D9D9"/>
          </w:tcPr>
          <w:p>
            <w:pPr>
              <w:spacing w:after="0"/>
              <w:rPr>
                <w:sz w:val="21"/>
                <w:szCs w:val="21"/>
                <w:color w:val="auto"/>
              </w:rPr>
            </w:pPr>
          </w:p>
        </w:tc>
        <w:tc>
          <w:tcPr>
            <w:tcW w:w="1440" w:type="dxa"/>
            <w:vAlign w:val="bottom"/>
            <w:tcBorders>
              <w:bottom w:val="single" w:sz="8" w:color="D9D9D9"/>
            </w:tcBorders>
            <w:shd w:val="clear" w:color="auto" w:fill="D9D9D9"/>
          </w:tcPr>
          <w:p>
            <w:pPr>
              <w:jc w:val="right"/>
              <w:ind w:right="130"/>
              <w:spacing w:after="0"/>
              <w:rPr>
                <w:sz w:val="20"/>
                <w:szCs w:val="20"/>
                <w:color w:val="auto"/>
              </w:rPr>
            </w:pPr>
            <w:r>
              <w:rPr>
                <w:rFonts w:ascii="Arial" w:cs="Arial" w:eastAsia="Arial" w:hAnsi="Arial"/>
                <w:sz w:val="18"/>
                <w:szCs w:val="18"/>
                <w:color w:val="auto"/>
              </w:rPr>
              <w:t>273,003</w:t>
            </w:r>
          </w:p>
        </w:tc>
        <w:tc>
          <w:tcPr>
            <w:tcW w:w="100" w:type="dxa"/>
            <w:vAlign w:val="bottom"/>
            <w:tcBorders>
              <w:bottom w:val="single" w:sz="8" w:color="D9D9D9"/>
            </w:tcBorders>
            <w:shd w:val="clear" w:color="auto" w:fill="D9D9D9"/>
          </w:tcPr>
          <w:p>
            <w:pPr>
              <w:spacing w:after="0"/>
              <w:rPr>
                <w:sz w:val="21"/>
                <w:szCs w:val="21"/>
                <w:color w:val="auto"/>
              </w:rPr>
            </w:pPr>
          </w:p>
        </w:tc>
        <w:tc>
          <w:tcPr>
            <w:tcW w:w="1320" w:type="dxa"/>
            <w:vAlign w:val="bottom"/>
            <w:tcBorders>
              <w:bottom w:val="single" w:sz="8" w:color="D9D9D9"/>
            </w:tcBorders>
            <w:shd w:val="clear" w:color="auto" w:fill="D9D9D9"/>
          </w:tcPr>
          <w:p>
            <w:pPr>
              <w:jc w:val="right"/>
              <w:ind w:right="15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D9D9D9"/>
            </w:tcBorders>
            <w:shd w:val="clear" w:color="auto" w:fill="D9D9D9"/>
          </w:tcPr>
          <w:p>
            <w:pPr>
              <w:spacing w:after="0"/>
              <w:rPr>
                <w:sz w:val="21"/>
                <w:szCs w:val="21"/>
                <w:color w:val="auto"/>
              </w:rPr>
            </w:pPr>
          </w:p>
        </w:tc>
        <w:tc>
          <w:tcPr>
            <w:tcW w:w="1440" w:type="dxa"/>
            <w:vAlign w:val="bottom"/>
            <w:tcBorders>
              <w:bottom w:val="single" w:sz="8" w:color="D9D9D9"/>
            </w:tcBorders>
            <w:shd w:val="clear" w:color="auto" w:fill="D9D9D9"/>
          </w:tcPr>
          <w:p>
            <w:pPr>
              <w:jc w:val="right"/>
              <w:ind w:right="30"/>
              <w:spacing w:after="0"/>
              <w:rPr>
                <w:sz w:val="20"/>
                <w:szCs w:val="20"/>
                <w:color w:val="auto"/>
              </w:rPr>
            </w:pPr>
            <w:r>
              <w:rPr>
                <w:rFonts w:ascii="Arial" w:cs="Arial" w:eastAsia="Arial" w:hAnsi="Arial"/>
                <w:sz w:val="18"/>
                <w:szCs w:val="18"/>
                <w:color w:val="auto"/>
              </w:rPr>
              <w:t>546,006</w:t>
            </w:r>
          </w:p>
        </w:tc>
        <w:tc>
          <w:tcPr>
            <w:tcW w:w="100" w:type="dxa"/>
            <w:vAlign w:val="bottom"/>
            <w:tcBorders>
              <w:bottom w:val="single" w:sz="8" w:color="D9D9D9"/>
            </w:tcBorders>
            <w:shd w:val="clear" w:color="auto" w:fill="D9D9D9"/>
          </w:tcPr>
          <w:p>
            <w:pPr>
              <w:spacing w:after="0"/>
              <w:rPr>
                <w:sz w:val="21"/>
                <w:szCs w:val="21"/>
                <w:color w:val="auto"/>
              </w:rPr>
            </w:pPr>
          </w:p>
        </w:tc>
        <w:tc>
          <w:tcPr>
            <w:tcW w:w="1340" w:type="dxa"/>
            <w:vAlign w:val="bottom"/>
            <w:tcBorders>
              <w:bottom w:val="single" w:sz="8" w:color="D9D9D9"/>
            </w:tcBorders>
            <w:shd w:val="clear" w:color="auto" w:fill="D9D9D9"/>
          </w:tcPr>
          <w:p>
            <w:pPr>
              <w:jc w:val="right"/>
              <w:ind w:right="150"/>
              <w:spacing w:after="0"/>
              <w:rPr>
                <w:sz w:val="20"/>
                <w:szCs w:val="20"/>
                <w:color w:val="auto"/>
              </w:rPr>
            </w:pPr>
            <w:r>
              <w:rPr>
                <w:rFonts w:ascii="Arial" w:cs="Arial" w:eastAsia="Arial" w:hAnsi="Arial"/>
                <w:sz w:val="18"/>
                <w:szCs w:val="18"/>
                <w:color w:val="auto"/>
              </w:rPr>
              <w:t>120.00</w:t>
            </w:r>
          </w:p>
        </w:tc>
      </w:tr>
      <w:tr>
        <w:trPr>
          <w:trHeight w:val="247"/>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Troy R. Johnson</w:t>
            </w:r>
          </w:p>
        </w:tc>
        <w:tc>
          <w:tcPr>
            <w:tcW w:w="1300" w:type="dxa"/>
            <w:vAlign w:val="bottom"/>
          </w:tcPr>
          <w:p>
            <w:pPr>
              <w:ind w:left="540"/>
              <w:spacing w:after="0"/>
              <w:rPr>
                <w:sz w:val="20"/>
                <w:szCs w:val="20"/>
                <w:color w:val="auto"/>
              </w:rPr>
            </w:pPr>
            <w:r>
              <w:rPr>
                <w:rFonts w:ascii="Arial" w:cs="Arial" w:eastAsia="Arial" w:hAnsi="Arial"/>
                <w:sz w:val="18"/>
                <w:szCs w:val="18"/>
                <w:color w:val="auto"/>
              </w:rPr>
              <w:t>128,418</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30.00</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256,774</w:t>
            </w:r>
          </w:p>
        </w:tc>
        <w:tc>
          <w:tcPr>
            <w:tcW w:w="10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59.99</w:t>
            </w:r>
          </w:p>
        </w:tc>
        <w:tc>
          <w:tcPr>
            <w:tcW w:w="10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513,548</w:t>
            </w:r>
          </w:p>
        </w:tc>
        <w:tc>
          <w:tcPr>
            <w:tcW w:w="1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119.99</w:t>
            </w:r>
          </w:p>
        </w:tc>
      </w:tr>
      <w:tr>
        <w:trPr>
          <w:trHeight w:val="23"/>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7"/>
        </w:trPr>
        <w:tc>
          <w:tcPr>
            <w:tcW w:w="24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Raelyn A. Trende</w:t>
            </w:r>
          </w:p>
        </w:tc>
        <w:tc>
          <w:tcPr>
            <w:tcW w:w="1300" w:type="dxa"/>
            <w:vAlign w:val="bottom"/>
            <w:shd w:val="clear" w:color="auto" w:fill="DBDBDB"/>
          </w:tcPr>
          <w:p>
            <w:pPr>
              <w:ind w:left="540"/>
              <w:spacing w:after="0"/>
              <w:rPr>
                <w:sz w:val="20"/>
                <w:szCs w:val="20"/>
                <w:color w:val="auto"/>
              </w:rPr>
            </w:pPr>
            <w:r>
              <w:rPr>
                <w:rFonts w:ascii="Arial" w:cs="Arial" w:eastAsia="Arial" w:hAnsi="Arial"/>
                <w:sz w:val="18"/>
                <w:szCs w:val="18"/>
                <w:color w:val="auto"/>
              </w:rPr>
              <w:t>123,043</w:t>
            </w:r>
          </w:p>
        </w:tc>
        <w:tc>
          <w:tcPr>
            <w:tcW w:w="100" w:type="dxa"/>
            <w:vAlign w:val="bottom"/>
            <w:shd w:val="clear" w:color="auto" w:fill="DBDBDB"/>
          </w:tcPr>
          <w:p>
            <w:pPr>
              <w:spacing w:after="0"/>
              <w:rPr>
                <w:sz w:val="21"/>
                <w:szCs w:val="21"/>
                <w:color w:val="auto"/>
              </w:rPr>
            </w:pPr>
          </w:p>
        </w:tc>
        <w:tc>
          <w:tcPr>
            <w:tcW w:w="13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30.01</w:t>
            </w:r>
          </w:p>
        </w:tc>
        <w:tc>
          <w:tcPr>
            <w:tcW w:w="10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246,019</w:t>
            </w:r>
          </w:p>
        </w:tc>
        <w:tc>
          <w:tcPr>
            <w:tcW w:w="100" w:type="dxa"/>
            <w:vAlign w:val="bottom"/>
            <w:shd w:val="clear" w:color="auto" w:fill="DBDBDB"/>
          </w:tcPr>
          <w:p>
            <w:pPr>
              <w:spacing w:after="0"/>
              <w:rPr>
                <w:sz w:val="21"/>
                <w:szCs w:val="21"/>
                <w:color w:val="auto"/>
              </w:rPr>
            </w:pPr>
          </w:p>
        </w:tc>
        <w:tc>
          <w:tcPr>
            <w:tcW w:w="132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492,038</w:t>
            </w:r>
          </w:p>
        </w:tc>
        <w:tc>
          <w:tcPr>
            <w:tcW w:w="100" w:type="dxa"/>
            <w:vAlign w:val="bottom"/>
            <w:shd w:val="clear" w:color="auto" w:fill="DBDBDB"/>
          </w:tcPr>
          <w:p>
            <w:pPr>
              <w:spacing w:after="0"/>
              <w:rPr>
                <w:sz w:val="21"/>
                <w:szCs w:val="21"/>
                <w:color w:val="auto"/>
              </w:rPr>
            </w:pPr>
          </w:p>
        </w:tc>
        <w:tc>
          <w:tcPr>
            <w:tcW w:w="1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120.01</w:t>
            </w:r>
          </w:p>
        </w:tc>
      </w:tr>
      <w:tr>
        <w:trPr>
          <w:trHeight w:val="23"/>
        </w:trPr>
        <w:tc>
          <w:tcPr>
            <w:tcW w:w="23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3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3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4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3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4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340" w:type="dxa"/>
            <w:vAlign w:val="bottom"/>
            <w:shd w:val="clear" w:color="auto" w:fill="DBDBDB"/>
          </w:tcPr>
          <w:p>
            <w:pPr>
              <w:spacing w:after="0"/>
              <w:rPr>
                <w:sz w:val="2"/>
                <w:szCs w:val="2"/>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97" w:lineRule="exact"/>
        <w:rPr>
          <w:sz w:val="20"/>
          <w:szCs w:val="20"/>
          <w:color w:val="auto"/>
        </w:rPr>
      </w:pPr>
    </w:p>
    <w:p>
      <w:pPr>
        <w:jc w:val="both"/>
        <w:ind w:left="500" w:right="20" w:hanging="492"/>
        <w:spacing w:after="0" w:line="268" w:lineRule="auto"/>
        <w:tabs>
          <w:tab w:leader="none" w:pos="4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award amounts reflected in the table are for the performance period of fiscal 2025 through 2027. The value of the awards reflects the number of shares granted at the performance level multiplied by the closing price of a share of our common stock on the Nasdaq Global Select Market on the date of grant plus the amount of cash.</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Assumes threshold performance level is achieved for the performance goal.</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Assumes target performance level is achieved for the performance goal.</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Assumes maximum performance level is achieved for the performance goal.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8"/>
          <w:szCs w:val="18"/>
          <w:i w:val="1"/>
          <w:iCs w:val="1"/>
          <w:u w:val="single" w:color="auto"/>
          <w:color w:val="auto"/>
        </w:rPr>
        <w:t>Fiscal 2023</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2025 Performance Award Payouts</w:t>
      </w:r>
      <w:r>
        <w:rPr>
          <w:rFonts w:ascii="Arial" w:cs="Arial" w:eastAsia="Arial" w:hAnsi="Arial"/>
          <w:sz w:val="18"/>
          <w:szCs w:val="18"/>
          <w:color w:val="auto"/>
        </w:rPr>
        <w:t>. Performance awards having a three-year performance period through the end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2025 were settled 50% in shares and 50% in cash. The performance metric for the awards was average Adjusted ROIC over the three-year performance period, with a target average Adjusted ROIC of 13.27%. The following table outlines the threshold, target and maximum for these performance awards, as well as actual performance and the percentage of the performance awards achieved. Performance was above the maximum level for the three-year performance period.</w:t>
      </w:r>
    </w:p>
    <w:p>
      <w:pPr>
        <w:spacing w:after="0" w:line="23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Fiscal 2023 – 2025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548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8"/>
              </w:rPr>
              <w:t>Percentage</w:t>
            </w:r>
          </w:p>
        </w:tc>
      </w:tr>
      <w:tr>
        <w:trPr>
          <w:trHeight w:val="216"/>
        </w:trPr>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Performance</w:t>
            </w:r>
          </w:p>
        </w:tc>
      </w:tr>
      <w:tr>
        <w:trPr>
          <w:trHeight w:val="216"/>
        </w:trPr>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Weight</w:t>
            </w: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Threshold</w:t>
            </w:r>
          </w:p>
        </w:tc>
        <w:tc>
          <w:tcPr>
            <w:tcW w:w="1340" w:type="dxa"/>
            <w:vAlign w:val="bottom"/>
            <w:gridSpan w:val="2"/>
          </w:tcPr>
          <w:p>
            <w:pPr>
              <w:ind w:left="300"/>
              <w:spacing w:after="0"/>
              <w:rPr>
                <w:sz w:val="20"/>
                <w:szCs w:val="20"/>
                <w:color w:val="auto"/>
              </w:rPr>
            </w:pPr>
            <w:r>
              <w:rPr>
                <w:rFonts w:ascii="Arial" w:cs="Arial" w:eastAsia="Arial" w:hAnsi="Arial"/>
                <w:sz w:val="18"/>
                <w:szCs w:val="18"/>
                <w:b w:val="1"/>
                <w:bCs w:val="1"/>
                <w:color w:val="auto"/>
              </w:rPr>
              <w:t>Target</w:t>
            </w: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Maximum</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Actual</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Achieved</w:t>
            </w:r>
          </w:p>
        </w:tc>
      </w:tr>
      <w:tr>
        <w:trPr>
          <w:trHeight w:val="255"/>
        </w:trPr>
        <w:tc>
          <w:tcPr>
            <w:tcW w:w="24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Performance Metric</w:t>
            </w:r>
          </w:p>
        </w:tc>
        <w:tc>
          <w:tcPr>
            <w:tcW w:w="140" w:type="dxa"/>
            <w:vAlign w:val="bottom"/>
            <w:tcBorders>
              <w:bottom w:val="single" w:sz="8" w:color="DBDBDB"/>
            </w:tcBorders>
          </w:tcPr>
          <w:p>
            <w:pPr>
              <w:spacing w:after="0"/>
              <w:rPr>
                <w:sz w:val="22"/>
                <w:szCs w:val="22"/>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DBDBDB"/>
            </w:tcBorders>
          </w:tcPr>
          <w:p>
            <w:pPr>
              <w:spacing w:after="0"/>
              <w:rPr>
                <w:sz w:val="22"/>
                <w:szCs w:val="22"/>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(50%)</w:t>
            </w:r>
          </w:p>
        </w:tc>
        <w:tc>
          <w:tcPr>
            <w:tcW w:w="160" w:type="dxa"/>
            <w:vAlign w:val="bottom"/>
            <w:tcBorders>
              <w:bottom w:val="single" w:sz="8" w:color="DBDBDB"/>
            </w:tcBorders>
          </w:tcPr>
          <w:p>
            <w:pPr>
              <w:spacing w:after="0"/>
              <w:rPr>
                <w:sz w:val="22"/>
                <w:szCs w:val="22"/>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(100%)</w:t>
            </w:r>
          </w:p>
        </w:tc>
        <w:tc>
          <w:tcPr>
            <w:tcW w:w="140" w:type="dxa"/>
            <w:vAlign w:val="bottom"/>
            <w:tcBorders>
              <w:bottom w:val="single" w:sz="8" w:color="DBDBDB"/>
            </w:tcBorders>
          </w:tcPr>
          <w:p>
            <w:pPr>
              <w:spacing w:after="0"/>
              <w:rPr>
                <w:sz w:val="22"/>
                <w:szCs w:val="22"/>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w:t>
            </w:r>
          </w:p>
        </w:tc>
        <w:tc>
          <w:tcPr>
            <w:tcW w:w="100" w:type="dxa"/>
            <w:vAlign w:val="bottom"/>
            <w:tcBorders>
              <w:bottom w:val="single" w:sz="8" w:color="DBDBDB"/>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Performance (%)</w:t>
            </w:r>
          </w:p>
        </w:tc>
        <w:tc>
          <w:tcPr>
            <w:tcW w:w="140" w:type="dxa"/>
            <w:vAlign w:val="bottom"/>
            <w:tcBorders>
              <w:bottom w:val="single" w:sz="8" w:color="DBDBDB"/>
            </w:tcBorders>
          </w:tcPr>
          <w:p>
            <w:pPr>
              <w:spacing w:after="0"/>
              <w:rPr>
                <w:sz w:val="22"/>
                <w:szCs w:val="22"/>
                <w:color w:val="auto"/>
              </w:rPr>
            </w:pPr>
          </w:p>
        </w:tc>
        <w:tc>
          <w:tcPr>
            <w:tcW w:w="15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47"/>
        </w:trPr>
        <w:tc>
          <w:tcPr>
            <w:tcW w:w="2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Average Adjusted ROIC</w:t>
            </w:r>
          </w:p>
        </w:tc>
        <w:tc>
          <w:tcPr>
            <w:tcW w:w="11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DBDBDB"/>
          </w:tcPr>
          <w:p>
            <w:pPr>
              <w:spacing w:after="0"/>
              <w:rPr>
                <w:sz w:val="21"/>
                <w:szCs w:val="21"/>
                <w:color w:val="auto"/>
              </w:rPr>
            </w:pPr>
          </w:p>
        </w:tc>
        <w:tc>
          <w:tcPr>
            <w:tcW w:w="1320" w:type="dxa"/>
            <w:vAlign w:val="bottom"/>
            <w:shd w:val="clear" w:color="auto" w:fill="DBDBDB"/>
          </w:tcPr>
          <w:p>
            <w:pPr>
              <w:jc w:val="right"/>
              <w:ind w:right="350"/>
              <w:spacing w:after="0"/>
              <w:rPr>
                <w:sz w:val="20"/>
                <w:szCs w:val="20"/>
                <w:color w:val="auto"/>
              </w:rPr>
            </w:pPr>
            <w:r>
              <w:rPr>
                <w:rFonts w:ascii="Arial" w:cs="Arial" w:eastAsia="Arial" w:hAnsi="Arial"/>
                <w:sz w:val="18"/>
                <w:szCs w:val="18"/>
                <w:color w:val="auto"/>
              </w:rPr>
              <w:t>12.79</w:t>
            </w:r>
          </w:p>
        </w:tc>
        <w:tc>
          <w:tcPr>
            <w:tcW w:w="160" w:type="dxa"/>
            <w:vAlign w:val="bottom"/>
            <w:shd w:val="clear" w:color="auto" w:fill="DBDBDB"/>
          </w:tcPr>
          <w:p>
            <w:pPr>
              <w:spacing w:after="0"/>
              <w:rPr>
                <w:sz w:val="21"/>
                <w:szCs w:val="21"/>
                <w:color w:val="auto"/>
              </w:rPr>
            </w:pPr>
          </w:p>
        </w:tc>
        <w:tc>
          <w:tcPr>
            <w:tcW w:w="1200" w:type="dxa"/>
            <w:vAlign w:val="bottom"/>
            <w:shd w:val="clear" w:color="auto" w:fill="DBDBDB"/>
          </w:tcPr>
          <w:p>
            <w:pPr>
              <w:jc w:val="right"/>
              <w:ind w:right="290"/>
              <w:spacing w:after="0"/>
              <w:rPr>
                <w:sz w:val="20"/>
                <w:szCs w:val="20"/>
                <w:color w:val="auto"/>
              </w:rPr>
            </w:pPr>
            <w:r>
              <w:rPr>
                <w:rFonts w:ascii="Arial" w:cs="Arial" w:eastAsia="Arial" w:hAnsi="Arial"/>
                <w:sz w:val="18"/>
                <w:szCs w:val="18"/>
                <w:color w:val="auto"/>
              </w:rPr>
              <w:t>13.27</w:t>
            </w: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jc w:val="right"/>
              <w:ind w:right="290"/>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DBDBDB"/>
          </w:tcPr>
          <w:p>
            <w:pPr>
              <w:spacing w:after="0"/>
              <w:rPr>
                <w:sz w:val="21"/>
                <w:szCs w:val="21"/>
                <w:color w:val="auto"/>
              </w:rPr>
            </w:pPr>
          </w:p>
        </w:tc>
        <w:tc>
          <w:tcPr>
            <w:tcW w:w="14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15.77</w:t>
            </w:r>
          </w:p>
        </w:tc>
        <w:tc>
          <w:tcPr>
            <w:tcW w:w="140" w:type="dxa"/>
            <w:vAlign w:val="bottom"/>
            <w:shd w:val="clear" w:color="auto" w:fill="DBDBDB"/>
          </w:tcPr>
          <w:p>
            <w:pPr>
              <w:spacing w:after="0"/>
              <w:rPr>
                <w:sz w:val="21"/>
                <w:szCs w:val="21"/>
                <w:color w:val="auto"/>
              </w:rPr>
            </w:pPr>
          </w:p>
        </w:tc>
        <w:tc>
          <w:tcPr>
            <w:tcW w:w="1520" w:type="dxa"/>
            <w:vAlign w:val="bottom"/>
            <w:shd w:val="clear" w:color="auto" w:fill="DBDBDB"/>
          </w:tcPr>
          <w:p>
            <w:pPr>
              <w:jc w:val="right"/>
              <w:ind w:right="390"/>
              <w:spacing w:after="0"/>
              <w:rPr>
                <w:sz w:val="20"/>
                <w:szCs w:val="20"/>
                <w:color w:val="auto"/>
              </w:rPr>
            </w:pPr>
            <w:r>
              <w:rPr>
                <w:rFonts w:ascii="Arial" w:cs="Arial" w:eastAsia="Arial" w:hAnsi="Arial"/>
                <w:sz w:val="18"/>
                <w:szCs w:val="18"/>
                <w:color w:val="auto"/>
              </w:rPr>
              <w:t>200.00</w:t>
            </w:r>
          </w:p>
        </w:tc>
      </w:tr>
      <w:tr>
        <w:trPr>
          <w:trHeight w:val="23"/>
        </w:trPr>
        <w:tc>
          <w:tcPr>
            <w:tcW w:w="246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32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20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4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r>
    </w:tbl>
    <w:p>
      <w:pPr>
        <w:spacing w:after="0" w:line="29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Adjusted ROIC is a non-GAAP measure which is further defined on page </w:t>
      </w:r>
      <w:r>
        <w:rPr>
          <w:rFonts w:ascii="Arial" w:cs="Arial" w:eastAsia="Arial" w:hAnsi="Arial"/>
          <w:sz w:val="18"/>
          <w:szCs w:val="18"/>
          <w:u w:val="single" w:color="auto"/>
          <w:color w:val="0000FF"/>
        </w:rPr>
        <w:t>35</w:t>
      </w:r>
      <w:r>
        <w:rPr>
          <w:rFonts w:ascii="Arial" w:cs="Arial" w:eastAsia="Arial" w:hAnsi="Arial"/>
          <w:sz w:val="18"/>
          <w:szCs w:val="18"/>
          <w:color w:val="auto"/>
        </w:rPr>
        <w:t>, and reconciled to GAAP net earnings in Appendix A to this Proxy Statement.</w:t>
      </w:r>
    </w:p>
    <w:p>
      <w:pPr>
        <w:spacing w:after="0" w:line="20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Fiscal 2023 – 2025 Performance Share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0548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05445E"/>
                <w:w w:val="98"/>
              </w:rPr>
              <w:t>Market Value of Total</w:t>
            </w:r>
          </w:p>
        </w:tc>
      </w:tr>
      <w:tr>
        <w:trPr>
          <w:trHeight w:val="216"/>
        </w:trPr>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05445E"/>
                <w:w w:val="98"/>
              </w:rPr>
              <w:t>Target Level</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05445E"/>
                <w:w w:val="98"/>
              </w:rPr>
              <w:t>Total Performance</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05445E"/>
              </w:rPr>
              <w:t>Performance Share</w:t>
            </w:r>
          </w:p>
        </w:tc>
      </w:tr>
      <w:tr>
        <w:trPr>
          <w:trHeight w:val="212"/>
        </w:trPr>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05445E"/>
                <w:w w:val="99"/>
              </w:rPr>
              <w:t>of Shares</w:t>
            </w: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05445E"/>
                <w:w w:val="99"/>
              </w:rPr>
              <w:t>Additional Shares</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05445E"/>
                <w:w w:val="99"/>
              </w:rPr>
              <w:t>Share Payout</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05445E"/>
                <w:w w:val="99"/>
              </w:rPr>
              <w:t>Payout</w:t>
            </w:r>
          </w:p>
        </w:tc>
      </w:tr>
      <w:tr>
        <w:trPr>
          <w:trHeight w:val="266"/>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5445E"/>
              </w:rPr>
              <w:t>Name</w:t>
            </w:r>
          </w:p>
        </w:tc>
        <w:tc>
          <w:tcPr>
            <w:tcW w:w="160" w:type="dxa"/>
            <w:vAlign w:val="bottom"/>
            <w:tcBorders>
              <w:bottom w:val="single" w:sz="8" w:color="DBDBDB"/>
            </w:tcBorders>
          </w:tcPr>
          <w:p>
            <w:pPr>
              <w:spacing w:after="0"/>
              <w:rPr>
                <w:sz w:val="23"/>
                <w:szCs w:val="23"/>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240" w:type="dxa"/>
            <w:vAlign w:val="bottom"/>
            <w:tcBorders>
              <w:bottom w:val="single" w:sz="8" w:color="DBDBDB"/>
            </w:tcBorders>
          </w:tcPr>
          <w:p>
            <w:pPr>
              <w:spacing w:after="0"/>
              <w:rPr>
                <w:sz w:val="23"/>
                <w:szCs w:val="23"/>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Issued (#)</w:t>
            </w:r>
          </w:p>
        </w:tc>
        <w:tc>
          <w:tcPr>
            <w:tcW w:w="240" w:type="dxa"/>
            <w:vAlign w:val="bottom"/>
            <w:tcBorders>
              <w:bottom w:val="single" w:sz="8" w:color="DBDBDB"/>
            </w:tcBorders>
          </w:tcPr>
          <w:p>
            <w:pPr>
              <w:spacing w:after="0"/>
              <w:rPr>
                <w:sz w:val="23"/>
                <w:szCs w:val="23"/>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88"/>
              </w:rPr>
              <w:t>(#)</w:t>
            </w:r>
            <w:r>
              <w:rPr>
                <w:rFonts w:ascii="Arial" w:cs="Arial" w:eastAsia="Arial" w:hAnsi="Arial"/>
                <w:sz w:val="23"/>
                <w:szCs w:val="23"/>
                <w:b w:val="1"/>
                <w:bCs w:val="1"/>
                <w:color w:val="05445E"/>
                <w:w w:val="88"/>
                <w:vertAlign w:val="superscript"/>
              </w:rPr>
              <w:t>(1)</w:t>
            </w:r>
          </w:p>
        </w:tc>
        <w:tc>
          <w:tcPr>
            <w:tcW w:w="140" w:type="dxa"/>
            <w:vAlign w:val="bottom"/>
            <w:tcBorders>
              <w:bottom w:val="single" w:sz="8" w:color="DBDBDB"/>
            </w:tcBorders>
          </w:tcPr>
          <w:p>
            <w:pPr>
              <w:spacing w:after="0"/>
              <w:rPr>
                <w:sz w:val="23"/>
                <w:szCs w:val="23"/>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88"/>
              </w:rPr>
              <w:t>($)</w:t>
            </w:r>
            <w:r>
              <w:rPr>
                <w:rFonts w:ascii="Arial" w:cs="Arial" w:eastAsia="Arial" w:hAnsi="Arial"/>
                <w:sz w:val="23"/>
                <w:szCs w:val="23"/>
                <w:b w:val="1"/>
                <w:bCs w:val="1"/>
                <w:color w:val="05445E"/>
                <w:w w:val="88"/>
                <w:vertAlign w:val="superscript"/>
              </w:rPr>
              <w:t>(2)</w:t>
            </w:r>
          </w:p>
        </w:tc>
      </w:tr>
      <w:tr>
        <w:trPr>
          <w:trHeight w:val="243"/>
        </w:trPr>
        <w:tc>
          <w:tcPr>
            <w:tcW w:w="29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Ty R. Silberhorn</w:t>
            </w:r>
          </w:p>
        </w:tc>
        <w:tc>
          <w:tcPr>
            <w:tcW w:w="1760" w:type="dxa"/>
            <w:vAlign w:val="bottom"/>
            <w:tcBorders>
              <w:bottom w:val="single" w:sz="8" w:color="DBDBDB"/>
            </w:tcBorders>
            <w:shd w:val="clear" w:color="auto" w:fill="DBDBDB"/>
          </w:tcPr>
          <w:p>
            <w:pPr>
              <w:jc w:val="right"/>
              <w:ind w:right="350"/>
              <w:spacing w:after="0"/>
              <w:rPr>
                <w:sz w:val="20"/>
                <w:szCs w:val="20"/>
                <w:color w:val="auto"/>
              </w:rPr>
            </w:pPr>
            <w:r>
              <w:rPr>
                <w:rFonts w:ascii="Arial" w:cs="Arial" w:eastAsia="Arial" w:hAnsi="Arial"/>
                <w:sz w:val="18"/>
                <w:szCs w:val="18"/>
                <w:color w:val="auto"/>
              </w:rPr>
              <w:t>13,155</w:t>
            </w:r>
          </w:p>
        </w:tc>
        <w:tc>
          <w:tcPr>
            <w:tcW w:w="240" w:type="dxa"/>
            <w:vAlign w:val="bottom"/>
            <w:tcBorders>
              <w:bottom w:val="single" w:sz="8" w:color="DBDBDB"/>
            </w:tcBorders>
            <w:shd w:val="clear" w:color="auto" w:fill="DBDBDB"/>
          </w:tcPr>
          <w:p>
            <w:pPr>
              <w:spacing w:after="0"/>
              <w:rPr>
                <w:sz w:val="21"/>
                <w:szCs w:val="21"/>
                <w:color w:val="auto"/>
              </w:rPr>
            </w:pPr>
          </w:p>
        </w:tc>
        <w:tc>
          <w:tcPr>
            <w:tcW w:w="1800" w:type="dxa"/>
            <w:vAlign w:val="bottom"/>
            <w:tcBorders>
              <w:bottom w:val="single" w:sz="8" w:color="DBDBDB"/>
            </w:tcBorders>
            <w:shd w:val="clear" w:color="auto" w:fill="DBDBDB"/>
          </w:tcPr>
          <w:p>
            <w:pPr>
              <w:jc w:val="right"/>
              <w:ind w:right="370"/>
              <w:spacing w:after="0"/>
              <w:rPr>
                <w:sz w:val="20"/>
                <w:szCs w:val="20"/>
                <w:color w:val="auto"/>
              </w:rPr>
            </w:pPr>
            <w:r>
              <w:rPr>
                <w:rFonts w:ascii="Arial" w:cs="Arial" w:eastAsia="Arial" w:hAnsi="Arial"/>
                <w:sz w:val="18"/>
                <w:szCs w:val="18"/>
                <w:color w:val="auto"/>
              </w:rPr>
              <w:t>13,155</w:t>
            </w:r>
          </w:p>
        </w:tc>
        <w:tc>
          <w:tcPr>
            <w:tcW w:w="240" w:type="dxa"/>
            <w:vAlign w:val="bottom"/>
            <w:tcBorders>
              <w:bottom w:val="single" w:sz="8" w:color="DBDBDB"/>
            </w:tcBorders>
            <w:shd w:val="clear" w:color="auto" w:fill="DBDBDB"/>
          </w:tcPr>
          <w:p>
            <w:pPr>
              <w:spacing w:after="0"/>
              <w:rPr>
                <w:sz w:val="21"/>
                <w:szCs w:val="21"/>
                <w:color w:val="auto"/>
              </w:rPr>
            </w:pPr>
          </w:p>
        </w:tc>
        <w:tc>
          <w:tcPr>
            <w:tcW w:w="1780" w:type="dxa"/>
            <w:vAlign w:val="bottom"/>
            <w:tcBorders>
              <w:bottom w:val="single" w:sz="8" w:color="DBDBDB"/>
            </w:tcBorders>
            <w:shd w:val="clear" w:color="auto" w:fill="DBDBDB"/>
          </w:tcPr>
          <w:p>
            <w:pPr>
              <w:jc w:val="right"/>
              <w:ind w:right="370"/>
              <w:spacing w:after="0"/>
              <w:rPr>
                <w:sz w:val="20"/>
                <w:szCs w:val="20"/>
                <w:color w:val="auto"/>
              </w:rPr>
            </w:pPr>
            <w:r>
              <w:rPr>
                <w:rFonts w:ascii="Arial" w:cs="Arial" w:eastAsia="Arial" w:hAnsi="Arial"/>
                <w:sz w:val="18"/>
                <w:szCs w:val="18"/>
                <w:color w:val="auto"/>
              </w:rPr>
              <w:t>26,310</w:t>
            </w:r>
          </w:p>
        </w:tc>
        <w:tc>
          <w:tcPr>
            <w:tcW w:w="140" w:type="dxa"/>
            <w:vAlign w:val="bottom"/>
            <w:tcBorders>
              <w:bottom w:val="single" w:sz="8" w:color="DBDBDB"/>
            </w:tcBorders>
            <w:shd w:val="clear" w:color="auto" w:fill="DBDBDB"/>
          </w:tcPr>
          <w:p>
            <w:pPr>
              <w:spacing w:after="0"/>
              <w:rPr>
                <w:sz w:val="21"/>
                <w:szCs w:val="21"/>
                <w:color w:val="auto"/>
              </w:rPr>
            </w:pPr>
          </w:p>
        </w:tc>
        <w:tc>
          <w:tcPr>
            <w:tcW w:w="2220" w:type="dxa"/>
            <w:vAlign w:val="bottom"/>
            <w:tcBorders>
              <w:bottom w:val="single" w:sz="8" w:color="DBDBDB"/>
            </w:tcBorders>
            <w:shd w:val="clear" w:color="auto" w:fill="DBDBDB"/>
          </w:tcPr>
          <w:p>
            <w:pPr>
              <w:jc w:val="right"/>
              <w:ind w:right="370"/>
              <w:spacing w:after="0"/>
              <w:rPr>
                <w:sz w:val="20"/>
                <w:szCs w:val="20"/>
                <w:color w:val="auto"/>
              </w:rPr>
            </w:pPr>
            <w:r>
              <w:rPr>
                <w:rFonts w:ascii="Arial" w:cs="Arial" w:eastAsia="Arial" w:hAnsi="Arial"/>
                <w:sz w:val="18"/>
                <w:szCs w:val="18"/>
                <w:color w:val="auto"/>
              </w:rPr>
              <w:t>1,199,999</w:t>
            </w:r>
          </w:p>
        </w:tc>
      </w:tr>
      <w:tr>
        <w:trPr>
          <w:trHeight w:val="270"/>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Matthew J. Osberg</w:t>
            </w:r>
            <w:r>
              <w:rPr>
                <w:rFonts w:ascii="Arial" w:cs="Arial" w:eastAsia="Arial" w:hAnsi="Arial"/>
                <w:sz w:val="23"/>
                <w:szCs w:val="23"/>
                <w:color w:val="auto"/>
                <w:vertAlign w:val="superscript"/>
              </w:rPr>
              <w:t>(3)</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29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Brent C. Jewell</w:t>
            </w:r>
          </w:p>
        </w:tc>
        <w:tc>
          <w:tcPr>
            <w:tcW w:w="1760" w:type="dxa"/>
            <w:vAlign w:val="bottom"/>
            <w:tcBorders>
              <w:bottom w:val="single" w:sz="8" w:color="DBDBDB"/>
            </w:tcBorders>
            <w:shd w:val="clear" w:color="auto" w:fill="DBDBDB"/>
          </w:tcPr>
          <w:p>
            <w:pPr>
              <w:jc w:val="right"/>
              <w:ind w:right="350"/>
              <w:spacing w:after="0"/>
              <w:rPr>
                <w:sz w:val="20"/>
                <w:szCs w:val="20"/>
                <w:color w:val="auto"/>
              </w:rPr>
            </w:pPr>
            <w:r>
              <w:rPr>
                <w:rFonts w:ascii="Arial" w:cs="Arial" w:eastAsia="Arial" w:hAnsi="Arial"/>
                <w:sz w:val="18"/>
                <w:szCs w:val="18"/>
                <w:color w:val="auto"/>
              </w:rPr>
              <w:t>2,603</w:t>
            </w:r>
          </w:p>
        </w:tc>
        <w:tc>
          <w:tcPr>
            <w:tcW w:w="240" w:type="dxa"/>
            <w:vAlign w:val="bottom"/>
            <w:tcBorders>
              <w:bottom w:val="single" w:sz="8" w:color="DBDBDB"/>
            </w:tcBorders>
            <w:shd w:val="clear" w:color="auto" w:fill="DBDBDB"/>
          </w:tcPr>
          <w:p>
            <w:pPr>
              <w:spacing w:after="0"/>
              <w:rPr>
                <w:sz w:val="21"/>
                <w:szCs w:val="21"/>
                <w:color w:val="auto"/>
              </w:rPr>
            </w:pPr>
          </w:p>
        </w:tc>
        <w:tc>
          <w:tcPr>
            <w:tcW w:w="1800" w:type="dxa"/>
            <w:vAlign w:val="bottom"/>
            <w:tcBorders>
              <w:bottom w:val="single" w:sz="8" w:color="DBDBDB"/>
            </w:tcBorders>
            <w:shd w:val="clear" w:color="auto" w:fill="DBDBDB"/>
          </w:tcPr>
          <w:p>
            <w:pPr>
              <w:jc w:val="right"/>
              <w:ind w:right="370"/>
              <w:spacing w:after="0"/>
              <w:rPr>
                <w:sz w:val="20"/>
                <w:szCs w:val="20"/>
                <w:color w:val="auto"/>
              </w:rPr>
            </w:pPr>
            <w:r>
              <w:rPr>
                <w:rFonts w:ascii="Arial" w:cs="Arial" w:eastAsia="Arial" w:hAnsi="Arial"/>
                <w:sz w:val="18"/>
                <w:szCs w:val="18"/>
                <w:color w:val="auto"/>
              </w:rPr>
              <w:t>2,603</w:t>
            </w:r>
          </w:p>
        </w:tc>
        <w:tc>
          <w:tcPr>
            <w:tcW w:w="240" w:type="dxa"/>
            <w:vAlign w:val="bottom"/>
            <w:tcBorders>
              <w:bottom w:val="single" w:sz="8" w:color="DBDBDB"/>
            </w:tcBorders>
            <w:shd w:val="clear" w:color="auto" w:fill="DBDBDB"/>
          </w:tcPr>
          <w:p>
            <w:pPr>
              <w:spacing w:after="0"/>
              <w:rPr>
                <w:sz w:val="21"/>
                <w:szCs w:val="21"/>
                <w:color w:val="auto"/>
              </w:rPr>
            </w:pPr>
          </w:p>
        </w:tc>
        <w:tc>
          <w:tcPr>
            <w:tcW w:w="1780" w:type="dxa"/>
            <w:vAlign w:val="bottom"/>
            <w:tcBorders>
              <w:bottom w:val="single" w:sz="8" w:color="DBDBDB"/>
            </w:tcBorders>
            <w:shd w:val="clear" w:color="auto" w:fill="DBDBDB"/>
          </w:tcPr>
          <w:p>
            <w:pPr>
              <w:jc w:val="right"/>
              <w:ind w:right="370"/>
              <w:spacing w:after="0"/>
              <w:rPr>
                <w:sz w:val="20"/>
                <w:szCs w:val="20"/>
                <w:color w:val="auto"/>
              </w:rPr>
            </w:pPr>
            <w:r>
              <w:rPr>
                <w:rFonts w:ascii="Arial" w:cs="Arial" w:eastAsia="Arial" w:hAnsi="Arial"/>
                <w:sz w:val="18"/>
                <w:szCs w:val="18"/>
                <w:color w:val="auto"/>
              </w:rPr>
              <w:t>5,206</w:t>
            </w:r>
          </w:p>
        </w:tc>
        <w:tc>
          <w:tcPr>
            <w:tcW w:w="140" w:type="dxa"/>
            <w:vAlign w:val="bottom"/>
            <w:tcBorders>
              <w:bottom w:val="single" w:sz="8" w:color="DBDBDB"/>
            </w:tcBorders>
            <w:shd w:val="clear" w:color="auto" w:fill="DBDBDB"/>
          </w:tcPr>
          <w:p>
            <w:pPr>
              <w:spacing w:after="0"/>
              <w:rPr>
                <w:sz w:val="21"/>
                <w:szCs w:val="21"/>
                <w:color w:val="auto"/>
              </w:rPr>
            </w:pPr>
          </w:p>
        </w:tc>
        <w:tc>
          <w:tcPr>
            <w:tcW w:w="2220" w:type="dxa"/>
            <w:vAlign w:val="bottom"/>
            <w:tcBorders>
              <w:bottom w:val="single" w:sz="8" w:color="DBDBDB"/>
            </w:tcBorders>
            <w:shd w:val="clear" w:color="auto" w:fill="DBDBDB"/>
          </w:tcPr>
          <w:p>
            <w:pPr>
              <w:jc w:val="right"/>
              <w:ind w:right="370"/>
              <w:spacing w:after="0"/>
              <w:rPr>
                <w:sz w:val="20"/>
                <w:szCs w:val="20"/>
                <w:color w:val="auto"/>
              </w:rPr>
            </w:pPr>
            <w:r>
              <w:rPr>
                <w:rFonts w:ascii="Arial" w:cs="Arial" w:eastAsia="Arial" w:hAnsi="Arial"/>
                <w:sz w:val="18"/>
                <w:szCs w:val="18"/>
                <w:color w:val="auto"/>
              </w:rPr>
              <w:t>237,446</w:t>
            </w:r>
          </w:p>
        </w:tc>
      </w:tr>
      <w:tr>
        <w:trPr>
          <w:trHeight w:val="247"/>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Troy R. Johnson</w:t>
            </w:r>
          </w:p>
        </w:tc>
        <w:tc>
          <w:tcPr>
            <w:tcW w:w="1760" w:type="dxa"/>
            <w:vAlign w:val="bottom"/>
          </w:tcPr>
          <w:p>
            <w:pPr>
              <w:jc w:val="right"/>
              <w:ind w:right="350"/>
              <w:spacing w:after="0"/>
              <w:rPr>
                <w:sz w:val="20"/>
                <w:szCs w:val="20"/>
                <w:color w:val="auto"/>
              </w:rPr>
            </w:pPr>
            <w:r>
              <w:rPr>
                <w:rFonts w:ascii="Arial" w:cs="Arial" w:eastAsia="Arial" w:hAnsi="Arial"/>
                <w:sz w:val="18"/>
                <w:szCs w:val="18"/>
                <w:color w:val="auto"/>
              </w:rPr>
              <w:t>2,475</w:t>
            </w:r>
          </w:p>
        </w:tc>
        <w:tc>
          <w:tcPr>
            <w:tcW w:w="240" w:type="dxa"/>
            <w:vAlign w:val="bottom"/>
          </w:tcPr>
          <w:p>
            <w:pPr>
              <w:spacing w:after="0"/>
              <w:rPr>
                <w:sz w:val="21"/>
                <w:szCs w:val="21"/>
                <w:color w:val="auto"/>
              </w:rPr>
            </w:pPr>
          </w:p>
        </w:tc>
        <w:tc>
          <w:tcPr>
            <w:tcW w:w="1800" w:type="dxa"/>
            <w:vAlign w:val="bottom"/>
          </w:tcPr>
          <w:p>
            <w:pPr>
              <w:jc w:val="right"/>
              <w:ind w:right="370"/>
              <w:spacing w:after="0"/>
              <w:rPr>
                <w:sz w:val="20"/>
                <w:szCs w:val="20"/>
                <w:color w:val="auto"/>
              </w:rPr>
            </w:pPr>
            <w:r>
              <w:rPr>
                <w:rFonts w:ascii="Arial" w:cs="Arial" w:eastAsia="Arial" w:hAnsi="Arial"/>
                <w:sz w:val="18"/>
                <w:szCs w:val="18"/>
                <w:color w:val="auto"/>
              </w:rPr>
              <w:t>2,475</w:t>
            </w:r>
          </w:p>
        </w:tc>
        <w:tc>
          <w:tcPr>
            <w:tcW w:w="240" w:type="dxa"/>
            <w:vAlign w:val="bottom"/>
          </w:tcPr>
          <w:p>
            <w:pPr>
              <w:spacing w:after="0"/>
              <w:rPr>
                <w:sz w:val="21"/>
                <w:szCs w:val="21"/>
                <w:color w:val="auto"/>
              </w:rPr>
            </w:pP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4,950</w:t>
            </w:r>
          </w:p>
        </w:tc>
        <w:tc>
          <w:tcPr>
            <w:tcW w:w="140" w:type="dxa"/>
            <w:vAlign w:val="bottom"/>
          </w:tcPr>
          <w:p>
            <w:pPr>
              <w:spacing w:after="0"/>
              <w:rPr>
                <w:sz w:val="21"/>
                <w:szCs w:val="21"/>
                <w:color w:val="auto"/>
              </w:rPr>
            </w:pPr>
          </w:p>
        </w:tc>
        <w:tc>
          <w:tcPr>
            <w:tcW w:w="2220" w:type="dxa"/>
            <w:vAlign w:val="bottom"/>
          </w:tcPr>
          <w:p>
            <w:pPr>
              <w:jc w:val="right"/>
              <w:ind w:right="370"/>
              <w:spacing w:after="0"/>
              <w:rPr>
                <w:sz w:val="20"/>
                <w:szCs w:val="20"/>
                <w:color w:val="auto"/>
              </w:rPr>
            </w:pPr>
            <w:r>
              <w:rPr>
                <w:rFonts w:ascii="Arial" w:cs="Arial" w:eastAsia="Arial" w:hAnsi="Arial"/>
                <w:sz w:val="18"/>
                <w:szCs w:val="18"/>
                <w:color w:val="auto"/>
              </w:rPr>
              <w:t>225,770</w:t>
            </w:r>
          </w:p>
        </w:tc>
      </w:tr>
      <w:tr>
        <w:trPr>
          <w:trHeight w:val="23"/>
        </w:trPr>
        <w:tc>
          <w:tcPr>
            <w:tcW w:w="2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70"/>
        </w:trPr>
        <w:tc>
          <w:tcPr>
            <w:tcW w:w="29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Raelyn A. Trende</w:t>
            </w:r>
            <w:r>
              <w:rPr>
                <w:rFonts w:ascii="Arial" w:cs="Arial" w:eastAsia="Arial" w:hAnsi="Arial"/>
                <w:sz w:val="23"/>
                <w:szCs w:val="23"/>
                <w:color w:val="auto"/>
                <w:vertAlign w:val="superscript"/>
              </w:rPr>
              <w:t>(4)</w:t>
            </w:r>
          </w:p>
        </w:tc>
        <w:tc>
          <w:tcPr>
            <w:tcW w:w="2000" w:type="dxa"/>
            <w:vAlign w:val="bottom"/>
            <w:gridSpan w:val="2"/>
            <w:shd w:val="clear" w:color="auto" w:fill="DBDBDB"/>
          </w:tcPr>
          <w:p>
            <w:pPr>
              <w:jc w:val="center"/>
              <w:ind w:right="220"/>
              <w:spacing w:after="0"/>
              <w:rPr>
                <w:sz w:val="20"/>
                <w:szCs w:val="20"/>
                <w:color w:val="auto"/>
              </w:rPr>
            </w:pPr>
            <w:r>
              <w:rPr>
                <w:rFonts w:ascii="Arial" w:cs="Arial" w:eastAsia="Arial" w:hAnsi="Arial"/>
                <w:sz w:val="18"/>
                <w:szCs w:val="18"/>
                <w:color w:val="auto"/>
                <w:w w:val="99"/>
              </w:rPr>
              <w:t>—</w:t>
            </w:r>
          </w:p>
        </w:tc>
        <w:tc>
          <w:tcPr>
            <w:tcW w:w="2040" w:type="dxa"/>
            <w:vAlign w:val="bottom"/>
            <w:gridSpan w:val="2"/>
            <w:shd w:val="clear" w:color="auto" w:fill="DBDBDB"/>
          </w:tcPr>
          <w:p>
            <w:pPr>
              <w:jc w:val="center"/>
              <w:ind w:right="240"/>
              <w:spacing w:after="0"/>
              <w:rPr>
                <w:sz w:val="20"/>
                <w:szCs w:val="20"/>
                <w:color w:val="auto"/>
              </w:rPr>
            </w:pPr>
            <w:r>
              <w:rPr>
                <w:rFonts w:ascii="Arial" w:cs="Arial" w:eastAsia="Arial" w:hAnsi="Arial"/>
                <w:sz w:val="18"/>
                <w:szCs w:val="18"/>
                <w:color w:val="auto"/>
                <w:w w:val="88"/>
              </w:rPr>
              <w:t>—</w:t>
            </w:r>
          </w:p>
        </w:tc>
        <w:tc>
          <w:tcPr>
            <w:tcW w:w="1920" w:type="dxa"/>
            <w:vAlign w:val="bottom"/>
            <w:gridSpan w:val="2"/>
            <w:shd w:val="clear" w:color="auto" w:fill="DBDBDB"/>
          </w:tcPr>
          <w:p>
            <w:pPr>
              <w:jc w:val="center"/>
              <w:ind w:right="140"/>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r>
        <w:trPr>
          <w:trHeight w:val="425"/>
        </w:trPr>
        <w:tc>
          <w:tcPr>
            <w:tcW w:w="2780" w:type="dxa"/>
            <w:vAlign w:val="bottom"/>
          </w:tcPr>
          <w:p>
            <w:pPr>
              <w:spacing w:after="0"/>
              <w:rPr>
                <w:sz w:val="20"/>
                <w:szCs w:val="20"/>
                <w:color w:val="auto"/>
              </w:rPr>
            </w:pPr>
            <w:r>
              <w:rPr>
                <w:rFonts w:ascii="Arial" w:cs="Arial" w:eastAsia="Arial" w:hAnsi="Arial"/>
                <w:sz w:val="11"/>
                <w:szCs w:val="11"/>
                <w:color w:val="auto"/>
              </w:rPr>
              <w:t>___________________________</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96" w:lineRule="exact"/>
        <w:rPr>
          <w:sz w:val="20"/>
          <w:szCs w:val="20"/>
          <w:color w:val="auto"/>
        </w:rPr>
      </w:pPr>
    </w:p>
    <w:p>
      <w:pPr>
        <w:ind w:left="480" w:hanging="472"/>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Equals the sum of the "Target Level of Shares" and "Additional Shares Issued" columns.</w:t>
      </w:r>
    </w:p>
    <w:p>
      <w:pPr>
        <w:spacing w:after="0" w:line="117" w:lineRule="exact"/>
        <w:rPr>
          <w:rFonts w:ascii="Arial" w:cs="Arial" w:eastAsia="Arial" w:hAnsi="Arial"/>
          <w:sz w:val="18"/>
          <w:szCs w:val="18"/>
          <w:color w:val="auto"/>
        </w:rPr>
      </w:pPr>
    </w:p>
    <w:p>
      <w:pPr>
        <w:jc w:val="both"/>
        <w:ind w:left="500" w:hanging="492"/>
        <w:spacing w:after="0" w:line="268" w:lineRule="auto"/>
        <w:tabs>
          <w:tab w:leader="none" w:pos="49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market value of the total performance share payout is calculated by multiplying the closing price $45.61 of our common stock on the Nasdaq Global Select Market on April 22, 2025, the date the Compensation Committee approved the final award, with the total performance share payout.</w:t>
      </w:r>
    </w:p>
    <w:p>
      <w:pPr>
        <w:spacing w:after="0" w:line="62" w:lineRule="exact"/>
        <w:rPr>
          <w:rFonts w:ascii="Arial" w:cs="Arial" w:eastAsia="Arial" w:hAnsi="Arial"/>
          <w:sz w:val="18"/>
          <w:szCs w:val="18"/>
          <w:color w:val="auto"/>
        </w:rPr>
      </w:pPr>
    </w:p>
    <w:p>
      <w:pPr>
        <w:ind w:left="500" w:hanging="492"/>
        <w:spacing w:after="0" w:line="287" w:lineRule="auto"/>
        <w:tabs>
          <w:tab w:leader="none" w:pos="49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Osberg was not employed by the Company until April 28, 2023, and therefore did not receive a fiscal 2023 – 2025 performance award.</w:t>
      </w:r>
    </w:p>
    <w:p>
      <w:pPr>
        <w:spacing w:after="0" w:line="44" w:lineRule="exact"/>
        <w:rPr>
          <w:rFonts w:ascii="Arial" w:cs="Arial" w:eastAsia="Arial" w:hAnsi="Arial"/>
          <w:sz w:val="18"/>
          <w:szCs w:val="18"/>
          <w:color w:val="auto"/>
        </w:rPr>
      </w:pPr>
    </w:p>
    <w:p>
      <w:pPr>
        <w:ind w:left="500" w:hanging="492"/>
        <w:spacing w:after="0" w:line="287" w:lineRule="auto"/>
        <w:tabs>
          <w:tab w:leader="none" w:pos="49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Ms. Trende was not employed by the Company until July 29, 2024, and therefore did not receive a fiscal 2023 – 2025 performance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3" w:name="page54"/>
    <w:bookmarkEnd w:id="53"/>
    <w:p>
      <w:pPr>
        <w:ind w:left="3480"/>
        <w:spacing w:after="0"/>
        <w:rPr>
          <w:sz w:val="20"/>
          <w:szCs w:val="20"/>
          <w:color w:val="auto"/>
        </w:rPr>
      </w:pPr>
      <w:r>
        <w:rPr>
          <w:rFonts w:ascii="Arial" w:cs="Arial" w:eastAsia="Arial" w:hAnsi="Arial"/>
          <w:sz w:val="18"/>
          <w:szCs w:val="18"/>
          <w:b w:val="1"/>
          <w:bCs w:val="1"/>
          <w:color w:val="auto"/>
        </w:rPr>
        <w:t>Fiscal 2023 – 2025 Performance Cash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8491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05445E"/>
                <w:w w:val="98"/>
              </w:rPr>
              <w:t>Target</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jc w:val="right"/>
              <w:ind w:right="50"/>
              <w:spacing w:after="0"/>
              <w:rPr>
                <w:sz w:val="20"/>
                <w:szCs w:val="20"/>
                <w:color w:val="auto"/>
              </w:rPr>
            </w:pPr>
            <w:r>
              <w:rPr>
                <w:rFonts w:ascii="Arial" w:cs="Arial" w:eastAsia="Arial" w:hAnsi="Arial"/>
                <w:sz w:val="18"/>
                <w:szCs w:val="18"/>
                <w:b w:val="1"/>
                <w:bCs w:val="1"/>
                <w:color w:val="05445E"/>
              </w:rPr>
              <w:t>Total Performance Cash</w:t>
            </w:r>
          </w:p>
        </w:tc>
      </w:tr>
      <w:tr>
        <w:trPr>
          <w:trHeight w:val="212"/>
        </w:trPr>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05445E"/>
                <w:w w:val="99"/>
              </w:rPr>
              <w:t>Level</w:t>
            </w:r>
          </w:p>
        </w:tc>
        <w:tc>
          <w:tcPr>
            <w:tcW w:w="2560" w:type="dxa"/>
            <w:vAlign w:val="bottom"/>
            <w:gridSpan w:val="2"/>
          </w:tcPr>
          <w:p>
            <w:pPr>
              <w:ind w:left="20"/>
              <w:spacing w:after="0"/>
              <w:rPr>
                <w:sz w:val="20"/>
                <w:szCs w:val="20"/>
                <w:color w:val="auto"/>
              </w:rPr>
            </w:pPr>
            <w:r>
              <w:rPr>
                <w:rFonts w:ascii="Arial" w:cs="Arial" w:eastAsia="Arial" w:hAnsi="Arial"/>
                <w:sz w:val="18"/>
                <w:szCs w:val="18"/>
                <w:b w:val="1"/>
                <w:bCs w:val="1"/>
                <w:color w:val="05445E"/>
              </w:rPr>
              <w:t>Additional Amount Earned</w:t>
            </w:r>
          </w:p>
        </w:tc>
        <w:tc>
          <w:tcPr>
            <w:tcW w:w="2340" w:type="dxa"/>
            <w:vAlign w:val="bottom"/>
          </w:tcPr>
          <w:p>
            <w:pPr>
              <w:jc w:val="right"/>
              <w:ind w:right="790"/>
              <w:spacing w:after="0"/>
              <w:rPr>
                <w:sz w:val="20"/>
                <w:szCs w:val="20"/>
                <w:color w:val="auto"/>
              </w:rPr>
            </w:pPr>
            <w:r>
              <w:rPr>
                <w:rFonts w:ascii="Arial" w:cs="Arial" w:eastAsia="Arial" w:hAnsi="Arial"/>
                <w:sz w:val="18"/>
                <w:szCs w:val="18"/>
                <w:b w:val="1"/>
                <w:bCs w:val="1"/>
                <w:color w:val="05445E"/>
              </w:rPr>
              <w:t>Payout</w:t>
            </w:r>
          </w:p>
        </w:tc>
      </w:tr>
      <w:tr>
        <w:trPr>
          <w:trHeight w:val="266"/>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5445E"/>
              </w:rPr>
              <w:t>Name</w:t>
            </w:r>
          </w:p>
        </w:tc>
        <w:tc>
          <w:tcPr>
            <w:tcW w:w="240" w:type="dxa"/>
            <w:vAlign w:val="bottom"/>
            <w:tcBorders>
              <w:bottom w:val="single" w:sz="8" w:color="DBDBDB"/>
            </w:tcBorders>
          </w:tcPr>
          <w:p>
            <w:pPr>
              <w:spacing w:after="0"/>
              <w:rPr>
                <w:sz w:val="23"/>
                <w:szCs w:val="23"/>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240" w:type="dxa"/>
            <w:vAlign w:val="bottom"/>
            <w:tcBorders>
              <w:bottom w:val="single" w:sz="8" w:color="DBDBDB"/>
            </w:tcBorders>
          </w:tcPr>
          <w:p>
            <w:pPr>
              <w:spacing w:after="0"/>
              <w:rPr>
                <w:sz w:val="23"/>
                <w:szCs w:val="23"/>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240" w:type="dxa"/>
            <w:vAlign w:val="bottom"/>
            <w:tcBorders>
              <w:bottom w:val="single" w:sz="8" w:color="DBDBDB"/>
            </w:tcBorders>
          </w:tcPr>
          <w:p>
            <w:pPr>
              <w:spacing w:after="0"/>
              <w:rPr>
                <w:sz w:val="23"/>
                <w:szCs w:val="23"/>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88"/>
              </w:rPr>
              <w:t>($)</w:t>
            </w:r>
            <w:r>
              <w:rPr>
                <w:rFonts w:ascii="Arial" w:cs="Arial" w:eastAsia="Arial" w:hAnsi="Arial"/>
                <w:sz w:val="23"/>
                <w:szCs w:val="23"/>
                <w:b w:val="1"/>
                <w:bCs w:val="1"/>
                <w:color w:val="05445E"/>
                <w:w w:val="88"/>
                <w:vertAlign w:val="superscript"/>
              </w:rPr>
              <w:t>(1)</w:t>
            </w:r>
          </w:p>
        </w:tc>
      </w:tr>
      <w:tr>
        <w:trPr>
          <w:trHeight w:val="244"/>
        </w:trPr>
        <w:tc>
          <w:tcPr>
            <w:tcW w:w="33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Ty R. Silberhorn</w:t>
            </w:r>
          </w:p>
        </w:tc>
        <w:tc>
          <w:tcPr>
            <w:tcW w:w="2340" w:type="dxa"/>
            <w:vAlign w:val="bottom"/>
            <w:tcBorders>
              <w:bottom w:val="single" w:sz="8" w:color="DBDBDB"/>
            </w:tcBorders>
            <w:shd w:val="clear" w:color="auto" w:fill="DBDBDB"/>
          </w:tcPr>
          <w:p>
            <w:pPr>
              <w:jc w:val="right"/>
              <w:ind w:right="590"/>
              <w:spacing w:after="0"/>
              <w:rPr>
                <w:sz w:val="20"/>
                <w:szCs w:val="20"/>
                <w:color w:val="auto"/>
              </w:rPr>
            </w:pPr>
            <w:r>
              <w:rPr>
                <w:rFonts w:ascii="Arial" w:cs="Arial" w:eastAsia="Arial" w:hAnsi="Arial"/>
                <w:sz w:val="18"/>
                <w:szCs w:val="18"/>
                <w:color w:val="auto"/>
              </w:rPr>
              <w:t>630,000</w:t>
            </w:r>
          </w:p>
        </w:tc>
        <w:tc>
          <w:tcPr>
            <w:tcW w:w="240" w:type="dxa"/>
            <w:vAlign w:val="bottom"/>
            <w:tcBorders>
              <w:bottom w:val="single" w:sz="8" w:color="DBDBDB"/>
            </w:tcBorders>
            <w:shd w:val="clear" w:color="auto" w:fill="DBDBDB"/>
          </w:tcPr>
          <w:p>
            <w:pPr>
              <w:spacing w:after="0"/>
              <w:rPr>
                <w:sz w:val="21"/>
                <w:szCs w:val="21"/>
                <w:color w:val="auto"/>
              </w:rPr>
            </w:pPr>
          </w:p>
        </w:tc>
        <w:tc>
          <w:tcPr>
            <w:tcW w:w="2320" w:type="dxa"/>
            <w:vAlign w:val="bottom"/>
            <w:tcBorders>
              <w:bottom w:val="single" w:sz="8" w:color="DBDBDB"/>
            </w:tcBorders>
            <w:shd w:val="clear" w:color="auto" w:fill="DBDBDB"/>
          </w:tcPr>
          <w:p>
            <w:pPr>
              <w:jc w:val="right"/>
              <w:ind w:right="570"/>
              <w:spacing w:after="0"/>
              <w:rPr>
                <w:sz w:val="20"/>
                <w:szCs w:val="20"/>
                <w:color w:val="auto"/>
              </w:rPr>
            </w:pPr>
            <w:r>
              <w:rPr>
                <w:rFonts w:ascii="Arial" w:cs="Arial" w:eastAsia="Arial" w:hAnsi="Arial"/>
                <w:sz w:val="18"/>
                <w:szCs w:val="18"/>
                <w:color w:val="auto"/>
              </w:rPr>
              <w:t>630,000</w:t>
            </w:r>
          </w:p>
        </w:tc>
        <w:tc>
          <w:tcPr>
            <w:tcW w:w="240" w:type="dxa"/>
            <w:vAlign w:val="bottom"/>
            <w:tcBorders>
              <w:bottom w:val="single" w:sz="8" w:color="DBDBDB"/>
            </w:tcBorders>
            <w:shd w:val="clear" w:color="auto" w:fill="DBDBDB"/>
          </w:tcPr>
          <w:p>
            <w:pPr>
              <w:spacing w:after="0"/>
              <w:rPr>
                <w:sz w:val="21"/>
                <w:szCs w:val="21"/>
                <w:color w:val="auto"/>
              </w:rPr>
            </w:pPr>
          </w:p>
        </w:tc>
        <w:tc>
          <w:tcPr>
            <w:tcW w:w="2340" w:type="dxa"/>
            <w:vAlign w:val="bottom"/>
            <w:tcBorders>
              <w:bottom w:val="single" w:sz="8" w:color="DBDBDB"/>
            </w:tcBorders>
            <w:shd w:val="clear" w:color="auto" w:fill="DBDBDB"/>
          </w:tcPr>
          <w:p>
            <w:pPr>
              <w:jc w:val="right"/>
              <w:ind w:right="470"/>
              <w:spacing w:after="0"/>
              <w:rPr>
                <w:sz w:val="20"/>
                <w:szCs w:val="20"/>
                <w:color w:val="auto"/>
              </w:rPr>
            </w:pPr>
            <w:r>
              <w:rPr>
                <w:rFonts w:ascii="Arial" w:cs="Arial" w:eastAsia="Arial" w:hAnsi="Arial"/>
                <w:sz w:val="18"/>
                <w:szCs w:val="18"/>
                <w:color w:val="auto"/>
              </w:rPr>
              <w:t>1,260,000</w:t>
            </w:r>
          </w:p>
        </w:tc>
      </w:tr>
      <w:tr>
        <w:trPr>
          <w:trHeight w:val="27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Matthew J. Osberg</w:t>
            </w:r>
            <w:r>
              <w:rPr>
                <w:rFonts w:ascii="Arial" w:cs="Arial" w:eastAsia="Arial" w:hAnsi="Arial"/>
                <w:sz w:val="23"/>
                <w:szCs w:val="23"/>
                <w:color w:val="auto"/>
                <w:vertAlign w:val="superscript"/>
              </w:rPr>
              <w:t>(2)</w:t>
            </w:r>
          </w:p>
        </w:tc>
        <w:tc>
          <w:tcPr>
            <w:tcW w:w="25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5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23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33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Brent C. Jewell</w:t>
            </w:r>
          </w:p>
        </w:tc>
        <w:tc>
          <w:tcPr>
            <w:tcW w:w="2340" w:type="dxa"/>
            <w:vAlign w:val="bottom"/>
            <w:tcBorders>
              <w:bottom w:val="single" w:sz="8" w:color="DBDBDB"/>
            </w:tcBorders>
            <w:shd w:val="clear" w:color="auto" w:fill="DBDBDB"/>
          </w:tcPr>
          <w:p>
            <w:pPr>
              <w:jc w:val="right"/>
              <w:ind w:right="590"/>
              <w:spacing w:after="0"/>
              <w:rPr>
                <w:sz w:val="20"/>
                <w:szCs w:val="20"/>
                <w:color w:val="auto"/>
              </w:rPr>
            </w:pPr>
            <w:r>
              <w:rPr>
                <w:rFonts w:ascii="Arial" w:cs="Arial" w:eastAsia="Arial" w:hAnsi="Arial"/>
                <w:sz w:val="18"/>
                <w:szCs w:val="18"/>
                <w:color w:val="auto"/>
              </w:rPr>
              <w:t>127,800</w:t>
            </w:r>
          </w:p>
        </w:tc>
        <w:tc>
          <w:tcPr>
            <w:tcW w:w="240" w:type="dxa"/>
            <w:vAlign w:val="bottom"/>
            <w:tcBorders>
              <w:bottom w:val="single" w:sz="8" w:color="DBDBDB"/>
            </w:tcBorders>
            <w:shd w:val="clear" w:color="auto" w:fill="DBDBDB"/>
          </w:tcPr>
          <w:p>
            <w:pPr>
              <w:spacing w:after="0"/>
              <w:rPr>
                <w:sz w:val="21"/>
                <w:szCs w:val="21"/>
                <w:color w:val="auto"/>
              </w:rPr>
            </w:pPr>
          </w:p>
        </w:tc>
        <w:tc>
          <w:tcPr>
            <w:tcW w:w="2320" w:type="dxa"/>
            <w:vAlign w:val="bottom"/>
            <w:tcBorders>
              <w:bottom w:val="single" w:sz="8" w:color="DBDBDB"/>
            </w:tcBorders>
            <w:shd w:val="clear" w:color="auto" w:fill="DBDBDB"/>
          </w:tcPr>
          <w:p>
            <w:pPr>
              <w:jc w:val="right"/>
              <w:ind w:right="570"/>
              <w:spacing w:after="0"/>
              <w:rPr>
                <w:sz w:val="20"/>
                <w:szCs w:val="20"/>
                <w:color w:val="auto"/>
              </w:rPr>
            </w:pPr>
            <w:r>
              <w:rPr>
                <w:rFonts w:ascii="Arial" w:cs="Arial" w:eastAsia="Arial" w:hAnsi="Arial"/>
                <w:sz w:val="18"/>
                <w:szCs w:val="18"/>
                <w:color w:val="auto"/>
              </w:rPr>
              <w:t>127,800</w:t>
            </w:r>
          </w:p>
        </w:tc>
        <w:tc>
          <w:tcPr>
            <w:tcW w:w="240" w:type="dxa"/>
            <w:vAlign w:val="bottom"/>
            <w:tcBorders>
              <w:bottom w:val="single" w:sz="8" w:color="DBDBDB"/>
            </w:tcBorders>
            <w:shd w:val="clear" w:color="auto" w:fill="DBDBDB"/>
          </w:tcPr>
          <w:p>
            <w:pPr>
              <w:spacing w:after="0"/>
              <w:rPr>
                <w:sz w:val="21"/>
                <w:szCs w:val="21"/>
                <w:color w:val="auto"/>
              </w:rPr>
            </w:pPr>
          </w:p>
        </w:tc>
        <w:tc>
          <w:tcPr>
            <w:tcW w:w="2340" w:type="dxa"/>
            <w:vAlign w:val="bottom"/>
            <w:tcBorders>
              <w:bottom w:val="single" w:sz="8" w:color="DBDBDB"/>
            </w:tcBorders>
            <w:shd w:val="clear" w:color="auto" w:fill="DBDBDB"/>
          </w:tcPr>
          <w:p>
            <w:pPr>
              <w:jc w:val="right"/>
              <w:ind w:right="470"/>
              <w:spacing w:after="0"/>
              <w:rPr>
                <w:sz w:val="20"/>
                <w:szCs w:val="20"/>
                <w:color w:val="auto"/>
              </w:rPr>
            </w:pPr>
            <w:r>
              <w:rPr>
                <w:rFonts w:ascii="Arial" w:cs="Arial" w:eastAsia="Arial" w:hAnsi="Arial"/>
                <w:sz w:val="18"/>
                <w:szCs w:val="18"/>
                <w:color w:val="auto"/>
              </w:rPr>
              <w:t>255,600</w:t>
            </w:r>
          </w:p>
        </w:tc>
      </w:tr>
      <w:tr>
        <w:trPr>
          <w:trHeight w:val="247"/>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Troy R. Johnson</w:t>
            </w:r>
          </w:p>
        </w:tc>
        <w:tc>
          <w:tcPr>
            <w:tcW w:w="2340" w:type="dxa"/>
            <w:vAlign w:val="bottom"/>
          </w:tcPr>
          <w:p>
            <w:pPr>
              <w:jc w:val="right"/>
              <w:ind w:right="590"/>
              <w:spacing w:after="0"/>
              <w:rPr>
                <w:sz w:val="20"/>
                <w:szCs w:val="20"/>
                <w:color w:val="auto"/>
              </w:rPr>
            </w:pPr>
            <w:r>
              <w:rPr>
                <w:rFonts w:ascii="Arial" w:cs="Arial" w:eastAsia="Arial" w:hAnsi="Arial"/>
                <w:sz w:val="18"/>
                <w:szCs w:val="18"/>
                <w:color w:val="auto"/>
              </w:rPr>
              <w:t>121,500</w:t>
            </w:r>
          </w:p>
        </w:tc>
        <w:tc>
          <w:tcPr>
            <w:tcW w:w="240" w:type="dxa"/>
            <w:vAlign w:val="bottom"/>
          </w:tcPr>
          <w:p>
            <w:pPr>
              <w:spacing w:after="0"/>
              <w:rPr>
                <w:sz w:val="21"/>
                <w:szCs w:val="21"/>
                <w:color w:val="auto"/>
              </w:rPr>
            </w:pPr>
          </w:p>
        </w:tc>
        <w:tc>
          <w:tcPr>
            <w:tcW w:w="2320" w:type="dxa"/>
            <w:vAlign w:val="bottom"/>
          </w:tcPr>
          <w:p>
            <w:pPr>
              <w:jc w:val="right"/>
              <w:ind w:right="570"/>
              <w:spacing w:after="0"/>
              <w:rPr>
                <w:sz w:val="20"/>
                <w:szCs w:val="20"/>
                <w:color w:val="auto"/>
              </w:rPr>
            </w:pPr>
            <w:r>
              <w:rPr>
                <w:rFonts w:ascii="Arial" w:cs="Arial" w:eastAsia="Arial" w:hAnsi="Arial"/>
                <w:sz w:val="18"/>
                <w:szCs w:val="18"/>
                <w:color w:val="auto"/>
              </w:rPr>
              <w:t>121,500</w:t>
            </w:r>
          </w:p>
        </w:tc>
        <w:tc>
          <w:tcPr>
            <w:tcW w:w="240" w:type="dxa"/>
            <w:vAlign w:val="bottom"/>
          </w:tcPr>
          <w:p>
            <w:pPr>
              <w:spacing w:after="0"/>
              <w:rPr>
                <w:sz w:val="21"/>
                <w:szCs w:val="21"/>
                <w:color w:val="auto"/>
              </w:rPr>
            </w:pPr>
          </w:p>
        </w:tc>
        <w:tc>
          <w:tcPr>
            <w:tcW w:w="2340" w:type="dxa"/>
            <w:vAlign w:val="bottom"/>
          </w:tcPr>
          <w:p>
            <w:pPr>
              <w:jc w:val="right"/>
              <w:ind w:right="470"/>
              <w:spacing w:after="0"/>
              <w:rPr>
                <w:sz w:val="20"/>
                <w:szCs w:val="20"/>
                <w:color w:val="auto"/>
              </w:rPr>
            </w:pPr>
            <w:r>
              <w:rPr>
                <w:rFonts w:ascii="Arial" w:cs="Arial" w:eastAsia="Arial" w:hAnsi="Arial"/>
                <w:sz w:val="18"/>
                <w:szCs w:val="18"/>
                <w:color w:val="auto"/>
              </w:rPr>
              <w:t>243,000</w:t>
            </w:r>
          </w:p>
        </w:tc>
      </w:tr>
      <w:tr>
        <w:trPr>
          <w:trHeight w:val="23"/>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33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Raelyn A. Trende</w:t>
            </w:r>
            <w:r>
              <w:rPr>
                <w:rFonts w:ascii="Arial" w:cs="Arial" w:eastAsia="Arial" w:hAnsi="Arial"/>
                <w:sz w:val="23"/>
                <w:szCs w:val="23"/>
                <w:color w:val="auto"/>
                <w:vertAlign w:val="superscript"/>
              </w:rPr>
              <w:t>(3)</w:t>
            </w:r>
          </w:p>
        </w:tc>
        <w:tc>
          <w:tcPr>
            <w:tcW w:w="2580" w:type="dxa"/>
            <w:vAlign w:val="bottom"/>
            <w:gridSpan w:val="2"/>
            <w:shd w:val="clear" w:color="auto" w:fill="DBDBDB"/>
          </w:tcPr>
          <w:p>
            <w:pPr>
              <w:jc w:val="center"/>
              <w:ind w:right="240"/>
              <w:spacing w:after="0"/>
              <w:rPr>
                <w:sz w:val="20"/>
                <w:szCs w:val="20"/>
                <w:color w:val="auto"/>
              </w:rPr>
            </w:pPr>
            <w:r>
              <w:rPr>
                <w:rFonts w:ascii="Arial" w:cs="Arial" w:eastAsia="Arial" w:hAnsi="Arial"/>
                <w:sz w:val="18"/>
                <w:szCs w:val="18"/>
                <w:color w:val="auto"/>
                <w:w w:val="99"/>
              </w:rPr>
              <w:t>—</w:t>
            </w:r>
          </w:p>
        </w:tc>
        <w:tc>
          <w:tcPr>
            <w:tcW w:w="2560" w:type="dxa"/>
            <w:vAlign w:val="bottom"/>
            <w:gridSpan w:val="2"/>
            <w:shd w:val="clear" w:color="auto" w:fill="DBDBDB"/>
          </w:tcPr>
          <w:p>
            <w:pPr>
              <w:jc w:val="center"/>
              <w:ind w:right="260"/>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r>
      <w:tr>
        <w:trPr>
          <w:trHeight w:val="439"/>
        </w:trPr>
        <w:tc>
          <w:tcPr>
            <w:tcW w:w="3080" w:type="dxa"/>
            <w:vAlign w:val="bottom"/>
          </w:tcPr>
          <w:p>
            <w:pPr>
              <w:spacing w:after="0"/>
              <w:rPr>
                <w:sz w:val="20"/>
                <w:szCs w:val="20"/>
                <w:color w:val="auto"/>
              </w:rPr>
            </w:pPr>
            <w:r>
              <w:rPr>
                <w:rFonts w:ascii="Arial" w:cs="Arial" w:eastAsia="Arial" w:hAnsi="Arial"/>
                <w:sz w:val="11"/>
                <w:szCs w:val="11"/>
                <w:color w:val="auto"/>
              </w:rPr>
              <w:t>___________________________</w:t>
            </w:r>
          </w:p>
        </w:tc>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pacing w:after="0" w:line="82" w:lineRule="exact"/>
        <w:rPr>
          <w:sz w:val="20"/>
          <w:szCs w:val="20"/>
          <w:color w:val="auto"/>
        </w:rPr>
      </w:pPr>
    </w:p>
    <w:p>
      <w:pPr>
        <w:ind w:left="480" w:hanging="472"/>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Equals the sum of the "Target Level" and "Additional Amount Earned" columns.</w:t>
      </w:r>
    </w:p>
    <w:p>
      <w:pPr>
        <w:spacing w:after="0" w:line="117" w:lineRule="exact"/>
        <w:rPr>
          <w:rFonts w:ascii="Arial" w:cs="Arial" w:eastAsia="Arial" w:hAnsi="Arial"/>
          <w:sz w:val="18"/>
          <w:szCs w:val="18"/>
          <w:color w:val="auto"/>
        </w:rPr>
      </w:pPr>
    </w:p>
    <w:p>
      <w:pPr>
        <w:ind w:left="500" w:hanging="492"/>
        <w:spacing w:after="0" w:line="287" w:lineRule="auto"/>
        <w:tabs>
          <w:tab w:leader="none" w:pos="49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Osberg was not employed by the Company until April 28, 2023, and therefore did not receive a fiscal 2023 – 2025 performance award.</w:t>
      </w:r>
    </w:p>
    <w:p>
      <w:pPr>
        <w:spacing w:after="0" w:line="44" w:lineRule="exact"/>
        <w:rPr>
          <w:rFonts w:ascii="Arial" w:cs="Arial" w:eastAsia="Arial" w:hAnsi="Arial"/>
          <w:sz w:val="18"/>
          <w:szCs w:val="18"/>
          <w:color w:val="auto"/>
        </w:rPr>
      </w:pPr>
    </w:p>
    <w:p>
      <w:pPr>
        <w:ind w:left="500" w:hanging="492"/>
        <w:spacing w:after="0" w:line="287" w:lineRule="auto"/>
        <w:tabs>
          <w:tab w:leader="none" w:pos="49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Ms. Trende was not employed by the Company until July 29, 2024, and therefore, did not receive a fiscal 2023 – 2025 performance award.</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u w:val="single" w:color="auto"/>
          <w:color w:val="auto"/>
        </w:rPr>
        <w:t>Other Benefit Programs</w:t>
      </w:r>
      <w:r>
        <w:rPr>
          <w:rFonts w:ascii="Arial" w:cs="Arial" w:eastAsia="Arial" w:hAnsi="Arial"/>
          <w:sz w:val="18"/>
          <w:szCs w:val="18"/>
          <w:color w:val="auto"/>
        </w:rPr>
        <w:t>. Our executive officers receive the same health and welfare benefits as those offered to all other full-time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with the exception of enhanced long-term disability benefits being offered to our executive officers.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have entered into change-in-control severance agreements with each of our Named Executive Officers. See “Change-in-Control Severance Agreements” beginning on page </w:t>
      </w:r>
      <w:r>
        <w:rPr>
          <w:rFonts w:ascii="Arial" w:cs="Arial" w:eastAsia="Arial" w:hAnsi="Arial"/>
          <w:sz w:val="18"/>
          <w:szCs w:val="18"/>
          <w:u w:val="single" w:color="auto"/>
          <w:color w:val="0000FF"/>
        </w:rPr>
        <w:t>61</w:t>
      </w:r>
      <w:r>
        <w:rPr>
          <w:rFonts w:ascii="Arial" w:cs="Arial" w:eastAsia="Arial" w:hAnsi="Arial"/>
          <w:sz w:val="18"/>
          <w:szCs w:val="18"/>
          <w:color w:val="auto"/>
        </w:rPr>
        <w:t xml:space="preserve"> and “Payments Upon Termination or Change-in-Control” beginning on page </w:t>
      </w:r>
      <w:r>
        <w:rPr>
          <w:rFonts w:ascii="Arial" w:cs="Arial" w:eastAsia="Arial" w:hAnsi="Arial"/>
          <w:sz w:val="18"/>
          <w:szCs w:val="18"/>
          <w:u w:val="single" w:color="auto"/>
          <w:color w:val="0000FF"/>
        </w:rPr>
        <w:t>63</w:t>
      </w:r>
      <w:r>
        <w:rPr>
          <w:rFonts w:ascii="Arial" w:cs="Arial" w:eastAsia="Arial" w:hAnsi="Arial"/>
          <w:sz w:val="18"/>
          <w:szCs w:val="18"/>
          <w:color w:val="auto"/>
        </w:rPr>
        <w:t xml:space="preserve"> for more information on these arrangements.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maintain market-competitive benefits and to encourage our Named Executive Officers to focus on their roles at the Company, we provide a limited number of perquisites, including the reimbursement of financial and estate planning fees of up to $2,000 annually, enhanced long-term disability benefits, payment of relocation expenses, reimbursement of annual executive health physical costs up to $3,000 annually and reimbursement of spousal travel expenses for certain Company events. We do not provide tax reimbursement or tax “gross-ups” on any perquisites.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05445E"/>
        </w:rPr>
        <w:t>Executive Stock Ownership Guidelines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stock ownership guidelines for our executive officers that require our Chief Executive Officer to achieve an ownership level of five times their annual base salary; our Chief Financial Officer to achieve an ownership level of three times their annual base salary; certain corporate officers and segment presidents, including Messrs. Jewell, and T. Johnson and Ms. Trende, to achieve an ownership level of two times their annual base salaries; and other corporate officers to achieve an ownership level of one time their annual base salary. The Committee monitors compliance with our stock ownership guidelines on a regular basis. Each executive has five years from the date they become subject to the stock ownership guidelines to meet their ownership guideline. If an executive is promoted and the target is increased, an additional three-year period is provided to meet the ownership guideline. For purposes of calculating stock ownership, we include unvested shares of restricted stock.</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April 28, 2025, all of our active Named Executive Officers are either in compliance with the stock ownership guidelines or still within the applicable grace period for achieving these ownership levels.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Anti-Hedging and Anti-Pledging Policies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believes that the interests of our executive officers, employees and members of our Board of Directors should be aligned with the interests of our shareholders. As a result, we have adopted an anti-hedging policy that prohibits all employees and members of our Board of Directors from engaging in the purchase or sale of financial instruments (including prepaid variable forward contracts, equity swaps, collars and exchange funds) that are designed to hedge or offset any decrease in the market value of our Company’s securities. Our Board of Directors has also adopted an anti-pledging policy, which states that executive officers and directors of the Company are prohibited from, directly or indirectly, pledging, hypothecating, or otherwise encumbering shares of the Company’s common stock as collateral for indebtedness. This prohibition includes, but is not limited to, holding such shares in a margin account or any other account that could cause the Company’s common stock to be subject to a margin call or otherwise be available as collateral for a margin loan. None of our Named Executive Officers have pledged shares of our common stock as collateral for personal loans or other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Clawback Policy</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October 2023, our Board of Directors adopted an incentive compensation recovery policy providing for the recovery of erroneously awarded incentive compensation in the event that the Company is required to prepare an accounting restatement due to material noncompliance of the Company with any financial reporting requirements under the federal securities laws and to comply with Section 10D of the Securities Exchange Act of 1934, as amended. The Company has also adopted a similar policy for other participants of the executive compensation program. Both policies apply to incentive compensation (as defined in the policies) awarded on or after October 2, 2023. Incentive compensation received by executives before October 2, 2023 remains subject to the Company’s prior Clawback Policy dated April 30, 2014,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Policy and Procedures for the Granting of Equity-Based Awards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grant stock options. Grants of other equity-based awards, including long-term incentive awards, are generally approved on a regular schedule. However, grants to new hires or for promotions, retention, or purposes other than annual or other broad-based Company-wide grants may be approved outside of regularly scheduled meetings. In those circumstances, the grant date is the date the award is approved, or if the approval date is within a blackout period, the fifth business day following the date on which the Company first releases quarterly earnings following the effective date of the recipient's employment, promotion or recognition, as applicable.</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will not purposely accelerate or delay the public release of material information in consideration of a pending equity-based award in order to allow an award recipient to benefit from a more favorable stock price.</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recognizes, however, that a release of information by the Company in close proximity to an equity-based award could create the appearance of an effort to time the announcement to a recipient's benefit,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5" w:name="page56"/>
    <w:bookmarkEnd w:id="55"/>
    <w:p>
      <w:pPr>
        <w:jc w:val="both"/>
        <w:spacing w:after="0" w:line="259" w:lineRule="auto"/>
        <w:rPr>
          <w:sz w:val="20"/>
          <w:szCs w:val="20"/>
          <w:color w:val="auto"/>
        </w:rPr>
      </w:pPr>
      <w:r>
        <w:rPr>
          <w:rFonts w:ascii="Arial" w:cs="Arial" w:eastAsia="Arial" w:hAnsi="Arial"/>
          <w:sz w:val="18"/>
          <w:szCs w:val="18"/>
          <w:color w:val="auto"/>
        </w:rPr>
        <w:t>even if no such benefit was intended. Accordingly, management will advise the Compensation Committee whenever it is aware that material non-public information is planned to be released to the public in close proximity to the grant of an equity-based award. The Compensation Committee will consider such information and determine whether to delay the equity-based award to avoid any appearance of impropriety. During fiscal 2025, we did not time the disclosure of material non-public information for the purpose of affecting the value of executive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Tax Considerations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162(m) of the U.S. Internal Revenue Code ("Section 162(m)") imposes a $1,000,000 annual deduction limit on compensation payable to certain current and former named executive officers. The Compensation Committee intends to pay competitive compensation consistent with our philosophy to attract, retain and motivate executive officers to manage our business in the best interests of the Company and our shareholders. The Compensation Committee, therefore, may choose to provide non-deductible compensation to our executive officers if it deems such compensation to be in the best interests of the Company and our shareholders.</w:t>
      </w:r>
    </w:p>
    <w:p>
      <w:pPr>
        <w:spacing w:after="0" w:line="17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Various programs, including our benefit plans that provide for deferrals of compensation are subject to Section 409A of the Internal Revenue Code. We have reviewed such plans for compliance with Section 409A and believe that they comply.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Compensation Risk Analysis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fiscal 2025 the Committee, with the assistance of its independent compensation consultant(s) and management, assessed risk in our compensation plans, practices and policies and determined that the Company’s compensation practices and policies do not create risks that are reasonably likely to have a material adverse effect on the Company. In performing this risk assessment, the Committee considered:</w:t>
      </w:r>
    </w:p>
    <w:p>
      <w:pPr>
        <w:spacing w:after="0" w:line="17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mix of fixed and variable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mix of short-term and long-term incentive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extent to which performance metrics are directly reflected in our audited financial statements or other objective reports;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relative weighting of the performance metrics;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likelihood that achievement of performance metrics could have a material impact on our financial performance in succeeding fiscal periods;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various compensation risk control mitigation features in our compensation plans, including balanced financial performance metrics that include net sales, earnings and operational metrics;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Multiple financial performance metrics for our annual cash incentive and long-term incentive plans;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Different financial performance metrics for our annual cash incentive and long-term incentive plans;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Appropriate maximum caps on our annual cash incentive and long-term performance-based incentive plans and annual equity awards;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stock ownership guidelines;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clawback and hedging policies.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05445E"/>
        </w:rPr>
        <w:t>Summary Compensation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compensation for fiscal 2025, 2024 and 2023 awarded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05445E"/>
              </w:rPr>
              <w:t>Non-Equity</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05445E"/>
              </w:rPr>
              <w:t>All Other</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05445E"/>
              </w:rPr>
              <w:t>Incentive Plan</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05445E"/>
              </w:rPr>
              <w:t>Compen-</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00" w:type="dxa"/>
            <w:vAlign w:val="bottom"/>
          </w:tcPr>
          <w:p>
            <w:pPr>
              <w:ind w:left="20"/>
              <w:spacing w:after="0"/>
              <w:rPr>
                <w:sz w:val="20"/>
                <w:szCs w:val="20"/>
                <w:color w:val="auto"/>
              </w:rPr>
            </w:pPr>
            <w:r>
              <w:rPr>
                <w:rFonts w:ascii="Arial" w:cs="Arial" w:eastAsia="Arial" w:hAnsi="Arial"/>
                <w:sz w:val="16"/>
                <w:szCs w:val="16"/>
                <w:b w:val="1"/>
                <w:bCs w:val="1"/>
                <w:color w:val="05445E"/>
              </w:rPr>
              <w:t>Name and Principal</w:t>
            </w:r>
          </w:p>
        </w:tc>
        <w:tc>
          <w:tcPr>
            <w:tcW w:w="80" w:type="dxa"/>
            <w:vAlign w:val="bottom"/>
          </w:tcPr>
          <w:p>
            <w:pPr>
              <w:spacing w:after="0"/>
              <w:rPr>
                <w:sz w:val="16"/>
                <w:szCs w:val="16"/>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05445E"/>
              </w:rPr>
              <w:t>Fiscal</w:t>
            </w: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05445E"/>
              </w:rPr>
              <w:t>Salary</w:t>
            </w:r>
          </w:p>
        </w:tc>
        <w:tc>
          <w:tcPr>
            <w:tcW w:w="80" w:type="dxa"/>
            <w:vAlign w:val="bottom"/>
          </w:tcPr>
          <w:p>
            <w:pPr>
              <w:spacing w:after="0"/>
              <w:rPr>
                <w:sz w:val="16"/>
                <w:szCs w:val="16"/>
                <w:color w:val="auto"/>
              </w:rPr>
            </w:pPr>
          </w:p>
        </w:tc>
        <w:tc>
          <w:tcPr>
            <w:tcW w:w="1280" w:type="dxa"/>
            <w:vAlign w:val="bottom"/>
            <w:gridSpan w:val="2"/>
          </w:tcPr>
          <w:p>
            <w:pPr>
              <w:ind w:left="300"/>
              <w:spacing w:after="0"/>
              <w:rPr>
                <w:sz w:val="20"/>
                <w:szCs w:val="20"/>
                <w:color w:val="auto"/>
              </w:rPr>
            </w:pPr>
            <w:r>
              <w:rPr>
                <w:rFonts w:ascii="Arial" w:cs="Arial" w:eastAsia="Arial" w:hAnsi="Arial"/>
                <w:sz w:val="16"/>
                <w:szCs w:val="16"/>
                <w:b w:val="1"/>
                <w:bCs w:val="1"/>
                <w:color w:val="05445E"/>
              </w:rPr>
              <w:t>Bonus</w:t>
            </w: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05445E"/>
              </w:rPr>
              <w:t>Stock Awards</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05445E"/>
              </w:rPr>
              <w:t>Compen-sation</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05445E"/>
              </w:rPr>
              <w:t>sation</w:t>
            </w:r>
          </w:p>
        </w:tc>
        <w:tc>
          <w:tcPr>
            <w:tcW w:w="1320" w:type="dxa"/>
            <w:vAlign w:val="bottom"/>
          </w:tcPr>
          <w:p>
            <w:pPr>
              <w:ind w:left="480"/>
              <w:spacing w:after="0"/>
              <w:rPr>
                <w:sz w:val="20"/>
                <w:szCs w:val="20"/>
                <w:color w:val="auto"/>
              </w:rPr>
            </w:pPr>
            <w:r>
              <w:rPr>
                <w:rFonts w:ascii="Arial" w:cs="Arial" w:eastAsia="Arial" w:hAnsi="Arial"/>
                <w:sz w:val="16"/>
                <w:szCs w:val="16"/>
                <w:b w:val="1"/>
                <w:bCs w:val="1"/>
                <w:color w:val="05445E"/>
              </w:rPr>
              <w:t>Total</w:t>
            </w:r>
          </w:p>
        </w:tc>
        <w:tc>
          <w:tcPr>
            <w:tcW w:w="0" w:type="dxa"/>
            <w:vAlign w:val="bottom"/>
          </w:tcPr>
          <w:p>
            <w:pPr>
              <w:spacing w:after="0"/>
              <w:rPr>
                <w:sz w:val="1"/>
                <w:szCs w:val="1"/>
                <w:color w:val="auto"/>
              </w:rPr>
            </w:pPr>
          </w:p>
        </w:tc>
      </w:tr>
      <w:tr>
        <w:trPr>
          <w:trHeight w:val="244"/>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5445E"/>
              </w:rPr>
              <w:t>Position</w:t>
            </w:r>
          </w:p>
        </w:tc>
        <w:tc>
          <w:tcPr>
            <w:tcW w:w="80" w:type="dxa"/>
            <w:vAlign w:val="bottom"/>
            <w:tcBorders>
              <w:bottom w:val="single" w:sz="8" w:color="DBDBDB"/>
            </w:tcBorders>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5445E"/>
              </w:rPr>
              <w:t>Year</w:t>
            </w:r>
          </w:p>
        </w:tc>
        <w:tc>
          <w:tcPr>
            <w:tcW w:w="80" w:type="dxa"/>
            <w:vAlign w:val="bottom"/>
            <w:tcBorders>
              <w:bottom w:val="single" w:sz="8" w:color="DBDBDB"/>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5445E"/>
              </w:rPr>
              <w:t>($)</w:t>
            </w:r>
          </w:p>
        </w:tc>
        <w:tc>
          <w:tcPr>
            <w:tcW w:w="80" w:type="dxa"/>
            <w:vAlign w:val="bottom"/>
            <w:tcBorders>
              <w:bottom w:val="single" w:sz="8" w:color="DBDBDB"/>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5445E"/>
              </w:rPr>
              <w:t>($)</w:t>
            </w:r>
          </w:p>
        </w:tc>
        <w:tc>
          <w:tcPr>
            <w:tcW w:w="160" w:type="dxa"/>
            <w:vAlign w:val="bottom"/>
            <w:tcBorders>
              <w:bottom w:val="single" w:sz="8" w:color="DBDBDB"/>
            </w:tcBorders>
          </w:tcPr>
          <w:p>
            <w:pPr>
              <w:spacing w:after="0"/>
              <w:rPr>
                <w:sz w:val="21"/>
                <w:szCs w:val="21"/>
                <w:color w:val="auto"/>
              </w:rPr>
            </w:pPr>
          </w:p>
        </w:tc>
        <w:tc>
          <w:tcPr>
            <w:tcW w:w="12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05445E"/>
                <w:w w:val="91"/>
                <w:vertAlign w:val="subscript"/>
              </w:rPr>
              <w:t>($)</w:t>
            </w:r>
            <w:r>
              <w:rPr>
                <w:rFonts w:ascii="Arial" w:cs="Arial" w:eastAsia="Arial" w:hAnsi="Arial"/>
                <w:sz w:val="10"/>
                <w:szCs w:val="10"/>
                <w:b w:val="1"/>
                <w:bCs w:val="1"/>
                <w:color w:val="05445E"/>
                <w:w w:val="91"/>
              </w:rPr>
              <w:t>(1)</w:t>
            </w:r>
          </w:p>
        </w:tc>
        <w:tc>
          <w:tcPr>
            <w:tcW w:w="260" w:type="dxa"/>
            <w:vAlign w:val="bottom"/>
            <w:tcBorders>
              <w:bottom w:val="single" w:sz="8" w:color="DBDBDB"/>
            </w:tcBorders>
          </w:tcPr>
          <w:p>
            <w:pPr>
              <w:spacing w:after="0"/>
              <w:rPr>
                <w:sz w:val="21"/>
                <w:szCs w:val="21"/>
                <w:color w:val="auto"/>
              </w:rPr>
            </w:pPr>
          </w:p>
        </w:tc>
        <w:tc>
          <w:tcPr>
            <w:tcW w:w="12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05445E"/>
                <w:w w:val="96"/>
                <w:vertAlign w:val="subscript"/>
              </w:rPr>
              <w:t>($)</w:t>
            </w:r>
            <w:r>
              <w:rPr>
                <w:rFonts w:ascii="Arial" w:cs="Arial" w:eastAsia="Arial" w:hAnsi="Arial"/>
                <w:sz w:val="10"/>
                <w:szCs w:val="10"/>
                <w:b w:val="1"/>
                <w:bCs w:val="1"/>
                <w:color w:val="05445E"/>
                <w:w w:val="96"/>
              </w:rPr>
              <w:t>(2)</w:t>
            </w:r>
          </w:p>
        </w:tc>
        <w:tc>
          <w:tcPr>
            <w:tcW w:w="180" w:type="dxa"/>
            <w:vAlign w:val="bottom"/>
            <w:tcBorders>
              <w:bottom w:val="single" w:sz="8" w:color="DBDBDB"/>
            </w:tcBorders>
          </w:tcPr>
          <w:p>
            <w:pPr>
              <w:spacing w:after="0"/>
              <w:rPr>
                <w:sz w:val="21"/>
                <w:szCs w:val="21"/>
                <w:color w:val="auto"/>
              </w:rPr>
            </w:pPr>
          </w:p>
        </w:tc>
        <w:tc>
          <w:tcPr>
            <w:tcW w:w="134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05445E"/>
                <w:w w:val="91"/>
                <w:vertAlign w:val="subscript"/>
              </w:rPr>
              <w:t>($)</w:t>
            </w:r>
            <w:r>
              <w:rPr>
                <w:rFonts w:ascii="Arial" w:cs="Arial" w:eastAsia="Arial" w:hAnsi="Arial"/>
                <w:sz w:val="10"/>
                <w:szCs w:val="10"/>
                <w:b w:val="1"/>
                <w:bCs w:val="1"/>
                <w:color w:val="05445E"/>
                <w:w w:val="91"/>
              </w:rPr>
              <w:t>(3)</w:t>
            </w:r>
          </w:p>
        </w:tc>
        <w:tc>
          <w:tcPr>
            <w:tcW w:w="100" w:type="dxa"/>
            <w:vAlign w:val="bottom"/>
            <w:tcBorders>
              <w:bottom w:val="single" w:sz="8" w:color="DBDBDB"/>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5445E"/>
              </w:rPr>
              <w:t>($)</w:t>
            </w:r>
          </w:p>
        </w:tc>
        <w:tc>
          <w:tcPr>
            <w:tcW w:w="0" w:type="dxa"/>
            <w:vAlign w:val="bottom"/>
          </w:tcPr>
          <w:p>
            <w:pPr>
              <w:spacing w:after="0"/>
              <w:rPr>
                <w:sz w:val="1"/>
                <w:szCs w:val="1"/>
                <w:color w:val="auto"/>
              </w:rPr>
            </w:pPr>
          </w:p>
        </w:tc>
      </w:tr>
      <w:tr>
        <w:trPr>
          <w:trHeight w:val="229"/>
        </w:trPr>
        <w:tc>
          <w:tcPr>
            <w:tcW w:w="2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Ty R. Silberhorn</w:t>
            </w:r>
          </w:p>
        </w:tc>
        <w:tc>
          <w:tcPr>
            <w:tcW w:w="880" w:type="dxa"/>
            <w:vAlign w:val="bottom"/>
            <w:gridSpan w:val="2"/>
            <w:shd w:val="clear" w:color="auto" w:fill="DBDBDB"/>
          </w:tcPr>
          <w:p>
            <w:pPr>
              <w:jc w:val="center"/>
              <w:spacing w:after="0"/>
              <w:rPr>
                <w:sz w:val="20"/>
                <w:szCs w:val="20"/>
                <w:color w:val="auto"/>
              </w:rPr>
            </w:pPr>
            <w:r>
              <w:rPr>
                <w:rFonts w:ascii="Arial" w:cs="Arial" w:eastAsia="Arial" w:hAnsi="Arial"/>
                <w:sz w:val="16"/>
                <w:szCs w:val="16"/>
                <w:color w:val="auto"/>
              </w:rPr>
              <w:t>2025</w:t>
            </w:r>
          </w:p>
        </w:tc>
        <w:tc>
          <w:tcPr>
            <w:tcW w:w="8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928,308</w:t>
            </w:r>
          </w:p>
        </w:tc>
        <w:tc>
          <w:tcPr>
            <w:tcW w:w="8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center"/>
              <w:ind w:right="160"/>
              <w:spacing w:after="0"/>
              <w:rPr>
                <w:sz w:val="20"/>
                <w:szCs w:val="20"/>
                <w:color w:val="auto"/>
              </w:rPr>
            </w:pPr>
            <w:r>
              <w:rPr>
                <w:rFonts w:ascii="Arial" w:cs="Arial" w:eastAsia="Arial" w:hAnsi="Arial"/>
                <w:sz w:val="16"/>
                <w:szCs w:val="16"/>
                <w:color w:val="auto"/>
                <w:w w:val="99"/>
              </w:rPr>
              <w:t>—</w:t>
            </w:r>
          </w:p>
        </w:tc>
        <w:tc>
          <w:tcPr>
            <w:tcW w:w="1220" w:type="dxa"/>
            <w:vAlign w:val="bottom"/>
            <w:shd w:val="clear" w:color="auto" w:fill="DBDBDB"/>
          </w:tcPr>
          <w:p>
            <w:pPr>
              <w:jc w:val="right"/>
              <w:ind w:right="61"/>
              <w:spacing w:after="0"/>
              <w:rPr>
                <w:sz w:val="20"/>
                <w:szCs w:val="20"/>
                <w:color w:val="auto"/>
              </w:rPr>
            </w:pPr>
            <w:r>
              <w:rPr>
                <w:rFonts w:ascii="Arial" w:cs="Arial" w:eastAsia="Arial" w:hAnsi="Arial"/>
                <w:sz w:val="16"/>
                <w:szCs w:val="16"/>
                <w:color w:val="auto"/>
              </w:rPr>
              <w:t>2,120,267</w:t>
            </w:r>
          </w:p>
        </w:tc>
        <w:tc>
          <w:tcPr>
            <w:tcW w:w="26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2,043,253</w:t>
            </w: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ind w:right="161"/>
              <w:spacing w:after="0"/>
              <w:rPr>
                <w:sz w:val="20"/>
                <w:szCs w:val="20"/>
                <w:color w:val="auto"/>
              </w:rPr>
            </w:pPr>
            <w:r>
              <w:rPr>
                <w:rFonts w:ascii="Arial" w:cs="Arial" w:eastAsia="Arial" w:hAnsi="Arial"/>
                <w:sz w:val="16"/>
                <w:szCs w:val="16"/>
                <w:color w:val="auto"/>
              </w:rPr>
              <w:t>163,698</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ind w:left="480"/>
              <w:spacing w:after="0"/>
              <w:rPr>
                <w:sz w:val="20"/>
                <w:szCs w:val="20"/>
                <w:color w:val="auto"/>
              </w:rPr>
            </w:pPr>
            <w:r>
              <w:rPr>
                <w:rFonts w:ascii="Arial" w:cs="Arial" w:eastAsia="Arial" w:hAnsi="Arial"/>
                <w:sz w:val="16"/>
                <w:szCs w:val="16"/>
                <w:color w:val="auto"/>
              </w:rPr>
              <w:t>5,255,526</w:t>
            </w:r>
          </w:p>
        </w:tc>
        <w:tc>
          <w:tcPr>
            <w:tcW w:w="0" w:type="dxa"/>
            <w:vAlign w:val="bottom"/>
          </w:tcPr>
          <w:p>
            <w:pPr>
              <w:spacing w:after="0"/>
              <w:rPr>
                <w:sz w:val="1"/>
                <w:szCs w:val="1"/>
                <w:color w:val="auto"/>
              </w:rPr>
            </w:pPr>
          </w:p>
        </w:tc>
      </w:tr>
      <w:tr>
        <w:trPr>
          <w:trHeight w:val="231"/>
        </w:trPr>
        <w:tc>
          <w:tcPr>
            <w:tcW w:w="220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6"/>
                <w:szCs w:val="16"/>
                <w:color w:val="auto"/>
              </w:rPr>
              <w:t>Chief Executive Officer and</w:t>
            </w:r>
          </w:p>
        </w:tc>
        <w:tc>
          <w:tcPr>
            <w:tcW w:w="80" w:type="dxa"/>
            <w:vAlign w:val="bottom"/>
            <w:tcBorders>
              <w:bottom w:val="single" w:sz="8" w:color="DBDBDB"/>
            </w:tcBorders>
            <w:shd w:val="clear" w:color="auto" w:fill="DBDBDB"/>
          </w:tcPr>
          <w:p>
            <w:pPr>
              <w:spacing w:after="0"/>
              <w:rPr>
                <w:sz w:val="20"/>
                <w:szCs w:val="20"/>
                <w:color w:val="auto"/>
              </w:rPr>
            </w:pPr>
          </w:p>
        </w:tc>
        <w:tc>
          <w:tcPr>
            <w:tcW w:w="8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rPr>
              <w:t>2024</w:t>
            </w:r>
          </w:p>
        </w:tc>
        <w:tc>
          <w:tcPr>
            <w:tcW w:w="80" w:type="dxa"/>
            <w:vAlign w:val="bottom"/>
            <w:tcBorders>
              <w:bottom w:val="single" w:sz="8" w:color="DBDBDB"/>
            </w:tcBorders>
            <w:shd w:val="clear" w:color="auto" w:fill="DBDBDB"/>
          </w:tcPr>
          <w:p>
            <w:pPr>
              <w:spacing w:after="0"/>
              <w:rPr>
                <w:sz w:val="20"/>
                <w:szCs w:val="20"/>
                <w:color w:val="auto"/>
              </w:rPr>
            </w:pPr>
          </w:p>
        </w:tc>
        <w:tc>
          <w:tcPr>
            <w:tcW w:w="1080" w:type="dxa"/>
            <w:vAlign w:val="bottom"/>
            <w:tcBorders>
              <w:bottom w:val="single" w:sz="8" w:color="D9D9D9"/>
            </w:tcBorders>
            <w:shd w:val="clear" w:color="auto" w:fill="D9D9D9"/>
          </w:tcPr>
          <w:p>
            <w:pPr>
              <w:jc w:val="right"/>
              <w:ind w:right="59"/>
              <w:spacing w:after="0"/>
              <w:rPr>
                <w:sz w:val="20"/>
                <w:szCs w:val="20"/>
                <w:color w:val="auto"/>
              </w:rPr>
            </w:pPr>
            <w:r>
              <w:rPr>
                <w:rFonts w:ascii="Arial" w:cs="Arial" w:eastAsia="Arial" w:hAnsi="Arial"/>
                <w:sz w:val="16"/>
                <w:szCs w:val="16"/>
                <w:color w:val="auto"/>
              </w:rPr>
              <w:t>909,231</w:t>
            </w:r>
          </w:p>
        </w:tc>
        <w:tc>
          <w:tcPr>
            <w:tcW w:w="80" w:type="dxa"/>
            <w:vAlign w:val="bottom"/>
            <w:tcBorders>
              <w:bottom w:val="single" w:sz="8" w:color="DBDBDB"/>
            </w:tcBorders>
            <w:shd w:val="clear" w:color="auto" w:fill="DBDBDB"/>
          </w:tcPr>
          <w:p>
            <w:pPr>
              <w:spacing w:after="0"/>
              <w:rPr>
                <w:sz w:val="20"/>
                <w:szCs w:val="20"/>
                <w:color w:val="auto"/>
              </w:rPr>
            </w:pPr>
          </w:p>
        </w:tc>
        <w:tc>
          <w:tcPr>
            <w:tcW w:w="1280" w:type="dxa"/>
            <w:vAlign w:val="bottom"/>
            <w:tcBorders>
              <w:bottom w:val="single" w:sz="8" w:color="DBDBDB"/>
            </w:tcBorders>
            <w:gridSpan w:val="2"/>
            <w:shd w:val="clear" w:color="auto" w:fill="DBDBDB"/>
          </w:tcPr>
          <w:p>
            <w:pPr>
              <w:jc w:val="center"/>
              <w:ind w:right="160"/>
              <w:spacing w:after="0"/>
              <w:rPr>
                <w:sz w:val="20"/>
                <w:szCs w:val="20"/>
                <w:color w:val="auto"/>
              </w:rPr>
            </w:pPr>
            <w:r>
              <w:rPr>
                <w:rFonts w:ascii="Arial" w:cs="Arial" w:eastAsia="Arial" w:hAnsi="Arial"/>
                <w:sz w:val="16"/>
                <w:szCs w:val="16"/>
                <w:color w:val="auto"/>
                <w:w w:val="99"/>
              </w:rPr>
              <w:t>—</w:t>
            </w:r>
          </w:p>
        </w:tc>
        <w:tc>
          <w:tcPr>
            <w:tcW w:w="12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1,732,495</w:t>
            </w:r>
          </w:p>
        </w:tc>
        <w:tc>
          <w:tcPr>
            <w:tcW w:w="260" w:type="dxa"/>
            <w:vAlign w:val="bottom"/>
            <w:tcBorders>
              <w:bottom w:val="single" w:sz="8" w:color="DBDBDB"/>
            </w:tcBorders>
            <w:shd w:val="clear" w:color="auto" w:fill="DBDBDB"/>
          </w:tcPr>
          <w:p>
            <w:pPr>
              <w:spacing w:after="0"/>
              <w:rPr>
                <w:sz w:val="20"/>
                <w:szCs w:val="20"/>
                <w:color w:val="auto"/>
              </w:rPr>
            </w:pPr>
          </w:p>
        </w:tc>
        <w:tc>
          <w:tcPr>
            <w:tcW w:w="1220" w:type="dxa"/>
            <w:vAlign w:val="bottom"/>
            <w:tcBorders>
              <w:bottom w:val="single" w:sz="8" w:color="DBDBDB"/>
            </w:tcBorders>
            <w:shd w:val="clear" w:color="auto" w:fill="DBDBDB"/>
          </w:tcPr>
          <w:p>
            <w:pPr>
              <w:jc w:val="right"/>
              <w:ind w:right="41"/>
              <w:spacing w:after="0"/>
              <w:rPr>
                <w:sz w:val="20"/>
                <w:szCs w:val="20"/>
                <w:color w:val="auto"/>
              </w:rPr>
            </w:pPr>
            <w:r>
              <w:rPr>
                <w:rFonts w:ascii="Arial" w:cs="Arial" w:eastAsia="Arial" w:hAnsi="Arial"/>
                <w:sz w:val="16"/>
                <w:szCs w:val="16"/>
                <w:color w:val="auto"/>
              </w:rPr>
              <w:t>2,674,740</w:t>
            </w:r>
          </w:p>
        </w:tc>
        <w:tc>
          <w:tcPr>
            <w:tcW w:w="180" w:type="dxa"/>
            <w:vAlign w:val="bottom"/>
            <w:tcBorders>
              <w:bottom w:val="single" w:sz="8" w:color="DBDBDB"/>
            </w:tcBorders>
            <w:shd w:val="clear" w:color="auto" w:fill="DBDBDB"/>
          </w:tcPr>
          <w:p>
            <w:pPr>
              <w:spacing w:after="0"/>
              <w:rPr>
                <w:sz w:val="20"/>
                <w:szCs w:val="20"/>
                <w:color w:val="auto"/>
              </w:rPr>
            </w:pPr>
          </w:p>
        </w:tc>
        <w:tc>
          <w:tcPr>
            <w:tcW w:w="1340" w:type="dxa"/>
            <w:vAlign w:val="bottom"/>
            <w:tcBorders>
              <w:bottom w:val="single" w:sz="8" w:color="DBDBDB"/>
            </w:tcBorders>
            <w:shd w:val="clear" w:color="auto" w:fill="DBDBDB"/>
          </w:tcPr>
          <w:p>
            <w:pPr>
              <w:jc w:val="right"/>
              <w:ind w:right="541"/>
              <w:spacing w:after="0"/>
              <w:rPr>
                <w:sz w:val="20"/>
                <w:szCs w:val="20"/>
                <w:color w:val="auto"/>
              </w:rPr>
            </w:pPr>
            <w:r>
              <w:rPr>
                <w:rFonts w:ascii="Arial" w:cs="Arial" w:eastAsia="Arial" w:hAnsi="Arial"/>
                <w:sz w:val="16"/>
                <w:szCs w:val="16"/>
                <w:color w:val="auto"/>
              </w:rPr>
              <w:t>181,931</w:t>
            </w:r>
          </w:p>
        </w:tc>
        <w:tc>
          <w:tcPr>
            <w:tcW w:w="100" w:type="dxa"/>
            <w:vAlign w:val="bottom"/>
            <w:tcBorders>
              <w:bottom w:val="single" w:sz="8" w:color="DBDBDB"/>
            </w:tcBorders>
            <w:shd w:val="clear" w:color="auto" w:fill="DBDBDB"/>
          </w:tcPr>
          <w:p>
            <w:pPr>
              <w:spacing w:after="0"/>
              <w:rPr>
                <w:sz w:val="20"/>
                <w:szCs w:val="20"/>
                <w:color w:val="auto"/>
              </w:rPr>
            </w:pPr>
          </w:p>
        </w:tc>
        <w:tc>
          <w:tcPr>
            <w:tcW w:w="132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6"/>
                <w:szCs w:val="16"/>
                <w:color w:val="auto"/>
              </w:rPr>
              <w:t>5,498,397</w:t>
            </w:r>
          </w:p>
        </w:tc>
        <w:tc>
          <w:tcPr>
            <w:tcW w:w="0" w:type="dxa"/>
            <w:vAlign w:val="bottom"/>
          </w:tcPr>
          <w:p>
            <w:pPr>
              <w:spacing w:after="0"/>
              <w:rPr>
                <w:sz w:val="1"/>
                <w:szCs w:val="1"/>
                <w:color w:val="auto"/>
              </w:rPr>
            </w:pPr>
          </w:p>
        </w:tc>
      </w:tr>
      <w:tr>
        <w:trPr>
          <w:trHeight w:val="173"/>
        </w:trPr>
        <w:tc>
          <w:tcPr>
            <w:tcW w:w="2200" w:type="dxa"/>
            <w:vAlign w:val="bottom"/>
            <w:shd w:val="clear" w:color="auto" w:fill="DBDBDB"/>
          </w:tcPr>
          <w:p>
            <w:pPr>
              <w:ind w:left="180"/>
              <w:spacing w:after="0" w:line="174" w:lineRule="exact"/>
              <w:rPr>
                <w:sz w:val="20"/>
                <w:szCs w:val="20"/>
                <w:color w:val="auto"/>
              </w:rPr>
            </w:pPr>
            <w:r>
              <w:rPr>
                <w:rFonts w:ascii="Arial" w:cs="Arial" w:eastAsia="Arial" w:hAnsi="Arial"/>
                <w:sz w:val="16"/>
                <w:szCs w:val="16"/>
                <w:color w:val="auto"/>
              </w:rPr>
              <w:t>President</w:t>
            </w:r>
          </w:p>
        </w:tc>
        <w:tc>
          <w:tcPr>
            <w:tcW w:w="80" w:type="dxa"/>
            <w:vAlign w:val="bottom"/>
            <w:shd w:val="clear" w:color="auto" w:fill="DBDBDB"/>
          </w:tcPr>
          <w:p>
            <w:pPr>
              <w:spacing w:after="0"/>
              <w:rPr>
                <w:sz w:val="15"/>
                <w:szCs w:val="15"/>
                <w:color w:val="auto"/>
              </w:rPr>
            </w:pPr>
          </w:p>
        </w:tc>
        <w:tc>
          <w:tcPr>
            <w:tcW w:w="80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2023</w:t>
            </w:r>
          </w:p>
        </w:tc>
        <w:tc>
          <w:tcPr>
            <w:tcW w:w="80" w:type="dxa"/>
            <w:vAlign w:val="bottom"/>
            <w:shd w:val="clear" w:color="auto" w:fill="DBDBDB"/>
          </w:tcPr>
          <w:p>
            <w:pPr>
              <w:spacing w:after="0"/>
              <w:rPr>
                <w:sz w:val="15"/>
                <w:szCs w:val="15"/>
                <w:color w:val="auto"/>
              </w:rPr>
            </w:pPr>
          </w:p>
        </w:tc>
        <w:tc>
          <w:tcPr>
            <w:tcW w:w="1080" w:type="dxa"/>
            <w:vAlign w:val="bottom"/>
            <w:vMerge w:val="restart"/>
            <w:shd w:val="clear" w:color="auto" w:fill="DBDBDB"/>
          </w:tcPr>
          <w:p>
            <w:pPr>
              <w:jc w:val="right"/>
              <w:ind w:right="59"/>
              <w:spacing w:after="0"/>
              <w:rPr>
                <w:sz w:val="20"/>
                <w:szCs w:val="20"/>
                <w:color w:val="auto"/>
              </w:rPr>
            </w:pPr>
            <w:r>
              <w:rPr>
                <w:rFonts w:ascii="Arial" w:cs="Arial" w:eastAsia="Arial" w:hAnsi="Arial"/>
                <w:sz w:val="16"/>
                <w:szCs w:val="16"/>
                <w:color w:val="auto"/>
              </w:rPr>
              <w:t>834,616</w:t>
            </w:r>
          </w:p>
        </w:tc>
        <w:tc>
          <w:tcPr>
            <w:tcW w:w="80" w:type="dxa"/>
            <w:vAlign w:val="bottom"/>
            <w:shd w:val="clear" w:color="auto" w:fill="DBDBDB"/>
          </w:tcPr>
          <w:p>
            <w:pPr>
              <w:spacing w:after="0"/>
              <w:rPr>
                <w:sz w:val="15"/>
                <w:szCs w:val="15"/>
                <w:color w:val="auto"/>
              </w:rPr>
            </w:pPr>
          </w:p>
        </w:tc>
        <w:tc>
          <w:tcPr>
            <w:tcW w:w="1280" w:type="dxa"/>
            <w:vAlign w:val="bottom"/>
            <w:gridSpan w:val="2"/>
            <w:vMerge w:val="restart"/>
            <w:shd w:val="clear" w:color="auto" w:fill="DBDBDB"/>
          </w:tcPr>
          <w:p>
            <w:pPr>
              <w:jc w:val="center"/>
              <w:ind w:right="160"/>
              <w:spacing w:after="0"/>
              <w:rPr>
                <w:sz w:val="20"/>
                <w:szCs w:val="20"/>
                <w:color w:val="auto"/>
              </w:rPr>
            </w:pPr>
            <w:r>
              <w:rPr>
                <w:rFonts w:ascii="Arial" w:cs="Arial" w:eastAsia="Arial" w:hAnsi="Arial"/>
                <w:sz w:val="16"/>
                <w:szCs w:val="16"/>
                <w:color w:val="auto"/>
                <w:w w:val="99"/>
              </w:rPr>
              <w:t>—</w:t>
            </w:r>
          </w:p>
        </w:tc>
        <w:tc>
          <w:tcPr>
            <w:tcW w:w="1220" w:type="dxa"/>
            <w:vAlign w:val="bottom"/>
            <w:vMerge w:val="restart"/>
            <w:shd w:val="clear" w:color="auto" w:fill="DBDBDB"/>
          </w:tcPr>
          <w:p>
            <w:pPr>
              <w:jc w:val="right"/>
              <w:ind w:right="61"/>
              <w:spacing w:after="0"/>
              <w:rPr>
                <w:sz w:val="20"/>
                <w:szCs w:val="20"/>
                <w:color w:val="auto"/>
              </w:rPr>
            </w:pPr>
            <w:r>
              <w:rPr>
                <w:rFonts w:ascii="Arial" w:cs="Arial" w:eastAsia="Arial" w:hAnsi="Arial"/>
                <w:sz w:val="16"/>
                <w:szCs w:val="16"/>
                <w:color w:val="auto"/>
              </w:rPr>
              <w:t>1,469,984</w:t>
            </w:r>
          </w:p>
        </w:tc>
        <w:tc>
          <w:tcPr>
            <w:tcW w:w="260" w:type="dxa"/>
            <w:vAlign w:val="bottom"/>
            <w:shd w:val="clear" w:color="auto" w:fill="DBDBDB"/>
          </w:tcPr>
          <w:p>
            <w:pPr>
              <w:spacing w:after="0"/>
              <w:rPr>
                <w:sz w:val="15"/>
                <w:szCs w:val="15"/>
                <w:color w:val="auto"/>
              </w:rPr>
            </w:pPr>
          </w:p>
        </w:tc>
        <w:tc>
          <w:tcPr>
            <w:tcW w:w="1220" w:type="dxa"/>
            <w:vAlign w:val="bottom"/>
            <w:vMerge w:val="restart"/>
            <w:shd w:val="clear" w:color="auto" w:fill="DBDBDB"/>
          </w:tcPr>
          <w:p>
            <w:pPr>
              <w:jc w:val="right"/>
              <w:ind w:right="41"/>
              <w:spacing w:after="0"/>
              <w:rPr>
                <w:sz w:val="20"/>
                <w:szCs w:val="20"/>
                <w:color w:val="auto"/>
              </w:rPr>
            </w:pPr>
            <w:r>
              <w:rPr>
                <w:rFonts w:ascii="Arial" w:cs="Arial" w:eastAsia="Arial" w:hAnsi="Arial"/>
                <w:sz w:val="16"/>
                <w:szCs w:val="16"/>
                <w:color w:val="auto"/>
              </w:rPr>
              <w:t>1,651,776</w:t>
            </w:r>
          </w:p>
        </w:tc>
        <w:tc>
          <w:tcPr>
            <w:tcW w:w="180" w:type="dxa"/>
            <w:vAlign w:val="bottom"/>
            <w:shd w:val="clear" w:color="auto" w:fill="DBDBDB"/>
          </w:tcPr>
          <w:p>
            <w:pPr>
              <w:spacing w:after="0"/>
              <w:rPr>
                <w:sz w:val="15"/>
                <w:szCs w:val="15"/>
                <w:color w:val="auto"/>
              </w:rPr>
            </w:pPr>
          </w:p>
        </w:tc>
        <w:tc>
          <w:tcPr>
            <w:tcW w:w="1340" w:type="dxa"/>
            <w:vAlign w:val="bottom"/>
            <w:vMerge w:val="restart"/>
            <w:shd w:val="clear" w:color="auto" w:fill="DBDBDB"/>
          </w:tcPr>
          <w:p>
            <w:pPr>
              <w:jc w:val="right"/>
              <w:ind w:right="161"/>
              <w:spacing w:after="0"/>
              <w:rPr>
                <w:sz w:val="20"/>
                <w:szCs w:val="20"/>
                <w:color w:val="auto"/>
              </w:rPr>
            </w:pPr>
            <w:r>
              <w:rPr>
                <w:rFonts w:ascii="Arial" w:cs="Arial" w:eastAsia="Arial" w:hAnsi="Arial"/>
                <w:sz w:val="16"/>
                <w:szCs w:val="16"/>
                <w:color w:val="auto"/>
              </w:rPr>
              <w:t>74,153</w:t>
            </w:r>
          </w:p>
        </w:tc>
        <w:tc>
          <w:tcPr>
            <w:tcW w:w="100" w:type="dxa"/>
            <w:vAlign w:val="bottom"/>
            <w:shd w:val="clear" w:color="auto" w:fill="DBDBDB"/>
          </w:tcPr>
          <w:p>
            <w:pPr>
              <w:spacing w:after="0"/>
              <w:rPr>
                <w:sz w:val="15"/>
                <w:szCs w:val="15"/>
                <w:color w:val="auto"/>
              </w:rPr>
            </w:pPr>
          </w:p>
        </w:tc>
        <w:tc>
          <w:tcPr>
            <w:tcW w:w="1320" w:type="dxa"/>
            <w:vAlign w:val="bottom"/>
            <w:vMerge w:val="restart"/>
            <w:shd w:val="clear" w:color="auto" w:fill="DBDBDB"/>
          </w:tcPr>
          <w:p>
            <w:pPr>
              <w:ind w:left="480"/>
              <w:spacing w:after="0"/>
              <w:rPr>
                <w:sz w:val="20"/>
                <w:szCs w:val="20"/>
                <w:color w:val="auto"/>
              </w:rPr>
            </w:pPr>
            <w:r>
              <w:rPr>
                <w:rFonts w:ascii="Arial" w:cs="Arial" w:eastAsia="Arial" w:hAnsi="Arial"/>
                <w:sz w:val="16"/>
                <w:szCs w:val="16"/>
                <w:color w:val="auto"/>
              </w:rPr>
              <w:t>4,030,529</w:t>
            </w:r>
          </w:p>
        </w:tc>
        <w:tc>
          <w:tcPr>
            <w:tcW w:w="0" w:type="dxa"/>
            <w:vAlign w:val="bottom"/>
          </w:tcPr>
          <w:p>
            <w:pPr>
              <w:spacing w:after="0"/>
              <w:rPr>
                <w:sz w:val="1"/>
                <w:szCs w:val="1"/>
                <w:color w:val="auto"/>
              </w:rPr>
            </w:pPr>
          </w:p>
        </w:tc>
      </w:tr>
      <w:tr>
        <w:trPr>
          <w:trHeight w:val="70"/>
        </w:trPr>
        <w:tc>
          <w:tcPr>
            <w:tcW w:w="220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800" w:type="dxa"/>
            <w:vAlign w:val="bottom"/>
            <w:vMerge w:val="continue"/>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080" w:type="dxa"/>
            <w:vAlign w:val="bottom"/>
            <w:vMerge w:val="continue"/>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280" w:type="dxa"/>
            <w:vAlign w:val="bottom"/>
            <w:gridSpan w:val="2"/>
            <w:vMerge w:val="continue"/>
            <w:shd w:val="clear" w:color="auto" w:fill="DBDBDB"/>
          </w:tcPr>
          <w:p>
            <w:pPr>
              <w:spacing w:after="0"/>
              <w:rPr>
                <w:sz w:val="6"/>
                <w:szCs w:val="6"/>
                <w:color w:val="auto"/>
              </w:rPr>
            </w:pPr>
          </w:p>
        </w:tc>
        <w:tc>
          <w:tcPr>
            <w:tcW w:w="1220" w:type="dxa"/>
            <w:vAlign w:val="bottom"/>
            <w:vMerge w:val="continue"/>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1220" w:type="dxa"/>
            <w:vAlign w:val="bottom"/>
            <w:vMerge w:val="continue"/>
            <w:shd w:val="clear" w:color="auto" w:fill="DBDBDB"/>
          </w:tcPr>
          <w:p>
            <w:pPr>
              <w:spacing w:after="0"/>
              <w:rPr>
                <w:sz w:val="6"/>
                <w:szCs w:val="6"/>
                <w:color w:val="auto"/>
              </w:rPr>
            </w:pPr>
          </w:p>
        </w:tc>
        <w:tc>
          <w:tcPr>
            <w:tcW w:w="180" w:type="dxa"/>
            <w:vAlign w:val="bottom"/>
            <w:shd w:val="clear" w:color="auto" w:fill="DBDBDB"/>
          </w:tcPr>
          <w:p>
            <w:pPr>
              <w:spacing w:after="0"/>
              <w:rPr>
                <w:sz w:val="6"/>
                <w:szCs w:val="6"/>
                <w:color w:val="auto"/>
              </w:rPr>
            </w:pPr>
          </w:p>
        </w:tc>
        <w:tc>
          <w:tcPr>
            <w:tcW w:w="1340" w:type="dxa"/>
            <w:vAlign w:val="bottom"/>
            <w:vMerge w:val="continue"/>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32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200" w:type="dxa"/>
            <w:vAlign w:val="bottom"/>
          </w:tcPr>
          <w:p>
            <w:pPr>
              <w:ind w:left="20"/>
              <w:spacing w:after="0"/>
              <w:rPr>
                <w:sz w:val="20"/>
                <w:szCs w:val="20"/>
                <w:color w:val="auto"/>
              </w:rPr>
            </w:pPr>
            <w:r>
              <w:rPr>
                <w:rFonts w:ascii="Arial" w:cs="Arial" w:eastAsia="Arial" w:hAnsi="Arial"/>
                <w:sz w:val="16"/>
                <w:szCs w:val="16"/>
                <w:color w:val="auto"/>
              </w:rPr>
              <w:t>Matthew J. Osberg</w:t>
            </w:r>
            <w:r>
              <w:rPr>
                <w:rFonts w:ascii="Arial" w:cs="Arial" w:eastAsia="Arial" w:hAnsi="Arial"/>
                <w:sz w:val="21"/>
                <w:szCs w:val="21"/>
                <w:color w:val="auto"/>
                <w:vertAlign w:val="superscript"/>
              </w:rPr>
              <w:t>(4)</w:t>
            </w:r>
          </w:p>
        </w:tc>
        <w:tc>
          <w:tcPr>
            <w:tcW w:w="880" w:type="dxa"/>
            <w:vAlign w:val="bottom"/>
            <w:gridSpan w:val="2"/>
          </w:tcPr>
          <w:p>
            <w:pPr>
              <w:jc w:val="center"/>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22"/>
                <w:szCs w:val="22"/>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644,154</w:t>
            </w:r>
          </w:p>
        </w:tc>
        <w:tc>
          <w:tcPr>
            <w:tcW w:w="80" w:type="dxa"/>
            <w:vAlign w:val="bottom"/>
          </w:tcPr>
          <w:p>
            <w:pPr>
              <w:spacing w:after="0"/>
              <w:rPr>
                <w:sz w:val="22"/>
                <w:szCs w:val="22"/>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726,724</w:t>
            </w:r>
          </w:p>
        </w:tc>
        <w:tc>
          <w:tcPr>
            <w:tcW w:w="260" w:type="dxa"/>
            <w:vAlign w:val="bottom"/>
          </w:tcPr>
          <w:p>
            <w:pPr>
              <w:spacing w:after="0"/>
              <w:rPr>
                <w:sz w:val="22"/>
                <w:szCs w:val="22"/>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407,174</w:t>
            </w:r>
          </w:p>
        </w:tc>
        <w:tc>
          <w:tcPr>
            <w:tcW w:w="180" w:type="dxa"/>
            <w:vAlign w:val="bottom"/>
          </w:tcPr>
          <w:p>
            <w:pPr>
              <w:spacing w:after="0"/>
              <w:rPr>
                <w:sz w:val="22"/>
                <w:szCs w:val="22"/>
                <w:color w:val="auto"/>
              </w:rPr>
            </w:pPr>
          </w:p>
        </w:tc>
        <w:tc>
          <w:tcPr>
            <w:tcW w:w="1340" w:type="dxa"/>
            <w:vAlign w:val="bottom"/>
          </w:tcPr>
          <w:p>
            <w:pPr>
              <w:jc w:val="right"/>
              <w:ind w:right="161"/>
              <w:spacing w:after="0"/>
              <w:rPr>
                <w:sz w:val="20"/>
                <w:szCs w:val="20"/>
                <w:color w:val="auto"/>
              </w:rPr>
            </w:pPr>
            <w:r>
              <w:rPr>
                <w:rFonts w:ascii="Arial" w:cs="Arial" w:eastAsia="Arial" w:hAnsi="Arial"/>
                <w:sz w:val="16"/>
                <w:szCs w:val="16"/>
                <w:color w:val="auto"/>
              </w:rPr>
              <w:t>39,781</w:t>
            </w:r>
          </w:p>
        </w:tc>
        <w:tc>
          <w:tcPr>
            <w:tcW w:w="100" w:type="dxa"/>
            <w:vAlign w:val="bottom"/>
          </w:tcPr>
          <w:p>
            <w:pPr>
              <w:spacing w:after="0"/>
              <w:rPr>
                <w:sz w:val="22"/>
                <w:szCs w:val="22"/>
                <w:color w:val="auto"/>
              </w:rPr>
            </w:pPr>
          </w:p>
        </w:tc>
        <w:tc>
          <w:tcPr>
            <w:tcW w:w="1320" w:type="dxa"/>
            <w:vAlign w:val="bottom"/>
          </w:tcPr>
          <w:p>
            <w:pPr>
              <w:ind w:left="480"/>
              <w:spacing w:after="0"/>
              <w:rPr>
                <w:sz w:val="20"/>
                <w:szCs w:val="20"/>
                <w:color w:val="auto"/>
              </w:rPr>
            </w:pPr>
            <w:r>
              <w:rPr>
                <w:rFonts w:ascii="Arial" w:cs="Arial" w:eastAsia="Arial" w:hAnsi="Arial"/>
                <w:sz w:val="16"/>
                <w:szCs w:val="16"/>
                <w:color w:val="auto"/>
              </w:rPr>
              <w:t>1,817,833</w:t>
            </w:r>
          </w:p>
        </w:tc>
        <w:tc>
          <w:tcPr>
            <w:tcW w:w="0" w:type="dxa"/>
            <w:vAlign w:val="bottom"/>
          </w:tcPr>
          <w:p>
            <w:pPr>
              <w:spacing w:after="0"/>
              <w:rPr>
                <w:sz w:val="1"/>
                <w:szCs w:val="1"/>
                <w:color w:val="auto"/>
              </w:rPr>
            </w:pPr>
          </w:p>
        </w:tc>
      </w:tr>
      <w:tr>
        <w:trPr>
          <w:trHeight w:val="189"/>
        </w:trPr>
        <w:tc>
          <w:tcPr>
            <w:tcW w:w="2200" w:type="dxa"/>
            <w:vAlign w:val="bottom"/>
          </w:tcPr>
          <w:p>
            <w:pPr>
              <w:ind w:left="180"/>
              <w:spacing w:after="0"/>
              <w:rPr>
                <w:sz w:val="20"/>
                <w:szCs w:val="20"/>
                <w:color w:val="auto"/>
              </w:rPr>
            </w:pPr>
            <w:r>
              <w:rPr>
                <w:rFonts w:ascii="Arial" w:cs="Arial" w:eastAsia="Arial" w:hAnsi="Arial"/>
                <w:sz w:val="16"/>
                <w:szCs w:val="16"/>
                <w:color w:val="auto"/>
              </w:rPr>
              <w:t>Executive Vice President</w:t>
            </w:r>
          </w:p>
        </w:tc>
        <w:tc>
          <w:tcPr>
            <w:tcW w:w="880" w:type="dxa"/>
            <w:vAlign w:val="bottom"/>
            <w:gridSpan w:val="2"/>
          </w:tcPr>
          <w:p>
            <w:pPr>
              <w:jc w:val="center"/>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535,500</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150,000</w:t>
            </w:r>
          </w:p>
        </w:tc>
        <w:tc>
          <w:tcPr>
            <w:tcW w:w="160" w:type="dxa"/>
            <w:vAlign w:val="bottom"/>
          </w:tcPr>
          <w:p>
            <w:pPr>
              <w:spacing w:after="0"/>
              <w:rPr>
                <w:sz w:val="16"/>
                <w:szCs w:val="16"/>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1,308,763</w:t>
            </w:r>
          </w:p>
        </w:tc>
        <w:tc>
          <w:tcPr>
            <w:tcW w:w="260" w:type="dxa"/>
            <w:vAlign w:val="bottom"/>
          </w:tcPr>
          <w:p>
            <w:pPr>
              <w:spacing w:after="0"/>
              <w:rPr>
                <w:sz w:val="16"/>
                <w:szCs w:val="16"/>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645,199</w:t>
            </w:r>
          </w:p>
        </w:tc>
        <w:tc>
          <w:tcPr>
            <w:tcW w:w="180" w:type="dxa"/>
            <w:vAlign w:val="bottom"/>
          </w:tcPr>
          <w:p>
            <w:pPr>
              <w:spacing w:after="0"/>
              <w:rPr>
                <w:sz w:val="16"/>
                <w:szCs w:val="16"/>
                <w:color w:val="auto"/>
              </w:rPr>
            </w:pPr>
          </w:p>
        </w:tc>
        <w:tc>
          <w:tcPr>
            <w:tcW w:w="1340" w:type="dxa"/>
            <w:vAlign w:val="bottom"/>
          </w:tcPr>
          <w:p>
            <w:pPr>
              <w:jc w:val="right"/>
              <w:ind w:right="161"/>
              <w:spacing w:after="0"/>
              <w:rPr>
                <w:sz w:val="20"/>
                <w:szCs w:val="20"/>
                <w:color w:val="auto"/>
              </w:rPr>
            </w:pPr>
            <w:r>
              <w:rPr>
                <w:rFonts w:ascii="Arial" w:cs="Arial" w:eastAsia="Arial" w:hAnsi="Arial"/>
                <w:sz w:val="16"/>
                <w:szCs w:val="16"/>
                <w:color w:val="auto"/>
              </w:rPr>
              <w:t>35,855</w:t>
            </w:r>
          </w:p>
        </w:tc>
        <w:tc>
          <w:tcPr>
            <w:tcW w:w="100" w:type="dxa"/>
            <w:vAlign w:val="bottom"/>
          </w:tcPr>
          <w:p>
            <w:pPr>
              <w:spacing w:after="0"/>
              <w:rPr>
                <w:sz w:val="16"/>
                <w:szCs w:val="16"/>
                <w:color w:val="auto"/>
              </w:rPr>
            </w:pPr>
          </w:p>
        </w:tc>
        <w:tc>
          <w:tcPr>
            <w:tcW w:w="1320" w:type="dxa"/>
            <w:vAlign w:val="bottom"/>
          </w:tcPr>
          <w:p>
            <w:pPr>
              <w:ind w:left="480"/>
              <w:spacing w:after="0"/>
              <w:rPr>
                <w:sz w:val="20"/>
                <w:szCs w:val="20"/>
                <w:color w:val="auto"/>
              </w:rPr>
            </w:pPr>
            <w:r>
              <w:rPr>
                <w:rFonts w:ascii="Arial" w:cs="Arial" w:eastAsia="Arial" w:hAnsi="Arial"/>
                <w:sz w:val="16"/>
                <w:szCs w:val="16"/>
                <w:color w:val="auto"/>
              </w:rPr>
              <w:t>2,675,317</w:t>
            </w:r>
          </w:p>
        </w:tc>
        <w:tc>
          <w:tcPr>
            <w:tcW w:w="0" w:type="dxa"/>
            <w:vAlign w:val="bottom"/>
          </w:tcPr>
          <w:p>
            <w:pPr>
              <w:spacing w:after="0"/>
              <w:rPr>
                <w:sz w:val="1"/>
                <w:szCs w:val="1"/>
                <w:color w:val="auto"/>
              </w:rPr>
            </w:pPr>
          </w:p>
        </w:tc>
      </w:tr>
      <w:tr>
        <w:trPr>
          <w:trHeight w:val="215"/>
        </w:trPr>
        <w:tc>
          <w:tcPr>
            <w:tcW w:w="2200" w:type="dxa"/>
            <w:vAlign w:val="bottom"/>
          </w:tcPr>
          <w:p>
            <w:pPr>
              <w:ind w:left="180"/>
              <w:spacing w:after="0"/>
              <w:rPr>
                <w:sz w:val="20"/>
                <w:szCs w:val="20"/>
                <w:color w:val="auto"/>
              </w:rPr>
            </w:pPr>
            <w:r>
              <w:rPr>
                <w:rFonts w:ascii="Arial" w:cs="Arial" w:eastAsia="Arial" w:hAnsi="Arial"/>
                <w:sz w:val="16"/>
                <w:szCs w:val="16"/>
                <w:color w:val="auto"/>
              </w:rPr>
              <w:t>and Chief Financial Officer</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99"/>
              </w:rPr>
              <w:t>—</w:t>
            </w: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6"/>
                <w:szCs w:val="16"/>
                <w:color w:val="auto"/>
                <w:w w:val="99"/>
              </w:rPr>
              <w:t>—</w:t>
            </w:r>
          </w:p>
        </w:tc>
        <w:tc>
          <w:tcPr>
            <w:tcW w:w="1400" w:type="dxa"/>
            <w:vAlign w:val="bottom"/>
            <w:gridSpan w:val="2"/>
            <w:vMerge w:val="restart"/>
          </w:tcPr>
          <w:p>
            <w:pPr>
              <w:jc w:val="center"/>
              <w:ind w:right="180"/>
              <w:spacing w:after="0"/>
              <w:rPr>
                <w:sz w:val="20"/>
                <w:szCs w:val="20"/>
                <w:color w:val="auto"/>
              </w:rPr>
            </w:pPr>
            <w:r>
              <w:rPr>
                <w:rFonts w:ascii="Arial" w:cs="Arial" w:eastAsia="Arial" w:hAnsi="Arial"/>
                <w:sz w:val="16"/>
                <w:szCs w:val="16"/>
                <w:color w:val="auto"/>
              </w:rPr>
              <w:t>—</w:t>
            </w: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20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Brent C. Jewell</w:t>
            </w:r>
          </w:p>
        </w:tc>
        <w:tc>
          <w:tcPr>
            <w:tcW w:w="880" w:type="dxa"/>
            <w:vAlign w:val="bottom"/>
            <w:gridSpan w:val="2"/>
            <w:shd w:val="clear" w:color="auto" w:fill="DBDBDB"/>
          </w:tcPr>
          <w:p>
            <w:pPr>
              <w:jc w:val="center"/>
              <w:spacing w:after="0"/>
              <w:rPr>
                <w:sz w:val="20"/>
                <w:szCs w:val="20"/>
                <w:color w:val="auto"/>
              </w:rPr>
            </w:pPr>
            <w:r>
              <w:rPr>
                <w:rFonts w:ascii="Arial" w:cs="Arial" w:eastAsia="Arial" w:hAnsi="Arial"/>
                <w:sz w:val="16"/>
                <w:szCs w:val="16"/>
                <w:color w:val="auto"/>
              </w:rPr>
              <w:t>2025</w:t>
            </w:r>
          </w:p>
        </w:tc>
        <w:tc>
          <w:tcPr>
            <w:tcW w:w="8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453,615</w:t>
            </w:r>
          </w:p>
        </w:tc>
        <w:tc>
          <w:tcPr>
            <w:tcW w:w="8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center"/>
              <w:ind w:right="160"/>
              <w:spacing w:after="0"/>
              <w:rPr>
                <w:sz w:val="20"/>
                <w:szCs w:val="20"/>
                <w:color w:val="auto"/>
              </w:rPr>
            </w:pPr>
            <w:r>
              <w:rPr>
                <w:rFonts w:ascii="Arial" w:cs="Arial" w:eastAsia="Arial" w:hAnsi="Arial"/>
                <w:sz w:val="16"/>
                <w:szCs w:val="16"/>
                <w:color w:val="auto"/>
                <w:w w:val="99"/>
              </w:rPr>
              <w:t>—</w:t>
            </w:r>
          </w:p>
        </w:tc>
        <w:tc>
          <w:tcPr>
            <w:tcW w:w="1220" w:type="dxa"/>
            <w:vAlign w:val="bottom"/>
            <w:shd w:val="clear" w:color="auto" w:fill="DBDBDB"/>
          </w:tcPr>
          <w:p>
            <w:pPr>
              <w:jc w:val="right"/>
              <w:ind w:right="61"/>
              <w:spacing w:after="0"/>
              <w:rPr>
                <w:sz w:val="20"/>
                <w:szCs w:val="20"/>
                <w:color w:val="auto"/>
              </w:rPr>
            </w:pPr>
            <w:r>
              <w:rPr>
                <w:rFonts w:ascii="Arial" w:cs="Arial" w:eastAsia="Arial" w:hAnsi="Arial"/>
                <w:sz w:val="16"/>
                <w:szCs w:val="16"/>
                <w:color w:val="auto"/>
              </w:rPr>
              <w:t>409,509</w:t>
            </w:r>
          </w:p>
        </w:tc>
        <w:tc>
          <w:tcPr>
            <w:tcW w:w="26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592,427</w:t>
            </w: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ind w:right="161"/>
              <w:spacing w:after="0"/>
              <w:rPr>
                <w:sz w:val="20"/>
                <w:szCs w:val="20"/>
                <w:color w:val="auto"/>
              </w:rPr>
            </w:pPr>
            <w:r>
              <w:rPr>
                <w:rFonts w:ascii="Arial" w:cs="Arial" w:eastAsia="Arial" w:hAnsi="Arial"/>
                <w:sz w:val="16"/>
                <w:szCs w:val="16"/>
                <w:color w:val="auto"/>
              </w:rPr>
              <w:t>41,006</w:t>
            </w:r>
          </w:p>
        </w:tc>
        <w:tc>
          <w:tcPr>
            <w:tcW w:w="100" w:type="dxa"/>
            <w:vAlign w:val="bottom"/>
            <w:shd w:val="clear" w:color="auto" w:fill="DBDBDB"/>
          </w:tcPr>
          <w:p>
            <w:pPr>
              <w:spacing w:after="0"/>
              <w:rPr>
                <w:sz w:val="19"/>
                <w:szCs w:val="19"/>
                <w:color w:val="auto"/>
              </w:rPr>
            </w:pPr>
          </w:p>
        </w:tc>
        <w:tc>
          <w:tcPr>
            <w:tcW w:w="1320" w:type="dxa"/>
            <w:vAlign w:val="bottom"/>
            <w:shd w:val="clear" w:color="auto" w:fill="DBDBDB"/>
          </w:tcPr>
          <w:p>
            <w:pPr>
              <w:ind w:left="480"/>
              <w:spacing w:after="0"/>
              <w:rPr>
                <w:sz w:val="20"/>
                <w:szCs w:val="20"/>
                <w:color w:val="auto"/>
              </w:rPr>
            </w:pPr>
            <w:r>
              <w:rPr>
                <w:rFonts w:ascii="Arial" w:cs="Arial" w:eastAsia="Arial" w:hAnsi="Arial"/>
                <w:sz w:val="16"/>
                <w:szCs w:val="16"/>
                <w:color w:val="auto"/>
              </w:rPr>
              <w:t>1,496,557</w:t>
            </w:r>
          </w:p>
        </w:tc>
        <w:tc>
          <w:tcPr>
            <w:tcW w:w="0" w:type="dxa"/>
            <w:vAlign w:val="bottom"/>
          </w:tcPr>
          <w:p>
            <w:pPr>
              <w:spacing w:after="0"/>
              <w:rPr>
                <w:sz w:val="1"/>
                <w:szCs w:val="1"/>
                <w:color w:val="auto"/>
              </w:rPr>
            </w:pPr>
          </w:p>
        </w:tc>
      </w:tr>
      <w:tr>
        <w:trPr>
          <w:trHeight w:val="217"/>
        </w:trPr>
        <w:tc>
          <w:tcPr>
            <w:tcW w:w="2200" w:type="dxa"/>
            <w:vAlign w:val="bottom"/>
            <w:shd w:val="clear" w:color="auto" w:fill="DBDBDB"/>
          </w:tcPr>
          <w:p>
            <w:pPr>
              <w:ind w:left="180"/>
              <w:spacing w:after="0"/>
              <w:rPr>
                <w:sz w:val="20"/>
                <w:szCs w:val="20"/>
                <w:color w:val="auto"/>
              </w:rPr>
            </w:pPr>
            <w:r>
              <w:rPr>
                <w:rFonts w:ascii="Arial" w:cs="Arial" w:eastAsia="Arial" w:hAnsi="Arial"/>
                <w:sz w:val="16"/>
                <w:szCs w:val="16"/>
                <w:color w:val="auto"/>
              </w:rPr>
              <w:t>President Architectural</w:t>
            </w:r>
          </w:p>
        </w:tc>
        <w:tc>
          <w:tcPr>
            <w:tcW w:w="80" w:type="dxa"/>
            <w:vAlign w:val="bottom"/>
            <w:shd w:val="clear" w:color="auto" w:fill="DBDBDB"/>
          </w:tcPr>
          <w:p>
            <w:pPr>
              <w:spacing w:after="0"/>
              <w:rPr>
                <w:sz w:val="18"/>
                <w:szCs w:val="18"/>
                <w:color w:val="auto"/>
              </w:rPr>
            </w:pPr>
          </w:p>
        </w:tc>
        <w:tc>
          <w:tcPr>
            <w:tcW w:w="8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2024</w:t>
            </w:r>
          </w:p>
        </w:tc>
        <w:tc>
          <w:tcPr>
            <w:tcW w:w="80" w:type="dxa"/>
            <w:vAlign w:val="bottom"/>
            <w:shd w:val="clear" w:color="auto" w:fill="DBDBDB"/>
          </w:tcPr>
          <w:p>
            <w:pPr>
              <w:spacing w:after="0"/>
              <w:rPr>
                <w:sz w:val="18"/>
                <w:szCs w:val="18"/>
                <w:color w:val="auto"/>
              </w:rPr>
            </w:pPr>
          </w:p>
        </w:tc>
        <w:tc>
          <w:tcPr>
            <w:tcW w:w="108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449,231</w:t>
            </w:r>
          </w:p>
        </w:tc>
        <w:tc>
          <w:tcPr>
            <w:tcW w:w="8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center"/>
              <w:ind w:right="160"/>
              <w:spacing w:after="0"/>
              <w:rPr>
                <w:sz w:val="20"/>
                <w:szCs w:val="20"/>
                <w:color w:val="auto"/>
              </w:rPr>
            </w:pPr>
            <w:r>
              <w:rPr>
                <w:rFonts w:ascii="Arial" w:cs="Arial" w:eastAsia="Arial" w:hAnsi="Arial"/>
                <w:sz w:val="16"/>
                <w:szCs w:val="16"/>
                <w:color w:val="auto"/>
                <w:w w:val="99"/>
              </w:rPr>
              <w:t>—</w:t>
            </w:r>
          </w:p>
        </w:tc>
        <w:tc>
          <w:tcPr>
            <w:tcW w:w="1220" w:type="dxa"/>
            <w:vAlign w:val="bottom"/>
            <w:shd w:val="clear" w:color="auto" w:fill="DBDBDB"/>
          </w:tcPr>
          <w:p>
            <w:pPr>
              <w:jc w:val="right"/>
              <w:ind w:right="61"/>
              <w:spacing w:after="0"/>
              <w:rPr>
                <w:sz w:val="20"/>
                <w:szCs w:val="20"/>
                <w:color w:val="auto"/>
              </w:rPr>
            </w:pPr>
            <w:r>
              <w:rPr>
                <w:rFonts w:ascii="Arial" w:cs="Arial" w:eastAsia="Arial" w:hAnsi="Arial"/>
                <w:sz w:val="16"/>
                <w:szCs w:val="16"/>
                <w:color w:val="auto"/>
              </w:rPr>
              <w:t>520,823</w:t>
            </w:r>
          </w:p>
        </w:tc>
        <w:tc>
          <w:tcPr>
            <w:tcW w:w="26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41"/>
              <w:spacing w:after="0"/>
              <w:rPr>
                <w:sz w:val="20"/>
                <w:szCs w:val="20"/>
                <w:color w:val="auto"/>
              </w:rPr>
            </w:pPr>
            <w:r>
              <w:rPr>
                <w:rFonts w:ascii="Arial" w:cs="Arial" w:eastAsia="Arial" w:hAnsi="Arial"/>
                <w:sz w:val="16"/>
                <w:szCs w:val="16"/>
                <w:color w:val="auto"/>
              </w:rPr>
              <w:t>377,591</w:t>
            </w:r>
          </w:p>
        </w:tc>
        <w:tc>
          <w:tcPr>
            <w:tcW w:w="18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161"/>
              <w:spacing w:after="0"/>
              <w:rPr>
                <w:sz w:val="20"/>
                <w:szCs w:val="20"/>
                <w:color w:val="auto"/>
              </w:rPr>
            </w:pPr>
            <w:r>
              <w:rPr>
                <w:rFonts w:ascii="Arial" w:cs="Arial" w:eastAsia="Arial" w:hAnsi="Arial"/>
                <w:sz w:val="16"/>
                <w:szCs w:val="16"/>
                <w:color w:val="auto"/>
              </w:rPr>
              <w:t>46,924</w:t>
            </w:r>
          </w:p>
        </w:tc>
        <w:tc>
          <w:tcPr>
            <w:tcW w:w="100" w:type="dxa"/>
            <w:vAlign w:val="bottom"/>
            <w:shd w:val="clear" w:color="auto" w:fill="DBDBDB"/>
          </w:tcPr>
          <w:p>
            <w:pPr>
              <w:spacing w:after="0"/>
              <w:rPr>
                <w:sz w:val="18"/>
                <w:szCs w:val="18"/>
                <w:color w:val="auto"/>
              </w:rPr>
            </w:pPr>
          </w:p>
        </w:tc>
        <w:tc>
          <w:tcPr>
            <w:tcW w:w="1320" w:type="dxa"/>
            <w:vAlign w:val="bottom"/>
            <w:shd w:val="clear" w:color="auto" w:fill="DBDBDB"/>
          </w:tcPr>
          <w:p>
            <w:pPr>
              <w:ind w:left="480"/>
              <w:spacing w:after="0"/>
              <w:rPr>
                <w:sz w:val="20"/>
                <w:szCs w:val="20"/>
                <w:color w:val="auto"/>
              </w:rPr>
            </w:pPr>
            <w:r>
              <w:rPr>
                <w:rFonts w:ascii="Arial" w:cs="Arial" w:eastAsia="Arial" w:hAnsi="Arial"/>
                <w:sz w:val="16"/>
                <w:szCs w:val="16"/>
                <w:color w:val="auto"/>
              </w:rPr>
              <w:t>1,394,569</w:t>
            </w:r>
          </w:p>
        </w:tc>
        <w:tc>
          <w:tcPr>
            <w:tcW w:w="0" w:type="dxa"/>
            <w:vAlign w:val="bottom"/>
          </w:tcPr>
          <w:p>
            <w:pPr>
              <w:spacing w:after="0"/>
              <w:rPr>
                <w:sz w:val="1"/>
                <w:szCs w:val="1"/>
                <w:color w:val="auto"/>
              </w:rPr>
            </w:pPr>
          </w:p>
        </w:tc>
      </w:tr>
      <w:tr>
        <w:trPr>
          <w:trHeight w:val="215"/>
        </w:trPr>
        <w:tc>
          <w:tcPr>
            <w:tcW w:w="2200" w:type="dxa"/>
            <w:vAlign w:val="bottom"/>
            <w:shd w:val="clear" w:color="auto" w:fill="DBDBDB"/>
          </w:tcPr>
          <w:p>
            <w:pPr>
              <w:ind w:left="180"/>
              <w:spacing w:after="0"/>
              <w:rPr>
                <w:sz w:val="20"/>
                <w:szCs w:val="20"/>
                <w:color w:val="auto"/>
              </w:rPr>
            </w:pPr>
            <w:r>
              <w:rPr>
                <w:rFonts w:ascii="Arial" w:cs="Arial" w:eastAsia="Arial" w:hAnsi="Arial"/>
                <w:sz w:val="16"/>
                <w:szCs w:val="16"/>
                <w:color w:val="auto"/>
              </w:rPr>
              <w:t>Glass Segment</w:t>
            </w:r>
          </w:p>
        </w:tc>
        <w:tc>
          <w:tcPr>
            <w:tcW w:w="80" w:type="dxa"/>
            <w:vAlign w:val="bottom"/>
            <w:shd w:val="clear" w:color="auto" w:fill="DBDBDB"/>
          </w:tcPr>
          <w:p>
            <w:pPr>
              <w:spacing w:after="0"/>
              <w:rPr>
                <w:sz w:val="18"/>
                <w:szCs w:val="18"/>
                <w:color w:val="auto"/>
              </w:rPr>
            </w:pPr>
          </w:p>
        </w:tc>
        <w:tc>
          <w:tcPr>
            <w:tcW w:w="80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2023</w:t>
            </w:r>
          </w:p>
        </w:tc>
        <w:tc>
          <w:tcPr>
            <w:tcW w:w="80" w:type="dxa"/>
            <w:vAlign w:val="bottom"/>
            <w:shd w:val="clear" w:color="auto" w:fill="DBDBDB"/>
          </w:tcPr>
          <w:p>
            <w:pPr>
              <w:spacing w:after="0"/>
              <w:rPr>
                <w:sz w:val="18"/>
                <w:szCs w:val="18"/>
                <w:color w:val="auto"/>
              </w:rPr>
            </w:pPr>
          </w:p>
        </w:tc>
        <w:tc>
          <w:tcPr>
            <w:tcW w:w="1080" w:type="dxa"/>
            <w:vAlign w:val="bottom"/>
            <w:vMerge w:val="restart"/>
            <w:shd w:val="clear" w:color="auto" w:fill="DBDBDB"/>
          </w:tcPr>
          <w:p>
            <w:pPr>
              <w:jc w:val="right"/>
              <w:ind w:right="59"/>
              <w:spacing w:after="0"/>
              <w:rPr>
                <w:sz w:val="20"/>
                <w:szCs w:val="20"/>
                <w:color w:val="auto"/>
              </w:rPr>
            </w:pPr>
            <w:r>
              <w:rPr>
                <w:rFonts w:ascii="Arial" w:cs="Arial" w:eastAsia="Arial" w:hAnsi="Arial"/>
                <w:sz w:val="16"/>
                <w:szCs w:val="16"/>
                <w:color w:val="auto"/>
              </w:rPr>
              <w:t>425,192</w:t>
            </w:r>
          </w:p>
        </w:tc>
        <w:tc>
          <w:tcPr>
            <w:tcW w:w="80" w:type="dxa"/>
            <w:vAlign w:val="bottom"/>
            <w:shd w:val="clear" w:color="auto" w:fill="DBDBDB"/>
          </w:tcPr>
          <w:p>
            <w:pPr>
              <w:spacing w:after="0"/>
              <w:rPr>
                <w:sz w:val="18"/>
                <w:szCs w:val="18"/>
                <w:color w:val="auto"/>
              </w:rPr>
            </w:pPr>
          </w:p>
        </w:tc>
        <w:tc>
          <w:tcPr>
            <w:tcW w:w="1280" w:type="dxa"/>
            <w:vAlign w:val="bottom"/>
            <w:gridSpan w:val="2"/>
            <w:vMerge w:val="restart"/>
            <w:shd w:val="clear" w:color="auto" w:fill="DBDBDB"/>
          </w:tcPr>
          <w:p>
            <w:pPr>
              <w:jc w:val="center"/>
              <w:ind w:right="160"/>
              <w:spacing w:after="0"/>
              <w:rPr>
                <w:sz w:val="20"/>
                <w:szCs w:val="20"/>
                <w:color w:val="auto"/>
              </w:rPr>
            </w:pPr>
            <w:r>
              <w:rPr>
                <w:rFonts w:ascii="Arial" w:cs="Arial" w:eastAsia="Arial" w:hAnsi="Arial"/>
                <w:sz w:val="16"/>
                <w:szCs w:val="16"/>
                <w:color w:val="auto"/>
                <w:w w:val="99"/>
              </w:rPr>
              <w:t>—</w:t>
            </w:r>
          </w:p>
        </w:tc>
        <w:tc>
          <w:tcPr>
            <w:tcW w:w="1220" w:type="dxa"/>
            <w:vAlign w:val="bottom"/>
            <w:vMerge w:val="restart"/>
            <w:shd w:val="clear" w:color="auto" w:fill="DBDBDB"/>
          </w:tcPr>
          <w:p>
            <w:pPr>
              <w:jc w:val="right"/>
              <w:ind w:right="61"/>
              <w:spacing w:after="0"/>
              <w:rPr>
                <w:sz w:val="20"/>
                <w:szCs w:val="20"/>
                <w:color w:val="auto"/>
              </w:rPr>
            </w:pPr>
            <w:r>
              <w:rPr>
                <w:rFonts w:ascii="Arial" w:cs="Arial" w:eastAsia="Arial" w:hAnsi="Arial"/>
                <w:sz w:val="16"/>
                <w:szCs w:val="16"/>
                <w:color w:val="auto"/>
              </w:rPr>
              <w:t>357,817</w:t>
            </w:r>
          </w:p>
        </w:tc>
        <w:tc>
          <w:tcPr>
            <w:tcW w:w="260" w:type="dxa"/>
            <w:vAlign w:val="bottom"/>
            <w:shd w:val="clear" w:color="auto" w:fill="DBDBDB"/>
          </w:tcPr>
          <w:p>
            <w:pPr>
              <w:spacing w:after="0"/>
              <w:rPr>
                <w:sz w:val="18"/>
                <w:szCs w:val="18"/>
                <w:color w:val="auto"/>
              </w:rPr>
            </w:pPr>
          </w:p>
        </w:tc>
        <w:tc>
          <w:tcPr>
            <w:tcW w:w="1220" w:type="dxa"/>
            <w:vAlign w:val="bottom"/>
            <w:vMerge w:val="restart"/>
            <w:shd w:val="clear" w:color="auto" w:fill="DBDBDB"/>
          </w:tcPr>
          <w:p>
            <w:pPr>
              <w:jc w:val="right"/>
              <w:ind w:right="41"/>
              <w:spacing w:after="0"/>
              <w:rPr>
                <w:sz w:val="20"/>
                <w:szCs w:val="20"/>
                <w:color w:val="auto"/>
              </w:rPr>
            </w:pPr>
            <w:r>
              <w:rPr>
                <w:rFonts w:ascii="Arial" w:cs="Arial" w:eastAsia="Arial" w:hAnsi="Arial"/>
                <w:sz w:val="16"/>
                <w:szCs w:val="16"/>
                <w:color w:val="auto"/>
              </w:rPr>
              <w:t>511,200</w:t>
            </w:r>
          </w:p>
        </w:tc>
        <w:tc>
          <w:tcPr>
            <w:tcW w:w="180" w:type="dxa"/>
            <w:vAlign w:val="bottom"/>
            <w:shd w:val="clear" w:color="auto" w:fill="DBDBDB"/>
          </w:tcPr>
          <w:p>
            <w:pPr>
              <w:spacing w:after="0"/>
              <w:rPr>
                <w:sz w:val="18"/>
                <w:szCs w:val="18"/>
                <w:color w:val="auto"/>
              </w:rPr>
            </w:pPr>
          </w:p>
        </w:tc>
        <w:tc>
          <w:tcPr>
            <w:tcW w:w="1340" w:type="dxa"/>
            <w:vAlign w:val="bottom"/>
            <w:vMerge w:val="restart"/>
            <w:shd w:val="clear" w:color="auto" w:fill="DBDBDB"/>
          </w:tcPr>
          <w:p>
            <w:pPr>
              <w:jc w:val="right"/>
              <w:ind w:right="161"/>
              <w:spacing w:after="0"/>
              <w:rPr>
                <w:sz w:val="20"/>
                <w:szCs w:val="20"/>
                <w:color w:val="auto"/>
              </w:rPr>
            </w:pPr>
            <w:r>
              <w:rPr>
                <w:rFonts w:ascii="Arial" w:cs="Arial" w:eastAsia="Arial" w:hAnsi="Arial"/>
                <w:sz w:val="16"/>
                <w:szCs w:val="16"/>
                <w:color w:val="auto"/>
              </w:rPr>
              <w:t>24,435</w:t>
            </w:r>
          </w:p>
        </w:tc>
        <w:tc>
          <w:tcPr>
            <w:tcW w:w="100" w:type="dxa"/>
            <w:vAlign w:val="bottom"/>
            <w:shd w:val="clear" w:color="auto" w:fill="DBDBDB"/>
          </w:tcPr>
          <w:p>
            <w:pPr>
              <w:spacing w:after="0"/>
              <w:rPr>
                <w:sz w:val="18"/>
                <w:szCs w:val="18"/>
                <w:color w:val="auto"/>
              </w:rPr>
            </w:pPr>
          </w:p>
        </w:tc>
        <w:tc>
          <w:tcPr>
            <w:tcW w:w="1320" w:type="dxa"/>
            <w:vAlign w:val="bottom"/>
            <w:vMerge w:val="restart"/>
            <w:shd w:val="clear" w:color="auto" w:fill="DBDBDB"/>
          </w:tcPr>
          <w:p>
            <w:pPr>
              <w:ind w:left="480"/>
              <w:spacing w:after="0"/>
              <w:rPr>
                <w:sz w:val="20"/>
                <w:szCs w:val="20"/>
                <w:color w:val="auto"/>
              </w:rPr>
            </w:pPr>
            <w:r>
              <w:rPr>
                <w:rFonts w:ascii="Arial" w:cs="Arial" w:eastAsia="Arial" w:hAnsi="Arial"/>
                <w:sz w:val="16"/>
                <w:szCs w:val="16"/>
                <w:color w:val="auto"/>
              </w:rPr>
              <w:t>1,318,644</w:t>
            </w:r>
          </w:p>
        </w:tc>
        <w:tc>
          <w:tcPr>
            <w:tcW w:w="0" w:type="dxa"/>
            <w:vAlign w:val="bottom"/>
          </w:tcPr>
          <w:p>
            <w:pPr>
              <w:spacing w:after="0"/>
              <w:rPr>
                <w:sz w:val="1"/>
                <w:szCs w:val="1"/>
                <w:color w:val="auto"/>
              </w:rPr>
            </w:pPr>
          </w:p>
        </w:tc>
      </w:tr>
      <w:tr>
        <w:trPr>
          <w:trHeight w:val="70"/>
        </w:trPr>
        <w:tc>
          <w:tcPr>
            <w:tcW w:w="220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800" w:type="dxa"/>
            <w:vAlign w:val="bottom"/>
            <w:vMerge w:val="continue"/>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080" w:type="dxa"/>
            <w:vAlign w:val="bottom"/>
            <w:vMerge w:val="continue"/>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1280" w:type="dxa"/>
            <w:vAlign w:val="bottom"/>
            <w:gridSpan w:val="2"/>
            <w:vMerge w:val="continue"/>
            <w:shd w:val="clear" w:color="auto" w:fill="DBDBDB"/>
          </w:tcPr>
          <w:p>
            <w:pPr>
              <w:spacing w:after="0"/>
              <w:rPr>
                <w:sz w:val="6"/>
                <w:szCs w:val="6"/>
                <w:color w:val="auto"/>
              </w:rPr>
            </w:pPr>
          </w:p>
        </w:tc>
        <w:tc>
          <w:tcPr>
            <w:tcW w:w="1220" w:type="dxa"/>
            <w:vAlign w:val="bottom"/>
            <w:vMerge w:val="continue"/>
            <w:shd w:val="clear" w:color="auto" w:fill="DBDBDB"/>
          </w:tcPr>
          <w:p>
            <w:pPr>
              <w:spacing w:after="0"/>
              <w:rPr>
                <w:sz w:val="6"/>
                <w:szCs w:val="6"/>
                <w:color w:val="auto"/>
              </w:rPr>
            </w:pPr>
          </w:p>
        </w:tc>
        <w:tc>
          <w:tcPr>
            <w:tcW w:w="260" w:type="dxa"/>
            <w:vAlign w:val="bottom"/>
            <w:shd w:val="clear" w:color="auto" w:fill="DBDBDB"/>
          </w:tcPr>
          <w:p>
            <w:pPr>
              <w:spacing w:after="0"/>
              <w:rPr>
                <w:sz w:val="6"/>
                <w:szCs w:val="6"/>
                <w:color w:val="auto"/>
              </w:rPr>
            </w:pPr>
          </w:p>
        </w:tc>
        <w:tc>
          <w:tcPr>
            <w:tcW w:w="1220" w:type="dxa"/>
            <w:vAlign w:val="bottom"/>
            <w:vMerge w:val="continue"/>
            <w:shd w:val="clear" w:color="auto" w:fill="DBDBDB"/>
          </w:tcPr>
          <w:p>
            <w:pPr>
              <w:spacing w:after="0"/>
              <w:rPr>
                <w:sz w:val="6"/>
                <w:szCs w:val="6"/>
                <w:color w:val="auto"/>
              </w:rPr>
            </w:pPr>
          </w:p>
        </w:tc>
        <w:tc>
          <w:tcPr>
            <w:tcW w:w="180" w:type="dxa"/>
            <w:vAlign w:val="bottom"/>
            <w:shd w:val="clear" w:color="auto" w:fill="DBDBDB"/>
          </w:tcPr>
          <w:p>
            <w:pPr>
              <w:spacing w:after="0"/>
              <w:rPr>
                <w:sz w:val="6"/>
                <w:szCs w:val="6"/>
                <w:color w:val="auto"/>
              </w:rPr>
            </w:pPr>
          </w:p>
        </w:tc>
        <w:tc>
          <w:tcPr>
            <w:tcW w:w="1340" w:type="dxa"/>
            <w:vAlign w:val="bottom"/>
            <w:vMerge w:val="continue"/>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32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200" w:type="dxa"/>
            <w:vAlign w:val="bottom"/>
          </w:tcPr>
          <w:p>
            <w:pPr>
              <w:ind w:left="20"/>
              <w:spacing w:after="0"/>
              <w:rPr>
                <w:sz w:val="20"/>
                <w:szCs w:val="20"/>
                <w:color w:val="auto"/>
              </w:rPr>
            </w:pPr>
            <w:r>
              <w:rPr>
                <w:rFonts w:ascii="Arial" w:cs="Arial" w:eastAsia="Arial" w:hAnsi="Arial"/>
                <w:sz w:val="16"/>
                <w:szCs w:val="16"/>
                <w:color w:val="auto"/>
              </w:rPr>
              <w:t>Troy R. Johnson</w:t>
            </w:r>
            <w:r>
              <w:rPr>
                <w:rFonts w:ascii="Arial" w:cs="Arial" w:eastAsia="Arial" w:hAnsi="Arial"/>
                <w:sz w:val="21"/>
                <w:szCs w:val="21"/>
                <w:color w:val="auto"/>
                <w:vertAlign w:val="superscript"/>
              </w:rPr>
              <w:t>(5)</w:t>
            </w:r>
          </w:p>
        </w:tc>
        <w:tc>
          <w:tcPr>
            <w:tcW w:w="880" w:type="dxa"/>
            <w:vAlign w:val="bottom"/>
            <w:gridSpan w:val="2"/>
          </w:tcPr>
          <w:p>
            <w:pPr>
              <w:jc w:val="center"/>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22"/>
                <w:szCs w:val="22"/>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426,846</w:t>
            </w:r>
          </w:p>
        </w:tc>
        <w:tc>
          <w:tcPr>
            <w:tcW w:w="80" w:type="dxa"/>
            <w:vAlign w:val="bottom"/>
          </w:tcPr>
          <w:p>
            <w:pPr>
              <w:spacing w:after="0"/>
              <w:rPr>
                <w:sz w:val="22"/>
                <w:szCs w:val="22"/>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320,966</w:t>
            </w:r>
          </w:p>
        </w:tc>
        <w:tc>
          <w:tcPr>
            <w:tcW w:w="260" w:type="dxa"/>
            <w:vAlign w:val="bottom"/>
          </w:tcPr>
          <w:p>
            <w:pPr>
              <w:spacing w:after="0"/>
              <w:rPr>
                <w:sz w:val="22"/>
                <w:szCs w:val="22"/>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680,125</w:t>
            </w:r>
          </w:p>
        </w:tc>
        <w:tc>
          <w:tcPr>
            <w:tcW w:w="180" w:type="dxa"/>
            <w:vAlign w:val="bottom"/>
          </w:tcPr>
          <w:p>
            <w:pPr>
              <w:spacing w:after="0"/>
              <w:rPr>
                <w:sz w:val="22"/>
                <w:szCs w:val="22"/>
                <w:color w:val="auto"/>
              </w:rPr>
            </w:pPr>
          </w:p>
        </w:tc>
        <w:tc>
          <w:tcPr>
            <w:tcW w:w="1340" w:type="dxa"/>
            <w:vAlign w:val="bottom"/>
          </w:tcPr>
          <w:p>
            <w:pPr>
              <w:jc w:val="right"/>
              <w:ind w:right="161"/>
              <w:spacing w:after="0"/>
              <w:rPr>
                <w:sz w:val="20"/>
                <w:szCs w:val="20"/>
                <w:color w:val="auto"/>
              </w:rPr>
            </w:pPr>
            <w:r>
              <w:rPr>
                <w:rFonts w:ascii="Arial" w:cs="Arial" w:eastAsia="Arial" w:hAnsi="Arial"/>
                <w:sz w:val="16"/>
                <w:szCs w:val="16"/>
                <w:color w:val="auto"/>
              </w:rPr>
              <w:t>36,927</w:t>
            </w:r>
          </w:p>
        </w:tc>
        <w:tc>
          <w:tcPr>
            <w:tcW w:w="100" w:type="dxa"/>
            <w:vAlign w:val="bottom"/>
          </w:tcPr>
          <w:p>
            <w:pPr>
              <w:spacing w:after="0"/>
              <w:rPr>
                <w:sz w:val="22"/>
                <w:szCs w:val="22"/>
                <w:color w:val="auto"/>
              </w:rPr>
            </w:pPr>
          </w:p>
        </w:tc>
        <w:tc>
          <w:tcPr>
            <w:tcW w:w="1320" w:type="dxa"/>
            <w:vAlign w:val="bottom"/>
          </w:tcPr>
          <w:p>
            <w:pPr>
              <w:ind w:left="480"/>
              <w:spacing w:after="0"/>
              <w:rPr>
                <w:sz w:val="20"/>
                <w:szCs w:val="20"/>
                <w:color w:val="auto"/>
              </w:rPr>
            </w:pPr>
            <w:r>
              <w:rPr>
                <w:rFonts w:ascii="Arial" w:cs="Arial" w:eastAsia="Arial" w:hAnsi="Arial"/>
                <w:sz w:val="16"/>
                <w:szCs w:val="16"/>
                <w:color w:val="auto"/>
              </w:rPr>
              <w:t>1,464,864</w:t>
            </w:r>
          </w:p>
        </w:tc>
        <w:tc>
          <w:tcPr>
            <w:tcW w:w="0" w:type="dxa"/>
            <w:vAlign w:val="bottom"/>
          </w:tcPr>
          <w:p>
            <w:pPr>
              <w:spacing w:after="0"/>
              <w:rPr>
                <w:sz w:val="1"/>
                <w:szCs w:val="1"/>
                <w:color w:val="auto"/>
              </w:rPr>
            </w:pPr>
          </w:p>
        </w:tc>
      </w:tr>
      <w:tr>
        <w:trPr>
          <w:trHeight w:val="189"/>
        </w:trPr>
        <w:tc>
          <w:tcPr>
            <w:tcW w:w="2200" w:type="dxa"/>
            <w:vAlign w:val="bottom"/>
          </w:tcPr>
          <w:p>
            <w:pPr>
              <w:ind w:left="180"/>
              <w:spacing w:after="0"/>
              <w:rPr>
                <w:sz w:val="20"/>
                <w:szCs w:val="20"/>
                <w:color w:val="auto"/>
              </w:rPr>
            </w:pPr>
            <w:r>
              <w:rPr>
                <w:rFonts w:ascii="Arial" w:cs="Arial" w:eastAsia="Arial" w:hAnsi="Arial"/>
                <w:sz w:val="16"/>
                <w:szCs w:val="16"/>
                <w:color w:val="auto"/>
              </w:rPr>
              <w:t>President Architectural</w:t>
            </w:r>
          </w:p>
        </w:tc>
        <w:tc>
          <w:tcPr>
            <w:tcW w:w="880" w:type="dxa"/>
            <w:vAlign w:val="bottom"/>
            <w:gridSpan w:val="2"/>
          </w:tcPr>
          <w:p>
            <w:pPr>
              <w:jc w:val="center"/>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color w:val="auto"/>
                <w:w w:val="99"/>
              </w:rPr>
              <w:t>—</w:t>
            </w: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5"/>
        </w:trPr>
        <w:tc>
          <w:tcPr>
            <w:tcW w:w="2200" w:type="dxa"/>
            <w:vAlign w:val="bottom"/>
          </w:tcPr>
          <w:p>
            <w:pPr>
              <w:ind w:left="180"/>
              <w:spacing w:after="0"/>
              <w:rPr>
                <w:sz w:val="20"/>
                <w:szCs w:val="20"/>
                <w:color w:val="auto"/>
              </w:rPr>
            </w:pPr>
            <w:r>
              <w:rPr>
                <w:rFonts w:ascii="Arial" w:cs="Arial" w:eastAsia="Arial" w:hAnsi="Arial"/>
                <w:sz w:val="16"/>
                <w:szCs w:val="16"/>
                <w:color w:val="auto"/>
              </w:rPr>
              <w:t>Services Segment</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6"/>
                <w:szCs w:val="16"/>
                <w:color w:val="auto"/>
                <w:w w:val="99"/>
              </w:rPr>
              <w:t>—</w:t>
            </w: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6"/>
                <w:szCs w:val="16"/>
                <w:color w:val="auto"/>
                <w:w w:val="99"/>
              </w:rPr>
              <w:t>—</w:t>
            </w:r>
          </w:p>
        </w:tc>
        <w:tc>
          <w:tcPr>
            <w:tcW w:w="1400" w:type="dxa"/>
            <w:vAlign w:val="bottom"/>
            <w:gridSpan w:val="2"/>
            <w:vMerge w:val="restart"/>
          </w:tcPr>
          <w:p>
            <w:pPr>
              <w:jc w:val="center"/>
              <w:ind w:right="180"/>
              <w:spacing w:after="0"/>
              <w:rPr>
                <w:sz w:val="20"/>
                <w:szCs w:val="20"/>
                <w:color w:val="auto"/>
              </w:rPr>
            </w:pPr>
            <w:r>
              <w:rPr>
                <w:rFonts w:ascii="Arial" w:cs="Arial" w:eastAsia="Arial" w:hAnsi="Arial"/>
                <w:sz w:val="16"/>
                <w:szCs w:val="16"/>
                <w:color w:val="auto"/>
              </w:rPr>
              <w:t>—</w:t>
            </w: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2"/>
        </w:trPr>
        <w:tc>
          <w:tcPr>
            <w:tcW w:w="2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Raelyn A. Trende</w:t>
            </w:r>
            <w:r>
              <w:rPr>
                <w:rFonts w:ascii="Arial" w:cs="Arial" w:eastAsia="Arial" w:hAnsi="Arial"/>
                <w:sz w:val="21"/>
                <w:szCs w:val="21"/>
                <w:color w:val="auto"/>
                <w:vertAlign w:val="superscript"/>
              </w:rPr>
              <w:t>(6)</w:t>
            </w:r>
          </w:p>
        </w:tc>
        <w:tc>
          <w:tcPr>
            <w:tcW w:w="880" w:type="dxa"/>
            <w:vAlign w:val="bottom"/>
            <w:gridSpan w:val="2"/>
            <w:shd w:val="clear" w:color="auto" w:fill="DBDBDB"/>
          </w:tcPr>
          <w:p>
            <w:pPr>
              <w:jc w:val="center"/>
              <w:spacing w:after="0"/>
              <w:rPr>
                <w:sz w:val="20"/>
                <w:szCs w:val="20"/>
                <w:color w:val="auto"/>
              </w:rPr>
            </w:pPr>
            <w:r>
              <w:rPr>
                <w:rFonts w:ascii="Arial" w:cs="Arial" w:eastAsia="Arial" w:hAnsi="Arial"/>
                <w:sz w:val="16"/>
                <w:szCs w:val="16"/>
                <w:color w:val="auto"/>
              </w:rPr>
              <w:t>2025</w:t>
            </w:r>
          </w:p>
        </w:tc>
        <w:tc>
          <w:tcPr>
            <w:tcW w:w="80" w:type="dxa"/>
            <w:vAlign w:val="bottom"/>
            <w:shd w:val="clear" w:color="auto" w:fill="DBDBDB"/>
          </w:tcPr>
          <w:p>
            <w:pPr>
              <w:spacing w:after="0"/>
              <w:rPr>
                <w:sz w:val="21"/>
                <w:szCs w:val="21"/>
                <w:color w:val="auto"/>
              </w:rPr>
            </w:pPr>
          </w:p>
        </w:tc>
        <w:tc>
          <w:tcPr>
            <w:tcW w:w="108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244,423</w:t>
            </w:r>
          </w:p>
        </w:tc>
        <w:tc>
          <w:tcPr>
            <w:tcW w:w="1200" w:type="dxa"/>
            <w:vAlign w:val="bottom"/>
            <w:gridSpan w:val="2"/>
            <w:shd w:val="clear" w:color="auto" w:fill="DBDBDB"/>
          </w:tcPr>
          <w:p>
            <w:pPr>
              <w:jc w:val="center"/>
              <w:spacing w:after="0"/>
              <w:rPr>
                <w:sz w:val="20"/>
                <w:szCs w:val="20"/>
                <w:color w:val="auto"/>
              </w:rPr>
            </w:pPr>
            <w:r>
              <w:rPr>
                <w:rFonts w:ascii="Arial" w:cs="Arial" w:eastAsia="Arial" w:hAnsi="Arial"/>
                <w:sz w:val="16"/>
                <w:szCs w:val="16"/>
                <w:color w:val="auto"/>
              </w:rPr>
              <w:t>200,000</w:t>
            </w:r>
          </w:p>
        </w:tc>
        <w:tc>
          <w:tcPr>
            <w:tcW w:w="160" w:type="dxa"/>
            <w:vAlign w:val="bottom"/>
            <w:shd w:val="clear" w:color="auto" w:fill="DBDBDB"/>
          </w:tcPr>
          <w:p>
            <w:pPr>
              <w:spacing w:after="0"/>
              <w:rPr>
                <w:sz w:val="21"/>
                <w:szCs w:val="21"/>
                <w:color w:val="auto"/>
              </w:rPr>
            </w:pPr>
          </w:p>
        </w:tc>
        <w:tc>
          <w:tcPr>
            <w:tcW w:w="1220" w:type="dxa"/>
            <w:vAlign w:val="bottom"/>
            <w:shd w:val="clear" w:color="auto" w:fill="DBDBDB"/>
          </w:tcPr>
          <w:p>
            <w:pPr>
              <w:jc w:val="right"/>
              <w:ind w:right="61"/>
              <w:spacing w:after="0"/>
              <w:rPr>
                <w:sz w:val="20"/>
                <w:szCs w:val="20"/>
                <w:color w:val="auto"/>
              </w:rPr>
            </w:pPr>
            <w:r>
              <w:rPr>
                <w:rFonts w:ascii="Arial" w:cs="Arial" w:eastAsia="Arial" w:hAnsi="Arial"/>
                <w:sz w:val="16"/>
                <w:szCs w:val="16"/>
                <w:color w:val="auto"/>
              </w:rPr>
              <w:t>844,022</w:t>
            </w:r>
          </w:p>
        </w:tc>
        <w:tc>
          <w:tcPr>
            <w:tcW w:w="260" w:type="dxa"/>
            <w:vAlign w:val="bottom"/>
            <w:shd w:val="clear" w:color="auto" w:fill="DBDBDB"/>
          </w:tcPr>
          <w:p>
            <w:pPr>
              <w:spacing w:after="0"/>
              <w:rPr>
                <w:sz w:val="21"/>
                <w:szCs w:val="21"/>
                <w:color w:val="auto"/>
              </w:rPr>
            </w:pPr>
          </w:p>
        </w:tc>
        <w:tc>
          <w:tcPr>
            <w:tcW w:w="12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143,500</w:t>
            </w:r>
          </w:p>
        </w:tc>
        <w:tc>
          <w:tcPr>
            <w:tcW w:w="180" w:type="dxa"/>
            <w:vAlign w:val="bottom"/>
            <w:shd w:val="clear" w:color="auto" w:fill="DBDBDB"/>
          </w:tcPr>
          <w:p>
            <w:pPr>
              <w:spacing w:after="0"/>
              <w:rPr>
                <w:sz w:val="21"/>
                <w:szCs w:val="21"/>
                <w:color w:val="auto"/>
              </w:rPr>
            </w:pPr>
          </w:p>
        </w:tc>
        <w:tc>
          <w:tcPr>
            <w:tcW w:w="1340" w:type="dxa"/>
            <w:vAlign w:val="bottom"/>
            <w:shd w:val="clear" w:color="auto" w:fill="DBDBDB"/>
          </w:tcPr>
          <w:p>
            <w:pPr>
              <w:jc w:val="right"/>
              <w:ind w:right="161"/>
              <w:spacing w:after="0"/>
              <w:rPr>
                <w:sz w:val="20"/>
                <w:szCs w:val="20"/>
                <w:color w:val="auto"/>
              </w:rPr>
            </w:pPr>
            <w:r>
              <w:rPr>
                <w:rFonts w:ascii="Arial" w:cs="Arial" w:eastAsia="Arial" w:hAnsi="Arial"/>
                <w:sz w:val="16"/>
                <w:szCs w:val="16"/>
                <w:color w:val="auto"/>
              </w:rPr>
              <w:t>6,757</w:t>
            </w:r>
          </w:p>
        </w:tc>
        <w:tc>
          <w:tcPr>
            <w:tcW w:w="100" w:type="dxa"/>
            <w:vAlign w:val="bottom"/>
            <w:shd w:val="clear" w:color="auto" w:fill="DBDBDB"/>
          </w:tcPr>
          <w:p>
            <w:pPr>
              <w:spacing w:after="0"/>
              <w:rPr>
                <w:sz w:val="21"/>
                <w:szCs w:val="21"/>
                <w:color w:val="auto"/>
              </w:rPr>
            </w:pPr>
          </w:p>
        </w:tc>
        <w:tc>
          <w:tcPr>
            <w:tcW w:w="13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1,438,702</w:t>
            </w:r>
          </w:p>
        </w:tc>
        <w:tc>
          <w:tcPr>
            <w:tcW w:w="0" w:type="dxa"/>
            <w:vAlign w:val="bottom"/>
          </w:tcPr>
          <w:p>
            <w:pPr>
              <w:spacing w:after="0"/>
              <w:rPr>
                <w:sz w:val="1"/>
                <w:szCs w:val="1"/>
                <w:color w:val="auto"/>
              </w:rPr>
            </w:pPr>
          </w:p>
        </w:tc>
      </w:tr>
      <w:tr>
        <w:trPr>
          <w:trHeight w:val="202"/>
        </w:trPr>
        <w:tc>
          <w:tcPr>
            <w:tcW w:w="2200" w:type="dxa"/>
            <w:vAlign w:val="bottom"/>
            <w:shd w:val="clear" w:color="auto" w:fill="DBDBDB"/>
          </w:tcPr>
          <w:p>
            <w:pPr>
              <w:ind w:left="180"/>
              <w:spacing w:after="0"/>
              <w:rPr>
                <w:sz w:val="20"/>
                <w:szCs w:val="20"/>
                <w:color w:val="auto"/>
              </w:rPr>
            </w:pPr>
            <w:r>
              <w:rPr>
                <w:rFonts w:ascii="Arial" w:cs="Arial" w:eastAsia="Arial" w:hAnsi="Arial"/>
                <w:sz w:val="16"/>
                <w:szCs w:val="16"/>
                <w:color w:val="auto"/>
              </w:rPr>
              <w:t>Executive Vice President</w:t>
            </w:r>
          </w:p>
        </w:tc>
        <w:tc>
          <w:tcPr>
            <w:tcW w:w="80" w:type="dxa"/>
            <w:vAlign w:val="bottom"/>
            <w:shd w:val="clear" w:color="auto" w:fill="DBDBDB"/>
          </w:tcPr>
          <w:p>
            <w:pPr>
              <w:spacing w:after="0"/>
              <w:rPr>
                <w:sz w:val="17"/>
                <w:szCs w:val="17"/>
                <w:color w:val="auto"/>
              </w:rPr>
            </w:pPr>
          </w:p>
        </w:tc>
        <w:tc>
          <w:tcPr>
            <w:tcW w:w="8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2024</w:t>
            </w:r>
          </w:p>
        </w:tc>
        <w:tc>
          <w:tcPr>
            <w:tcW w:w="80" w:type="dxa"/>
            <w:vAlign w:val="bottom"/>
            <w:shd w:val="clear" w:color="auto" w:fill="DBDBDB"/>
          </w:tcPr>
          <w:p>
            <w:pPr>
              <w:spacing w:after="0"/>
              <w:rPr>
                <w:sz w:val="17"/>
                <w:szCs w:val="17"/>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DBDBDB"/>
          </w:tcPr>
          <w:p>
            <w:pPr>
              <w:spacing w:after="0"/>
              <w:rPr>
                <w:sz w:val="17"/>
                <w:szCs w:val="17"/>
                <w:color w:val="auto"/>
              </w:rPr>
            </w:pPr>
          </w:p>
        </w:tc>
        <w:tc>
          <w:tcPr>
            <w:tcW w:w="1280" w:type="dxa"/>
            <w:vAlign w:val="bottom"/>
            <w:gridSpan w:val="2"/>
            <w:shd w:val="clear" w:color="auto" w:fill="DBDBDB"/>
          </w:tcPr>
          <w:p>
            <w:pPr>
              <w:jc w:val="center"/>
              <w:ind w:right="160"/>
              <w:spacing w:after="0"/>
              <w:rPr>
                <w:sz w:val="20"/>
                <w:szCs w:val="20"/>
                <w:color w:val="auto"/>
              </w:rPr>
            </w:pPr>
            <w:r>
              <w:rPr>
                <w:rFonts w:ascii="Arial" w:cs="Arial" w:eastAsia="Arial" w:hAnsi="Arial"/>
                <w:sz w:val="16"/>
                <w:szCs w:val="16"/>
                <w:color w:val="auto"/>
                <w:w w:val="99"/>
              </w:rPr>
              <w:t>—</w:t>
            </w:r>
          </w:p>
        </w:tc>
        <w:tc>
          <w:tcPr>
            <w:tcW w:w="1480" w:type="dxa"/>
            <w:vAlign w:val="bottom"/>
            <w:gridSpan w:val="2"/>
            <w:shd w:val="clear" w:color="auto" w:fill="DBDBDB"/>
          </w:tcPr>
          <w:p>
            <w:pPr>
              <w:jc w:val="center"/>
              <w:ind w:right="280"/>
              <w:spacing w:after="0"/>
              <w:rPr>
                <w:sz w:val="20"/>
                <w:szCs w:val="20"/>
                <w:color w:val="auto"/>
              </w:rPr>
            </w:pPr>
            <w:r>
              <w:rPr>
                <w:rFonts w:ascii="Arial" w:cs="Arial" w:eastAsia="Arial" w:hAnsi="Arial"/>
                <w:sz w:val="16"/>
                <w:szCs w:val="16"/>
                <w:color w:val="auto"/>
                <w:w w:val="99"/>
              </w:rPr>
              <w:t>—</w:t>
            </w:r>
          </w:p>
        </w:tc>
        <w:tc>
          <w:tcPr>
            <w:tcW w:w="1400" w:type="dxa"/>
            <w:vAlign w:val="bottom"/>
            <w:gridSpan w:val="2"/>
            <w:shd w:val="clear" w:color="auto" w:fill="DBDBDB"/>
          </w:tcPr>
          <w:p>
            <w:pPr>
              <w:jc w:val="center"/>
              <w:ind w:right="18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DBDBDB"/>
          </w:tcPr>
          <w:p>
            <w:pPr>
              <w:jc w:val="center"/>
              <w:ind w:right="80"/>
              <w:spacing w:after="0"/>
              <w:rPr>
                <w:sz w:val="20"/>
                <w:szCs w:val="20"/>
                <w:color w:val="auto"/>
              </w:rPr>
            </w:pPr>
            <w:r>
              <w:rPr>
                <w:rFonts w:ascii="Arial" w:cs="Arial" w:eastAsia="Arial" w:hAnsi="Arial"/>
                <w:sz w:val="16"/>
                <w:szCs w:val="16"/>
                <w:color w:val="auto"/>
                <w:w w:val="99"/>
              </w:rPr>
              <w:t>—</w:t>
            </w:r>
          </w:p>
        </w:tc>
        <w:tc>
          <w:tcPr>
            <w:tcW w:w="132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2200" w:type="dxa"/>
            <w:vAlign w:val="bottom"/>
            <w:shd w:val="clear" w:color="auto" w:fill="DBDBDB"/>
          </w:tcPr>
          <w:p>
            <w:pPr>
              <w:ind w:left="180"/>
              <w:spacing w:after="0"/>
              <w:rPr>
                <w:sz w:val="20"/>
                <w:szCs w:val="20"/>
                <w:color w:val="auto"/>
              </w:rPr>
            </w:pPr>
            <w:r>
              <w:rPr>
                <w:rFonts w:ascii="Arial" w:cs="Arial" w:eastAsia="Arial" w:hAnsi="Arial"/>
                <w:sz w:val="16"/>
                <w:szCs w:val="16"/>
                <w:color w:val="auto"/>
              </w:rPr>
              <w:t>and Chief Human</w:t>
            </w:r>
          </w:p>
        </w:tc>
        <w:tc>
          <w:tcPr>
            <w:tcW w:w="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DBDBDB"/>
          </w:tcPr>
          <w:p>
            <w:pPr>
              <w:ind w:left="180"/>
              <w:spacing w:after="0"/>
              <w:rPr>
                <w:sz w:val="20"/>
                <w:szCs w:val="20"/>
                <w:color w:val="auto"/>
              </w:rPr>
            </w:pPr>
            <w:r>
              <w:rPr>
                <w:rFonts w:ascii="Arial" w:cs="Arial" w:eastAsia="Arial" w:hAnsi="Arial"/>
                <w:sz w:val="16"/>
                <w:szCs w:val="16"/>
                <w:color w:val="auto"/>
              </w:rPr>
              <w:t>Resources Officer</w:t>
            </w:r>
          </w:p>
        </w:tc>
        <w:tc>
          <w:tcPr>
            <w:tcW w:w="80" w:type="dxa"/>
            <w:vAlign w:val="bottom"/>
            <w:shd w:val="clear" w:color="auto" w:fill="DBDBDB"/>
          </w:tcPr>
          <w:p>
            <w:pPr>
              <w:spacing w:after="0"/>
              <w:rPr>
                <w:sz w:val="18"/>
                <w:szCs w:val="18"/>
                <w:color w:val="auto"/>
              </w:rPr>
            </w:pPr>
          </w:p>
        </w:tc>
        <w:tc>
          <w:tcPr>
            <w:tcW w:w="80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2023</w:t>
            </w:r>
          </w:p>
        </w:tc>
        <w:tc>
          <w:tcPr>
            <w:tcW w:w="80" w:type="dxa"/>
            <w:vAlign w:val="bottom"/>
            <w:shd w:val="clear" w:color="auto" w:fill="DBDBDB"/>
          </w:tcPr>
          <w:p>
            <w:pPr>
              <w:spacing w:after="0"/>
              <w:rPr>
                <w:sz w:val="18"/>
                <w:szCs w:val="18"/>
                <w:color w:val="auto"/>
              </w:rPr>
            </w:pPr>
          </w:p>
        </w:tc>
        <w:tc>
          <w:tcPr>
            <w:tcW w:w="10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DBDBDB"/>
          </w:tcPr>
          <w:p>
            <w:pPr>
              <w:spacing w:after="0"/>
              <w:rPr>
                <w:sz w:val="18"/>
                <w:szCs w:val="18"/>
                <w:color w:val="auto"/>
              </w:rPr>
            </w:pPr>
          </w:p>
        </w:tc>
        <w:tc>
          <w:tcPr>
            <w:tcW w:w="1280" w:type="dxa"/>
            <w:vAlign w:val="bottom"/>
            <w:gridSpan w:val="2"/>
            <w:vMerge w:val="restart"/>
            <w:shd w:val="clear" w:color="auto" w:fill="DBDBDB"/>
          </w:tcPr>
          <w:p>
            <w:pPr>
              <w:jc w:val="center"/>
              <w:ind w:right="160"/>
              <w:spacing w:after="0"/>
              <w:rPr>
                <w:sz w:val="20"/>
                <w:szCs w:val="20"/>
                <w:color w:val="auto"/>
              </w:rPr>
            </w:pPr>
            <w:r>
              <w:rPr>
                <w:rFonts w:ascii="Arial" w:cs="Arial" w:eastAsia="Arial" w:hAnsi="Arial"/>
                <w:sz w:val="16"/>
                <w:szCs w:val="16"/>
                <w:color w:val="auto"/>
                <w:w w:val="99"/>
              </w:rPr>
              <w:t>—</w:t>
            </w:r>
          </w:p>
        </w:tc>
        <w:tc>
          <w:tcPr>
            <w:tcW w:w="1480" w:type="dxa"/>
            <w:vAlign w:val="bottom"/>
            <w:gridSpan w:val="2"/>
            <w:vMerge w:val="restart"/>
            <w:shd w:val="clear" w:color="auto" w:fill="DBDBDB"/>
          </w:tcPr>
          <w:p>
            <w:pPr>
              <w:jc w:val="center"/>
              <w:ind w:right="280"/>
              <w:spacing w:after="0"/>
              <w:rPr>
                <w:sz w:val="20"/>
                <w:szCs w:val="20"/>
                <w:color w:val="auto"/>
              </w:rPr>
            </w:pPr>
            <w:r>
              <w:rPr>
                <w:rFonts w:ascii="Arial" w:cs="Arial" w:eastAsia="Arial" w:hAnsi="Arial"/>
                <w:sz w:val="16"/>
                <w:szCs w:val="16"/>
                <w:color w:val="auto"/>
                <w:w w:val="99"/>
              </w:rPr>
              <w:t>—</w:t>
            </w:r>
          </w:p>
        </w:tc>
        <w:tc>
          <w:tcPr>
            <w:tcW w:w="1400" w:type="dxa"/>
            <w:vAlign w:val="bottom"/>
            <w:gridSpan w:val="2"/>
            <w:vMerge w:val="restart"/>
            <w:shd w:val="clear" w:color="auto" w:fill="DBDBDB"/>
          </w:tcPr>
          <w:p>
            <w:pPr>
              <w:jc w:val="center"/>
              <w:ind w:right="180"/>
              <w:spacing w:after="0"/>
              <w:rPr>
                <w:sz w:val="20"/>
                <w:szCs w:val="20"/>
                <w:color w:val="auto"/>
              </w:rPr>
            </w:pPr>
            <w:r>
              <w:rPr>
                <w:rFonts w:ascii="Arial" w:cs="Arial" w:eastAsia="Arial" w:hAnsi="Arial"/>
                <w:sz w:val="16"/>
                <w:szCs w:val="16"/>
                <w:color w:val="auto"/>
              </w:rPr>
              <w:t>—</w:t>
            </w:r>
          </w:p>
        </w:tc>
        <w:tc>
          <w:tcPr>
            <w:tcW w:w="1440" w:type="dxa"/>
            <w:vAlign w:val="bottom"/>
            <w:gridSpan w:val="2"/>
            <w:vMerge w:val="restart"/>
            <w:shd w:val="clear" w:color="auto" w:fill="DBDBDB"/>
          </w:tcPr>
          <w:p>
            <w:pPr>
              <w:jc w:val="center"/>
              <w:ind w:right="80"/>
              <w:spacing w:after="0"/>
              <w:rPr>
                <w:sz w:val="20"/>
                <w:szCs w:val="20"/>
                <w:color w:val="auto"/>
              </w:rPr>
            </w:pPr>
            <w:r>
              <w:rPr>
                <w:rFonts w:ascii="Arial" w:cs="Arial" w:eastAsia="Arial" w:hAnsi="Arial"/>
                <w:sz w:val="16"/>
                <w:szCs w:val="16"/>
                <w:color w:val="auto"/>
                <w:w w:val="99"/>
              </w:rPr>
              <w:t>—</w:t>
            </w:r>
          </w:p>
        </w:tc>
        <w:tc>
          <w:tcPr>
            <w:tcW w:w="13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5"/>
        </w:trPr>
        <w:tc>
          <w:tcPr>
            <w:tcW w:w="220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800" w:type="dxa"/>
            <w:vAlign w:val="bottom"/>
            <w:vMerge w:val="continue"/>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1080" w:type="dxa"/>
            <w:vAlign w:val="bottom"/>
            <w:vMerge w:val="continue"/>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1280" w:type="dxa"/>
            <w:vAlign w:val="bottom"/>
            <w:gridSpan w:val="2"/>
            <w:vMerge w:val="continue"/>
            <w:shd w:val="clear" w:color="auto" w:fill="DBDBDB"/>
          </w:tcPr>
          <w:p>
            <w:pPr>
              <w:spacing w:after="0"/>
              <w:rPr>
                <w:sz w:val="8"/>
                <w:szCs w:val="8"/>
                <w:color w:val="auto"/>
              </w:rPr>
            </w:pPr>
          </w:p>
        </w:tc>
        <w:tc>
          <w:tcPr>
            <w:tcW w:w="1480" w:type="dxa"/>
            <w:vAlign w:val="bottom"/>
            <w:gridSpan w:val="2"/>
            <w:vMerge w:val="continue"/>
            <w:shd w:val="clear" w:color="auto" w:fill="DBDBDB"/>
          </w:tcPr>
          <w:p>
            <w:pPr>
              <w:spacing w:after="0"/>
              <w:rPr>
                <w:sz w:val="8"/>
                <w:szCs w:val="8"/>
                <w:color w:val="auto"/>
              </w:rPr>
            </w:pPr>
          </w:p>
        </w:tc>
        <w:tc>
          <w:tcPr>
            <w:tcW w:w="1400" w:type="dxa"/>
            <w:vAlign w:val="bottom"/>
            <w:gridSpan w:val="2"/>
            <w:vMerge w:val="continue"/>
            <w:shd w:val="clear" w:color="auto" w:fill="DBDBDB"/>
          </w:tcPr>
          <w:p>
            <w:pPr>
              <w:spacing w:after="0"/>
              <w:rPr>
                <w:sz w:val="8"/>
                <w:szCs w:val="8"/>
                <w:color w:val="auto"/>
              </w:rPr>
            </w:pPr>
          </w:p>
        </w:tc>
        <w:tc>
          <w:tcPr>
            <w:tcW w:w="1440" w:type="dxa"/>
            <w:vAlign w:val="bottom"/>
            <w:gridSpan w:val="2"/>
            <w:vMerge w:val="continue"/>
            <w:shd w:val="clear" w:color="auto" w:fill="DBDBDB"/>
          </w:tcPr>
          <w:p>
            <w:pPr>
              <w:spacing w:after="0"/>
              <w:rPr>
                <w:sz w:val="8"/>
                <w:szCs w:val="8"/>
                <w:color w:val="auto"/>
              </w:rPr>
            </w:pPr>
          </w:p>
        </w:tc>
        <w:tc>
          <w:tcPr>
            <w:tcW w:w="132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20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80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10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1120" w:type="dxa"/>
            <w:vAlign w:val="bottom"/>
            <w:shd w:val="clear" w:color="auto" w:fill="DBDBDB"/>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220" w:type="dxa"/>
            <w:vAlign w:val="bottom"/>
            <w:shd w:val="clear" w:color="auto" w:fill="DBDBDB"/>
          </w:tcPr>
          <w:p>
            <w:pPr>
              <w:spacing w:after="0"/>
              <w:rPr>
                <w:sz w:val="7"/>
                <w:szCs w:val="7"/>
                <w:color w:val="auto"/>
              </w:rPr>
            </w:pPr>
          </w:p>
        </w:tc>
        <w:tc>
          <w:tcPr>
            <w:tcW w:w="260" w:type="dxa"/>
            <w:vAlign w:val="bottom"/>
            <w:shd w:val="clear" w:color="auto" w:fill="DBDBDB"/>
          </w:tcPr>
          <w:p>
            <w:pPr>
              <w:spacing w:after="0"/>
              <w:rPr>
                <w:sz w:val="7"/>
                <w:szCs w:val="7"/>
                <w:color w:val="auto"/>
              </w:rPr>
            </w:pPr>
          </w:p>
        </w:tc>
        <w:tc>
          <w:tcPr>
            <w:tcW w:w="1220" w:type="dxa"/>
            <w:vAlign w:val="bottom"/>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134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132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w:t>
      </w:r>
    </w:p>
    <w:p>
      <w:pPr>
        <w:spacing w:after="0" w:line="97" w:lineRule="exact"/>
        <w:rPr>
          <w:sz w:val="20"/>
          <w:szCs w:val="20"/>
          <w:color w:val="auto"/>
        </w:rPr>
      </w:pPr>
    </w:p>
    <w:p>
      <w:pPr>
        <w:jc w:val="both"/>
        <w:ind w:left="500" w:hanging="492"/>
        <w:spacing w:after="0" w:line="262" w:lineRule="auto"/>
        <w:tabs>
          <w:tab w:leader="none" w:pos="4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amounts shown in this column represent the grant date fair value of the restricted stock awards granted in fiscal 2025, 2024 and 2023. These amounts are calculated in accordance with FASB ASC Topic 718 based on the closing share price of our common stock on the date of grant. See Note 12, Share-Based Compensation, to our fiscal 2025 Audited Financial Statements included in our Annual Report on Form 10-K for the fiscal year ended March 1, 2025, for assumptions made in the valuation.</w:t>
      </w:r>
    </w:p>
    <w:p>
      <w:pPr>
        <w:spacing w:after="0" w:line="68" w:lineRule="exact"/>
        <w:rPr>
          <w:rFonts w:ascii="Arial" w:cs="Arial" w:eastAsia="Arial" w:hAnsi="Arial"/>
          <w:sz w:val="18"/>
          <w:szCs w:val="18"/>
          <w:color w:val="auto"/>
        </w:rPr>
      </w:pPr>
    </w:p>
    <w:p>
      <w:pPr>
        <w:jc w:val="both"/>
        <w:ind w:left="50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amounts for fiscal 2025 also include the grant date fair value of the target payout amounts for the unit-based portion of the fiscal 2025 – 2027 performance awards as follows: Mr. Silberhorn, $908,686; Mr. Osberg, $242,241; Mr. Jewell, $136,503; Mr. T. Johnson, $128,374; and Ms. Trende, $123,019. The maximum payout amounts for the unit-based portion of the fiscal 2025 – 2027 performance awards are as follows: Mr. Silberhorn, $1,817,372; Mr. Osberg, $484,482; Mr. Jewell, $273,006; Mr. T. Johnson, $256,748; and Ms. Trende, $246,038. Further information regarding the fiscal 2025 awards is included in the “Fiscal 2025 Grants of Plan-Based Awards” table beginning on page </w:t>
      </w:r>
      <w:r>
        <w:rPr>
          <w:rFonts w:ascii="Arial" w:cs="Arial" w:eastAsia="Arial" w:hAnsi="Arial"/>
          <w:sz w:val="18"/>
          <w:szCs w:val="18"/>
          <w:u w:val="single" w:color="auto"/>
          <w:color w:val="0000FF"/>
        </w:rPr>
        <w:t>55</w:t>
      </w:r>
      <w:r>
        <w:rPr>
          <w:rFonts w:ascii="Arial" w:cs="Arial" w:eastAsia="Arial" w:hAnsi="Arial"/>
          <w:sz w:val="18"/>
          <w:szCs w:val="18"/>
          <w:color w:val="auto"/>
        </w:rPr>
        <w:t xml:space="preserve"> and “Outstanding Equity Awards at Fiscal 2025 Year-End” table on beginning on page </w:t>
      </w:r>
      <w:r>
        <w:rPr>
          <w:rFonts w:ascii="Arial" w:cs="Arial" w:eastAsia="Arial" w:hAnsi="Arial"/>
          <w:sz w:val="18"/>
          <w:szCs w:val="18"/>
          <w:u w:val="single" w:color="auto"/>
          <w:color w:val="0000FF"/>
        </w:rPr>
        <w:t>56</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ind w:left="500" w:hanging="492"/>
        <w:spacing w:after="0" w:line="287" w:lineRule="auto"/>
        <w:tabs>
          <w:tab w:leader="none" w:pos="4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amounts in this column represent the amounts earned pursuant to the formula established for the fiscal 2025 annual cash incentive awards and the cash payout from the fiscal 2023 – 2025 performance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7" w:name="page58"/>
    <w:bookmarkEnd w:id="57"/>
    <w:p>
      <w:pPr>
        <w:ind w:left="500" w:hanging="492"/>
        <w:spacing w:after="0" w:line="287" w:lineRule="auto"/>
        <w:tabs>
          <w:tab w:leader="none" w:pos="49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table shows each component of the “All Other Compensation” column for each of our Named Executive Officers for fiscal 2025.</w:t>
      </w:r>
    </w:p>
    <w:p>
      <w:pPr>
        <w:spacing w:after="0" w:line="207"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Company Matching</w:t>
            </w:r>
          </w:p>
        </w:tc>
        <w:tc>
          <w:tcPr>
            <w:tcW w:w="2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Dividends Paid or</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05445E"/>
                <w:w w:val="98"/>
              </w:rPr>
              <w:t>Total All</w:t>
            </w: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Contributions to Defined</w:t>
            </w:r>
          </w:p>
        </w:tc>
        <w:tc>
          <w:tcPr>
            <w:tcW w:w="2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Accrued</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05445E"/>
                <w:w w:val="99"/>
              </w:rPr>
              <w:t>Other</w:t>
            </w:r>
          </w:p>
        </w:tc>
      </w:tr>
      <w:tr>
        <w:trPr>
          <w:trHeight w:val="212"/>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rPr>
              <w:t>Contribution Plans</w:t>
            </w:r>
          </w:p>
        </w:tc>
        <w:tc>
          <w:tcPr>
            <w:tcW w:w="2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8"/>
              </w:rPr>
              <w:t>on Stock Awards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05445E"/>
                <w:w w:val="99"/>
              </w:rPr>
              <w:t>Compensation</w:t>
            </w:r>
          </w:p>
        </w:tc>
      </w:tr>
      <w:tr>
        <w:trPr>
          <w:trHeight w:val="266"/>
        </w:trPr>
        <w:tc>
          <w:tcPr>
            <w:tcW w:w="2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05445E"/>
              </w:rPr>
              <w:t>Name</w:t>
            </w:r>
          </w:p>
        </w:tc>
        <w:tc>
          <w:tcPr>
            <w:tcW w:w="100" w:type="dxa"/>
            <w:vAlign w:val="bottom"/>
            <w:tcBorders>
              <w:bottom w:val="single" w:sz="8" w:color="D9D9D9"/>
            </w:tcBorders>
          </w:tcPr>
          <w:p>
            <w:pPr>
              <w:spacing w:after="0"/>
              <w:rPr>
                <w:sz w:val="23"/>
                <w:szCs w:val="23"/>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88"/>
              </w:rPr>
              <w:t>($)</w:t>
            </w:r>
            <w:r>
              <w:rPr>
                <w:rFonts w:ascii="Arial" w:cs="Arial" w:eastAsia="Arial" w:hAnsi="Arial"/>
                <w:sz w:val="23"/>
                <w:szCs w:val="23"/>
                <w:b w:val="1"/>
                <w:bCs w:val="1"/>
                <w:color w:val="05445E"/>
                <w:w w:val="88"/>
                <w:vertAlign w:val="superscript"/>
              </w:rPr>
              <w:t>(a)</w:t>
            </w:r>
          </w:p>
        </w:tc>
        <w:tc>
          <w:tcPr>
            <w:tcW w:w="80" w:type="dxa"/>
            <w:vAlign w:val="bottom"/>
            <w:tcBorders>
              <w:bottom w:val="single" w:sz="8" w:color="D9D9D9"/>
            </w:tcBorders>
          </w:tcPr>
          <w:p>
            <w:pPr>
              <w:spacing w:after="0"/>
              <w:rPr>
                <w:sz w:val="23"/>
                <w:szCs w:val="23"/>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86"/>
              </w:rPr>
              <w:t>($)</w:t>
            </w:r>
            <w:r>
              <w:rPr>
                <w:rFonts w:ascii="Arial" w:cs="Arial" w:eastAsia="Arial" w:hAnsi="Arial"/>
                <w:sz w:val="23"/>
                <w:szCs w:val="23"/>
                <w:b w:val="1"/>
                <w:bCs w:val="1"/>
                <w:color w:val="05445E"/>
                <w:w w:val="86"/>
                <w:vertAlign w:val="superscript"/>
              </w:rPr>
              <w:t>(b)</w:t>
            </w:r>
          </w:p>
        </w:tc>
        <w:tc>
          <w:tcPr>
            <w:tcW w:w="80" w:type="dxa"/>
            <w:vAlign w:val="bottom"/>
            <w:tcBorders>
              <w:bottom w:val="single" w:sz="8" w:color="D9D9D9"/>
            </w:tcBorders>
          </w:tcPr>
          <w:p>
            <w:pPr>
              <w:spacing w:after="0"/>
              <w:rPr>
                <w:sz w:val="23"/>
                <w:szCs w:val="23"/>
                <w:color w:val="auto"/>
              </w:rPr>
            </w:pPr>
          </w:p>
        </w:tc>
        <w:tc>
          <w:tcPr>
            <w:tcW w:w="18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05445E"/>
              </w:rPr>
              <w:t>($)</w:t>
            </w:r>
          </w:p>
        </w:tc>
      </w:tr>
      <w:tr>
        <w:trPr>
          <w:trHeight w:val="243"/>
        </w:trPr>
        <w:tc>
          <w:tcPr>
            <w:tcW w:w="2340" w:type="dxa"/>
            <w:vAlign w:val="bottom"/>
            <w:tcBorders>
              <w:bottom w:val="single" w:sz="8" w:color="D9D9D9"/>
            </w:tcBorders>
            <w:gridSpan w:val="2"/>
            <w:shd w:val="clear" w:color="auto" w:fill="D9D9D9"/>
          </w:tcPr>
          <w:p>
            <w:pPr>
              <w:ind w:left="100"/>
              <w:spacing w:after="0"/>
              <w:rPr>
                <w:sz w:val="20"/>
                <w:szCs w:val="20"/>
                <w:color w:val="auto"/>
              </w:rPr>
            </w:pPr>
            <w:r>
              <w:rPr>
                <w:rFonts w:ascii="Arial" w:cs="Arial" w:eastAsia="Arial" w:hAnsi="Arial"/>
                <w:sz w:val="18"/>
                <w:szCs w:val="18"/>
                <w:color w:val="auto"/>
              </w:rPr>
              <w:t>Ty R. Silberhorn</w:t>
            </w:r>
          </w:p>
        </w:tc>
        <w:tc>
          <w:tcPr>
            <w:tcW w:w="2260" w:type="dxa"/>
            <w:vAlign w:val="bottom"/>
            <w:tcBorders>
              <w:bottom w:val="single" w:sz="8" w:color="D9D9D9"/>
            </w:tcBorders>
            <w:shd w:val="clear" w:color="auto" w:fill="D9D9D9"/>
          </w:tcPr>
          <w:p>
            <w:pPr>
              <w:jc w:val="right"/>
              <w:ind w:right="690"/>
              <w:spacing w:after="0"/>
              <w:rPr>
                <w:sz w:val="20"/>
                <w:szCs w:val="20"/>
                <w:color w:val="auto"/>
              </w:rPr>
            </w:pPr>
            <w:r>
              <w:rPr>
                <w:rFonts w:ascii="Arial" w:cs="Arial" w:eastAsia="Arial" w:hAnsi="Arial"/>
                <w:sz w:val="18"/>
                <w:szCs w:val="18"/>
                <w:color w:val="auto"/>
              </w:rPr>
              <w:t>17,659</w:t>
            </w:r>
          </w:p>
        </w:tc>
        <w:tc>
          <w:tcPr>
            <w:tcW w:w="80" w:type="dxa"/>
            <w:vAlign w:val="bottom"/>
            <w:tcBorders>
              <w:bottom w:val="single" w:sz="8" w:color="D9D9D9"/>
            </w:tcBorders>
            <w:shd w:val="clear" w:color="auto" w:fill="D9D9D9"/>
          </w:tcPr>
          <w:p>
            <w:pPr>
              <w:spacing w:after="0"/>
              <w:rPr>
                <w:sz w:val="21"/>
                <w:szCs w:val="21"/>
                <w:color w:val="auto"/>
              </w:rPr>
            </w:pPr>
          </w:p>
        </w:tc>
        <w:tc>
          <w:tcPr>
            <w:tcW w:w="1920" w:type="dxa"/>
            <w:vAlign w:val="bottom"/>
            <w:tcBorders>
              <w:bottom w:val="single" w:sz="8" w:color="D9D9D9"/>
            </w:tcBorders>
            <w:shd w:val="clear" w:color="auto" w:fill="D9D9D9"/>
          </w:tcPr>
          <w:p>
            <w:pPr>
              <w:jc w:val="right"/>
              <w:ind w:right="470"/>
              <w:spacing w:after="0"/>
              <w:rPr>
                <w:sz w:val="20"/>
                <w:szCs w:val="20"/>
                <w:color w:val="auto"/>
              </w:rPr>
            </w:pPr>
            <w:r>
              <w:rPr>
                <w:rFonts w:ascii="Arial" w:cs="Arial" w:eastAsia="Arial" w:hAnsi="Arial"/>
                <w:sz w:val="18"/>
                <w:szCs w:val="18"/>
                <w:color w:val="auto"/>
              </w:rPr>
              <w:t>146,039</w:t>
            </w:r>
          </w:p>
        </w:tc>
        <w:tc>
          <w:tcPr>
            <w:tcW w:w="80" w:type="dxa"/>
            <w:vAlign w:val="bottom"/>
            <w:tcBorders>
              <w:bottom w:val="single" w:sz="8" w:color="D9D9D9"/>
            </w:tcBorders>
            <w:shd w:val="clear" w:color="auto" w:fill="D9D9D9"/>
          </w:tcPr>
          <w:p>
            <w:pPr>
              <w:spacing w:after="0"/>
              <w:rPr>
                <w:sz w:val="21"/>
                <w:szCs w:val="21"/>
                <w:color w:val="auto"/>
              </w:rPr>
            </w:pPr>
          </w:p>
        </w:tc>
        <w:tc>
          <w:tcPr>
            <w:tcW w:w="1800" w:type="dxa"/>
            <w:vAlign w:val="bottom"/>
            <w:tcBorders>
              <w:bottom w:val="single" w:sz="8" w:color="D9D9D9"/>
            </w:tcBorders>
            <w:shd w:val="clear" w:color="auto" w:fill="D9D9D9"/>
          </w:tcPr>
          <w:p>
            <w:pPr>
              <w:jc w:val="right"/>
              <w:ind w:right="490"/>
              <w:spacing w:after="0"/>
              <w:rPr>
                <w:sz w:val="20"/>
                <w:szCs w:val="20"/>
                <w:color w:val="auto"/>
              </w:rPr>
            </w:pPr>
            <w:r>
              <w:rPr>
                <w:rFonts w:ascii="Arial" w:cs="Arial" w:eastAsia="Arial" w:hAnsi="Arial"/>
                <w:sz w:val="18"/>
                <w:szCs w:val="18"/>
                <w:color w:val="auto"/>
              </w:rPr>
              <w:t>163,698</w:t>
            </w:r>
          </w:p>
        </w:tc>
      </w:tr>
      <w:tr>
        <w:trPr>
          <w:trHeight w:val="247"/>
        </w:trPr>
        <w:tc>
          <w:tcPr>
            <w:tcW w:w="2340" w:type="dxa"/>
            <w:vAlign w:val="bottom"/>
            <w:gridSpan w:val="2"/>
          </w:tcPr>
          <w:p>
            <w:pPr>
              <w:ind w:left="100"/>
              <w:spacing w:after="0"/>
              <w:rPr>
                <w:sz w:val="20"/>
                <w:szCs w:val="20"/>
                <w:color w:val="auto"/>
              </w:rPr>
            </w:pPr>
            <w:r>
              <w:rPr>
                <w:rFonts w:ascii="Arial" w:cs="Arial" w:eastAsia="Arial" w:hAnsi="Arial"/>
                <w:sz w:val="18"/>
                <w:szCs w:val="18"/>
                <w:color w:val="auto"/>
              </w:rPr>
              <w:t>Matthew J. Osberg</w:t>
            </w:r>
          </w:p>
        </w:tc>
        <w:tc>
          <w:tcPr>
            <w:tcW w:w="2260" w:type="dxa"/>
            <w:vAlign w:val="bottom"/>
          </w:tcPr>
          <w:p>
            <w:pPr>
              <w:jc w:val="right"/>
              <w:ind w:right="690"/>
              <w:spacing w:after="0"/>
              <w:rPr>
                <w:sz w:val="20"/>
                <w:szCs w:val="20"/>
                <w:color w:val="auto"/>
              </w:rPr>
            </w:pPr>
            <w:r>
              <w:rPr>
                <w:rFonts w:ascii="Arial" w:cs="Arial" w:eastAsia="Arial" w:hAnsi="Arial"/>
                <w:sz w:val="18"/>
                <w:szCs w:val="18"/>
                <w:color w:val="auto"/>
              </w:rPr>
              <w:t>14,513</w:t>
            </w:r>
          </w:p>
        </w:tc>
        <w:tc>
          <w:tcPr>
            <w:tcW w:w="80" w:type="dxa"/>
            <w:vAlign w:val="bottom"/>
          </w:tcPr>
          <w:p>
            <w:pPr>
              <w:spacing w:after="0"/>
              <w:rPr>
                <w:sz w:val="21"/>
                <w:szCs w:val="21"/>
                <w:color w:val="auto"/>
              </w:rPr>
            </w:pPr>
          </w:p>
        </w:tc>
        <w:tc>
          <w:tcPr>
            <w:tcW w:w="1920" w:type="dxa"/>
            <w:vAlign w:val="bottom"/>
          </w:tcPr>
          <w:p>
            <w:pPr>
              <w:jc w:val="right"/>
              <w:ind w:right="470"/>
              <w:spacing w:after="0"/>
              <w:rPr>
                <w:sz w:val="20"/>
                <w:szCs w:val="20"/>
                <w:color w:val="auto"/>
              </w:rPr>
            </w:pPr>
            <w:r>
              <w:rPr>
                <w:rFonts w:ascii="Arial" w:cs="Arial" w:eastAsia="Arial" w:hAnsi="Arial"/>
                <w:sz w:val="18"/>
                <w:szCs w:val="18"/>
                <w:color w:val="auto"/>
              </w:rPr>
              <w:t>25,268</w:t>
            </w:r>
          </w:p>
        </w:tc>
        <w:tc>
          <w:tcPr>
            <w:tcW w:w="80" w:type="dxa"/>
            <w:vAlign w:val="bottom"/>
          </w:tcPr>
          <w:p>
            <w:pPr>
              <w:spacing w:after="0"/>
              <w:rPr>
                <w:sz w:val="21"/>
                <w:szCs w:val="21"/>
                <w:color w:val="auto"/>
              </w:rPr>
            </w:pPr>
          </w:p>
        </w:tc>
        <w:tc>
          <w:tcPr>
            <w:tcW w:w="1800" w:type="dxa"/>
            <w:vAlign w:val="bottom"/>
          </w:tcPr>
          <w:p>
            <w:pPr>
              <w:ind w:left="560"/>
              <w:spacing w:after="0"/>
              <w:rPr>
                <w:sz w:val="20"/>
                <w:szCs w:val="20"/>
                <w:color w:val="auto"/>
              </w:rPr>
            </w:pPr>
            <w:r>
              <w:rPr>
                <w:rFonts w:ascii="Arial" w:cs="Arial" w:eastAsia="Arial" w:hAnsi="Arial"/>
                <w:sz w:val="18"/>
                <w:szCs w:val="18"/>
                <w:color w:val="auto"/>
              </w:rPr>
              <w:t>39,781</w:t>
            </w:r>
          </w:p>
        </w:tc>
      </w:tr>
      <w:tr>
        <w:trPr>
          <w:trHeight w:val="2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340" w:type="dxa"/>
            <w:vAlign w:val="bottom"/>
            <w:tcBorders>
              <w:bottom w:val="single" w:sz="8" w:color="DBDBDB"/>
            </w:tcBorders>
            <w:gridSpan w:val="2"/>
            <w:shd w:val="clear" w:color="auto" w:fill="DBDBDB"/>
          </w:tcPr>
          <w:p>
            <w:pPr>
              <w:ind w:left="100"/>
              <w:spacing w:after="0"/>
              <w:rPr>
                <w:sz w:val="20"/>
                <w:szCs w:val="20"/>
                <w:color w:val="auto"/>
              </w:rPr>
            </w:pPr>
            <w:r>
              <w:rPr>
                <w:rFonts w:ascii="Arial" w:cs="Arial" w:eastAsia="Arial" w:hAnsi="Arial"/>
                <w:sz w:val="18"/>
                <w:szCs w:val="18"/>
                <w:color w:val="auto"/>
              </w:rPr>
              <w:t>Brent C. Jewell</w:t>
            </w:r>
          </w:p>
        </w:tc>
        <w:tc>
          <w:tcPr>
            <w:tcW w:w="2260" w:type="dxa"/>
            <w:vAlign w:val="bottom"/>
            <w:tcBorders>
              <w:bottom w:val="single" w:sz="8" w:color="DBDBDB"/>
            </w:tcBorders>
            <w:shd w:val="clear" w:color="auto" w:fill="DBDBDB"/>
          </w:tcPr>
          <w:p>
            <w:pPr>
              <w:jc w:val="right"/>
              <w:ind w:right="690"/>
              <w:spacing w:after="0"/>
              <w:rPr>
                <w:sz w:val="20"/>
                <w:szCs w:val="20"/>
                <w:color w:val="auto"/>
              </w:rPr>
            </w:pPr>
            <w:r>
              <w:rPr>
                <w:rFonts w:ascii="Arial" w:cs="Arial" w:eastAsia="Arial" w:hAnsi="Arial"/>
                <w:sz w:val="18"/>
                <w:szCs w:val="18"/>
                <w:color w:val="auto"/>
              </w:rPr>
              <w:t>13,892</w:t>
            </w:r>
          </w:p>
        </w:tc>
        <w:tc>
          <w:tcPr>
            <w:tcW w:w="8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jc w:val="right"/>
              <w:ind w:right="470"/>
              <w:spacing w:after="0"/>
              <w:rPr>
                <w:sz w:val="20"/>
                <w:szCs w:val="20"/>
                <w:color w:val="auto"/>
              </w:rPr>
            </w:pPr>
            <w:r>
              <w:rPr>
                <w:rFonts w:ascii="Arial" w:cs="Arial" w:eastAsia="Arial" w:hAnsi="Arial"/>
                <w:sz w:val="18"/>
                <w:szCs w:val="18"/>
                <w:color w:val="auto"/>
              </w:rPr>
              <w:t>27,114</w:t>
            </w:r>
          </w:p>
        </w:tc>
        <w:tc>
          <w:tcPr>
            <w:tcW w:w="80" w:type="dxa"/>
            <w:vAlign w:val="bottom"/>
            <w:tcBorders>
              <w:bottom w:val="single" w:sz="8" w:color="DBDBDB"/>
            </w:tcBorders>
            <w:shd w:val="clear" w:color="auto" w:fill="DBDBDB"/>
          </w:tcPr>
          <w:p>
            <w:pPr>
              <w:spacing w:after="0"/>
              <w:rPr>
                <w:sz w:val="21"/>
                <w:szCs w:val="21"/>
                <w:color w:val="auto"/>
              </w:rPr>
            </w:pPr>
          </w:p>
        </w:tc>
        <w:tc>
          <w:tcPr>
            <w:tcW w:w="1800" w:type="dxa"/>
            <w:vAlign w:val="bottom"/>
            <w:tcBorders>
              <w:bottom w:val="single" w:sz="8" w:color="DBDBDB"/>
            </w:tcBorders>
            <w:shd w:val="clear" w:color="auto" w:fill="DBDBDB"/>
          </w:tcPr>
          <w:p>
            <w:pPr>
              <w:ind w:left="560"/>
              <w:spacing w:after="0"/>
              <w:rPr>
                <w:sz w:val="20"/>
                <w:szCs w:val="20"/>
                <w:color w:val="auto"/>
              </w:rPr>
            </w:pPr>
            <w:r>
              <w:rPr>
                <w:rFonts w:ascii="Arial" w:cs="Arial" w:eastAsia="Arial" w:hAnsi="Arial"/>
                <w:sz w:val="18"/>
                <w:szCs w:val="18"/>
                <w:color w:val="auto"/>
              </w:rPr>
              <w:t>41,006</w:t>
            </w:r>
          </w:p>
        </w:tc>
      </w:tr>
      <w:tr>
        <w:trPr>
          <w:trHeight w:val="247"/>
        </w:trPr>
        <w:tc>
          <w:tcPr>
            <w:tcW w:w="2340" w:type="dxa"/>
            <w:vAlign w:val="bottom"/>
            <w:gridSpan w:val="2"/>
          </w:tcPr>
          <w:p>
            <w:pPr>
              <w:ind w:left="100"/>
              <w:spacing w:after="0"/>
              <w:rPr>
                <w:sz w:val="20"/>
                <w:szCs w:val="20"/>
                <w:color w:val="auto"/>
              </w:rPr>
            </w:pPr>
            <w:r>
              <w:rPr>
                <w:rFonts w:ascii="Arial" w:cs="Arial" w:eastAsia="Arial" w:hAnsi="Arial"/>
                <w:sz w:val="18"/>
                <w:szCs w:val="18"/>
                <w:color w:val="auto"/>
              </w:rPr>
              <w:t>Troy R. Johnson</w:t>
            </w:r>
          </w:p>
        </w:tc>
        <w:tc>
          <w:tcPr>
            <w:tcW w:w="2260" w:type="dxa"/>
            <w:vAlign w:val="bottom"/>
          </w:tcPr>
          <w:p>
            <w:pPr>
              <w:jc w:val="right"/>
              <w:ind w:right="690"/>
              <w:spacing w:after="0"/>
              <w:rPr>
                <w:sz w:val="20"/>
                <w:szCs w:val="20"/>
                <w:color w:val="auto"/>
              </w:rPr>
            </w:pPr>
            <w:r>
              <w:rPr>
                <w:rFonts w:ascii="Arial" w:cs="Arial" w:eastAsia="Arial" w:hAnsi="Arial"/>
                <w:sz w:val="18"/>
                <w:szCs w:val="18"/>
                <w:color w:val="auto"/>
              </w:rPr>
              <w:t>13,974</w:t>
            </w:r>
          </w:p>
        </w:tc>
        <w:tc>
          <w:tcPr>
            <w:tcW w:w="80" w:type="dxa"/>
            <w:vAlign w:val="bottom"/>
          </w:tcPr>
          <w:p>
            <w:pPr>
              <w:spacing w:after="0"/>
              <w:rPr>
                <w:sz w:val="21"/>
                <w:szCs w:val="21"/>
                <w:color w:val="auto"/>
              </w:rPr>
            </w:pPr>
          </w:p>
        </w:tc>
        <w:tc>
          <w:tcPr>
            <w:tcW w:w="1920" w:type="dxa"/>
            <w:vAlign w:val="bottom"/>
          </w:tcPr>
          <w:p>
            <w:pPr>
              <w:jc w:val="right"/>
              <w:ind w:right="470"/>
              <w:spacing w:after="0"/>
              <w:rPr>
                <w:sz w:val="20"/>
                <w:szCs w:val="20"/>
                <w:color w:val="auto"/>
              </w:rPr>
            </w:pPr>
            <w:r>
              <w:rPr>
                <w:rFonts w:ascii="Arial" w:cs="Arial" w:eastAsia="Arial" w:hAnsi="Arial"/>
                <w:sz w:val="18"/>
                <w:szCs w:val="18"/>
                <w:color w:val="auto"/>
              </w:rPr>
              <w:t>22,953</w:t>
            </w:r>
          </w:p>
        </w:tc>
        <w:tc>
          <w:tcPr>
            <w:tcW w:w="80" w:type="dxa"/>
            <w:vAlign w:val="bottom"/>
          </w:tcPr>
          <w:p>
            <w:pPr>
              <w:spacing w:after="0"/>
              <w:rPr>
                <w:sz w:val="21"/>
                <w:szCs w:val="21"/>
                <w:color w:val="auto"/>
              </w:rPr>
            </w:pPr>
          </w:p>
        </w:tc>
        <w:tc>
          <w:tcPr>
            <w:tcW w:w="1800" w:type="dxa"/>
            <w:vAlign w:val="bottom"/>
          </w:tcPr>
          <w:p>
            <w:pPr>
              <w:ind w:left="560"/>
              <w:spacing w:after="0"/>
              <w:rPr>
                <w:sz w:val="20"/>
                <w:szCs w:val="20"/>
                <w:color w:val="auto"/>
              </w:rPr>
            </w:pPr>
            <w:r>
              <w:rPr>
                <w:rFonts w:ascii="Arial" w:cs="Arial" w:eastAsia="Arial" w:hAnsi="Arial"/>
                <w:sz w:val="18"/>
                <w:szCs w:val="18"/>
                <w:color w:val="auto"/>
              </w:rPr>
              <w:t>36,927</w:t>
            </w:r>
          </w:p>
        </w:tc>
      </w:tr>
      <w:tr>
        <w:trPr>
          <w:trHeight w:val="2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7"/>
        </w:trPr>
        <w:tc>
          <w:tcPr>
            <w:tcW w:w="2340" w:type="dxa"/>
            <w:vAlign w:val="bottom"/>
            <w:gridSpan w:val="2"/>
            <w:shd w:val="clear" w:color="auto" w:fill="D9D9D9"/>
          </w:tcPr>
          <w:p>
            <w:pPr>
              <w:ind w:left="100"/>
              <w:spacing w:after="0"/>
              <w:rPr>
                <w:sz w:val="20"/>
                <w:szCs w:val="20"/>
                <w:color w:val="auto"/>
              </w:rPr>
            </w:pPr>
            <w:r>
              <w:rPr>
                <w:rFonts w:ascii="Arial" w:cs="Arial" w:eastAsia="Arial" w:hAnsi="Arial"/>
                <w:sz w:val="18"/>
                <w:szCs w:val="18"/>
                <w:color w:val="auto"/>
              </w:rPr>
              <w:t>Raelyn A. Trende</w:t>
            </w:r>
          </w:p>
        </w:tc>
        <w:tc>
          <w:tcPr>
            <w:tcW w:w="2260" w:type="dxa"/>
            <w:vAlign w:val="bottom"/>
            <w:shd w:val="clear" w:color="auto" w:fill="D9D9D9"/>
          </w:tcPr>
          <w:p>
            <w:pPr>
              <w:jc w:val="right"/>
              <w:ind w:right="690"/>
              <w:spacing w:after="0"/>
              <w:rPr>
                <w:sz w:val="20"/>
                <w:szCs w:val="20"/>
                <w:color w:val="auto"/>
              </w:rPr>
            </w:pPr>
            <w:r>
              <w:rPr>
                <w:rFonts w:ascii="Arial" w:cs="Arial" w:eastAsia="Arial" w:hAnsi="Arial"/>
                <w:sz w:val="18"/>
                <w:szCs w:val="18"/>
                <w:color w:val="auto"/>
              </w:rPr>
              <w:t>1,320</w:t>
            </w:r>
          </w:p>
        </w:tc>
        <w:tc>
          <w:tcPr>
            <w:tcW w:w="80" w:type="dxa"/>
            <w:vAlign w:val="bottom"/>
            <w:shd w:val="clear" w:color="auto" w:fill="D9D9D9"/>
          </w:tcPr>
          <w:p>
            <w:pPr>
              <w:spacing w:after="0"/>
              <w:rPr>
                <w:sz w:val="21"/>
                <w:szCs w:val="21"/>
                <w:color w:val="auto"/>
              </w:rPr>
            </w:pPr>
          </w:p>
        </w:tc>
        <w:tc>
          <w:tcPr>
            <w:tcW w:w="1920" w:type="dxa"/>
            <w:vAlign w:val="bottom"/>
            <w:shd w:val="clear" w:color="auto" w:fill="D9D9D9"/>
          </w:tcPr>
          <w:p>
            <w:pPr>
              <w:jc w:val="right"/>
              <w:ind w:right="470"/>
              <w:spacing w:after="0"/>
              <w:rPr>
                <w:sz w:val="20"/>
                <w:szCs w:val="20"/>
                <w:color w:val="auto"/>
              </w:rPr>
            </w:pPr>
            <w:r>
              <w:rPr>
                <w:rFonts w:ascii="Arial" w:cs="Arial" w:eastAsia="Arial" w:hAnsi="Arial"/>
                <w:sz w:val="18"/>
                <w:szCs w:val="18"/>
                <w:color w:val="auto"/>
              </w:rPr>
              <w:t>5,437</w:t>
            </w:r>
          </w:p>
        </w:tc>
        <w:tc>
          <w:tcPr>
            <w:tcW w:w="80" w:type="dxa"/>
            <w:vAlign w:val="bottom"/>
            <w:shd w:val="clear" w:color="auto" w:fill="D9D9D9"/>
          </w:tcPr>
          <w:p>
            <w:pPr>
              <w:spacing w:after="0"/>
              <w:rPr>
                <w:sz w:val="21"/>
                <w:szCs w:val="21"/>
                <w:color w:val="auto"/>
              </w:rPr>
            </w:pPr>
          </w:p>
        </w:tc>
        <w:tc>
          <w:tcPr>
            <w:tcW w:w="1800" w:type="dxa"/>
            <w:vAlign w:val="bottom"/>
            <w:shd w:val="clear" w:color="auto" w:fill="D9D9D9"/>
          </w:tcPr>
          <w:p>
            <w:pPr>
              <w:ind w:left="560"/>
              <w:spacing w:after="0"/>
              <w:rPr>
                <w:sz w:val="20"/>
                <w:szCs w:val="20"/>
                <w:color w:val="auto"/>
              </w:rPr>
            </w:pPr>
            <w:r>
              <w:rPr>
                <w:rFonts w:ascii="Arial" w:cs="Arial" w:eastAsia="Arial" w:hAnsi="Arial"/>
                <w:sz w:val="18"/>
                <w:szCs w:val="18"/>
                <w:color w:val="auto"/>
              </w:rPr>
              <w:t>6,757</w:t>
            </w:r>
          </w:p>
        </w:tc>
      </w:tr>
      <w:tr>
        <w:trPr>
          <w:trHeight w:val="23"/>
        </w:trPr>
        <w:tc>
          <w:tcPr>
            <w:tcW w:w="224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2260" w:type="dxa"/>
            <w:vAlign w:val="bottom"/>
            <w:shd w:val="clear" w:color="auto" w:fill="D9D9D9"/>
          </w:tcPr>
          <w:p>
            <w:pPr>
              <w:spacing w:after="0"/>
              <w:rPr>
                <w:sz w:val="2"/>
                <w:szCs w:val="2"/>
                <w:color w:val="auto"/>
              </w:rPr>
            </w:pPr>
          </w:p>
        </w:tc>
        <w:tc>
          <w:tcPr>
            <w:tcW w:w="80" w:type="dxa"/>
            <w:vAlign w:val="bottom"/>
            <w:shd w:val="clear" w:color="auto" w:fill="D9D9D9"/>
          </w:tcPr>
          <w:p>
            <w:pPr>
              <w:spacing w:after="0"/>
              <w:rPr>
                <w:sz w:val="2"/>
                <w:szCs w:val="2"/>
                <w:color w:val="auto"/>
              </w:rPr>
            </w:pPr>
          </w:p>
        </w:tc>
        <w:tc>
          <w:tcPr>
            <w:tcW w:w="1920" w:type="dxa"/>
            <w:vAlign w:val="bottom"/>
            <w:shd w:val="clear" w:color="auto" w:fill="D9D9D9"/>
          </w:tcPr>
          <w:p>
            <w:pPr>
              <w:spacing w:after="0"/>
              <w:rPr>
                <w:sz w:val="2"/>
                <w:szCs w:val="2"/>
                <w:color w:val="auto"/>
              </w:rPr>
            </w:pPr>
          </w:p>
        </w:tc>
        <w:tc>
          <w:tcPr>
            <w:tcW w:w="80" w:type="dxa"/>
            <w:vAlign w:val="bottom"/>
            <w:shd w:val="clear" w:color="auto" w:fill="D9D9D9"/>
          </w:tcPr>
          <w:p>
            <w:pPr>
              <w:spacing w:after="0"/>
              <w:rPr>
                <w:sz w:val="2"/>
                <w:szCs w:val="2"/>
                <w:color w:val="auto"/>
              </w:rPr>
            </w:pPr>
          </w:p>
        </w:tc>
        <w:tc>
          <w:tcPr>
            <w:tcW w:w="1800" w:type="dxa"/>
            <w:vAlign w:val="bottom"/>
            <w:shd w:val="clear" w:color="auto" w:fill="D9D9D9"/>
          </w:tcPr>
          <w:p>
            <w:pPr>
              <w:spacing w:after="0"/>
              <w:rPr>
                <w:sz w:val="2"/>
                <w:szCs w:val="2"/>
                <w:color w:val="auto"/>
              </w:rPr>
            </w:pPr>
          </w:p>
        </w:tc>
      </w:tr>
    </w:tbl>
    <w:p>
      <w:pPr>
        <w:spacing w:after="0" w:line="81" w:lineRule="exact"/>
        <w:rPr>
          <w:sz w:val="20"/>
          <w:szCs w:val="20"/>
          <w:color w:val="auto"/>
        </w:rPr>
      </w:pPr>
    </w:p>
    <w:p>
      <w:pPr>
        <w:ind w:left="1300"/>
        <w:spacing w:after="0"/>
        <w:rPr>
          <w:sz w:val="20"/>
          <w:szCs w:val="20"/>
          <w:color w:val="auto"/>
        </w:rPr>
      </w:pPr>
      <w:r>
        <w:rPr>
          <w:rFonts w:ascii="Arial" w:cs="Arial" w:eastAsia="Arial" w:hAnsi="Arial"/>
          <w:sz w:val="11"/>
          <w:szCs w:val="11"/>
          <w:color w:val="auto"/>
        </w:rPr>
        <w:t>___________________________</w:t>
      </w:r>
    </w:p>
    <w:p>
      <w:pPr>
        <w:spacing w:after="0" w:line="97" w:lineRule="exact"/>
        <w:rPr>
          <w:sz w:val="20"/>
          <w:szCs w:val="20"/>
          <w:color w:val="auto"/>
        </w:rPr>
      </w:pPr>
    </w:p>
    <w:p>
      <w:pPr>
        <w:jc w:val="both"/>
        <w:ind w:left="1800" w:hanging="496"/>
        <w:spacing w:after="0" w:line="262" w:lineRule="auto"/>
        <w:tabs>
          <w:tab w:leader="none" w:pos="17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the amounts we set aside or accrued during fiscal 2025 under our 401(k) Retirement Plan and Employee Stock Purchase Plan as matching contributions on our Named Executive Officers’ contributions to such plans. Such contribution amounts are set forth in the table below. Our Named Executive Officers are eligible to participate in our 401(k) Retirement Plan and Employee Stock Purchase Plan on the same basis as all eligible employees.</w:t>
      </w:r>
    </w:p>
    <w:p>
      <w:pPr>
        <w:spacing w:after="0" w:line="23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Employee Stock</w:t>
            </w:r>
          </w:p>
        </w:tc>
        <w:tc>
          <w:tcPr>
            <w:tcW w:w="198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401(k) Retirement</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rPr>
              <w:t>Purchase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05445E"/>
                <w:w w:val="99"/>
              </w:rPr>
              <w:t>Total Company</w:t>
            </w: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Plan Matching</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Plan 15% Matching</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05445E"/>
                <w:w w:val="98"/>
              </w:rPr>
              <w:t>Matching</w:t>
            </w: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Contributions</w:t>
            </w: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Contributions</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05445E"/>
                <w:w w:val="99"/>
              </w:rPr>
              <w:t>Contributions</w:t>
            </w:r>
          </w:p>
        </w:tc>
      </w:tr>
      <w:tr>
        <w:trPr>
          <w:trHeight w:val="255"/>
        </w:trPr>
        <w:tc>
          <w:tcPr>
            <w:tcW w:w="2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05445E"/>
              </w:rPr>
              <w:t>Name</w:t>
            </w:r>
          </w:p>
        </w:tc>
        <w:tc>
          <w:tcPr>
            <w:tcW w:w="100" w:type="dxa"/>
            <w:vAlign w:val="bottom"/>
            <w:tcBorders>
              <w:bottom w:val="single" w:sz="8" w:color="D9D9D9"/>
            </w:tcBorders>
          </w:tcPr>
          <w:p>
            <w:pPr>
              <w:spacing w:after="0"/>
              <w:rPr>
                <w:sz w:val="22"/>
                <w:szCs w:val="22"/>
                <w:color w:val="auto"/>
              </w:rPr>
            </w:pPr>
          </w:p>
        </w:tc>
        <w:tc>
          <w:tcPr>
            <w:tcW w:w="198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05445E"/>
              </w:rPr>
              <w:t>($)</w:t>
            </w:r>
          </w:p>
        </w:tc>
        <w:tc>
          <w:tcPr>
            <w:tcW w:w="100" w:type="dxa"/>
            <w:vAlign w:val="bottom"/>
            <w:tcBorders>
              <w:bottom w:val="single" w:sz="8" w:color="D9D9D9"/>
            </w:tcBorders>
          </w:tcPr>
          <w:p>
            <w:pPr>
              <w:spacing w:after="0"/>
              <w:rPr>
                <w:sz w:val="22"/>
                <w:szCs w:val="22"/>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100" w:type="dxa"/>
            <w:vAlign w:val="bottom"/>
            <w:tcBorders>
              <w:bottom w:val="single" w:sz="8" w:color="D9D9D9"/>
            </w:tcBorders>
          </w:tcPr>
          <w:p>
            <w:pPr>
              <w:spacing w:after="0"/>
              <w:rPr>
                <w:sz w:val="22"/>
                <w:szCs w:val="22"/>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5445E"/>
                <w:w w:val="99"/>
              </w:rPr>
              <w:t>($)</w:t>
            </w:r>
          </w:p>
        </w:tc>
      </w:tr>
      <w:tr>
        <w:trPr>
          <w:trHeight w:val="250"/>
        </w:trPr>
        <w:tc>
          <w:tcPr>
            <w:tcW w:w="234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Ty R. Silberhorn</w:t>
            </w:r>
          </w:p>
        </w:tc>
        <w:tc>
          <w:tcPr>
            <w:tcW w:w="1980" w:type="dxa"/>
            <w:vAlign w:val="bottom"/>
            <w:tcBorders>
              <w:bottom w:val="single" w:sz="8" w:color="D9D9D9"/>
            </w:tcBorders>
            <w:shd w:val="clear" w:color="auto" w:fill="D9D9D9"/>
          </w:tcPr>
          <w:p>
            <w:pPr>
              <w:ind w:left="880"/>
              <w:spacing w:after="0"/>
              <w:rPr>
                <w:sz w:val="20"/>
                <w:szCs w:val="20"/>
                <w:color w:val="auto"/>
              </w:rPr>
            </w:pPr>
            <w:r>
              <w:rPr>
                <w:rFonts w:ascii="Arial" w:cs="Arial" w:eastAsia="Arial" w:hAnsi="Arial"/>
                <w:sz w:val="18"/>
                <w:szCs w:val="18"/>
                <w:color w:val="auto"/>
              </w:rPr>
              <w:t>13,954</w:t>
            </w:r>
          </w:p>
        </w:tc>
        <w:tc>
          <w:tcPr>
            <w:tcW w:w="100" w:type="dxa"/>
            <w:vAlign w:val="bottom"/>
            <w:tcBorders>
              <w:bottom w:val="single" w:sz="8" w:color="D9D9D9"/>
            </w:tcBorders>
            <w:shd w:val="clear" w:color="auto" w:fill="D9D9D9"/>
          </w:tcPr>
          <w:p>
            <w:pPr>
              <w:spacing w:after="0"/>
              <w:rPr>
                <w:sz w:val="21"/>
                <w:szCs w:val="21"/>
                <w:color w:val="auto"/>
              </w:rPr>
            </w:pPr>
          </w:p>
        </w:tc>
        <w:tc>
          <w:tcPr>
            <w:tcW w:w="1980" w:type="dxa"/>
            <w:vAlign w:val="bottom"/>
            <w:tcBorders>
              <w:bottom w:val="single" w:sz="8" w:color="D9D9D9"/>
            </w:tcBorders>
            <w:shd w:val="clear" w:color="auto" w:fill="D9D9D9"/>
          </w:tcPr>
          <w:p>
            <w:pPr>
              <w:jc w:val="right"/>
              <w:ind w:right="770"/>
              <w:spacing w:after="0"/>
              <w:rPr>
                <w:sz w:val="20"/>
                <w:szCs w:val="20"/>
                <w:color w:val="auto"/>
              </w:rPr>
            </w:pPr>
            <w:r>
              <w:rPr>
                <w:rFonts w:ascii="Arial" w:cs="Arial" w:eastAsia="Arial" w:hAnsi="Arial"/>
                <w:sz w:val="18"/>
                <w:szCs w:val="18"/>
                <w:color w:val="auto"/>
              </w:rPr>
              <w:t>3,705</w:t>
            </w:r>
          </w:p>
        </w:tc>
        <w:tc>
          <w:tcPr>
            <w:tcW w:w="100" w:type="dxa"/>
            <w:vAlign w:val="bottom"/>
            <w:tcBorders>
              <w:bottom w:val="single" w:sz="8" w:color="D9D9D9"/>
            </w:tcBorders>
            <w:shd w:val="clear" w:color="auto" w:fill="D9D9D9"/>
          </w:tcPr>
          <w:p>
            <w:pPr>
              <w:spacing w:after="0"/>
              <w:rPr>
                <w:sz w:val="21"/>
                <w:szCs w:val="21"/>
                <w:color w:val="auto"/>
              </w:rPr>
            </w:pPr>
          </w:p>
        </w:tc>
        <w:tc>
          <w:tcPr>
            <w:tcW w:w="1980" w:type="dxa"/>
            <w:vAlign w:val="bottom"/>
            <w:tcBorders>
              <w:bottom w:val="single" w:sz="8" w:color="D9D9D9"/>
            </w:tcBorders>
            <w:shd w:val="clear" w:color="auto" w:fill="D9D9D9"/>
          </w:tcPr>
          <w:p>
            <w:pPr>
              <w:jc w:val="right"/>
              <w:ind w:right="470"/>
              <w:spacing w:after="0"/>
              <w:rPr>
                <w:sz w:val="20"/>
                <w:szCs w:val="20"/>
                <w:color w:val="auto"/>
              </w:rPr>
            </w:pPr>
            <w:r>
              <w:rPr>
                <w:rFonts w:ascii="Arial" w:cs="Arial" w:eastAsia="Arial" w:hAnsi="Arial"/>
                <w:sz w:val="18"/>
                <w:szCs w:val="18"/>
                <w:color w:val="auto"/>
              </w:rPr>
              <w:t>17,659</w:t>
            </w:r>
          </w:p>
        </w:tc>
      </w:tr>
      <w:tr>
        <w:trPr>
          <w:trHeight w:val="247"/>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Matthew J. Osberg</w:t>
            </w:r>
          </w:p>
        </w:tc>
        <w:tc>
          <w:tcPr>
            <w:tcW w:w="1980" w:type="dxa"/>
            <w:vAlign w:val="bottom"/>
          </w:tcPr>
          <w:p>
            <w:pPr>
              <w:ind w:left="880"/>
              <w:spacing w:after="0"/>
              <w:rPr>
                <w:sz w:val="20"/>
                <w:szCs w:val="20"/>
                <w:color w:val="auto"/>
              </w:rPr>
            </w:pPr>
            <w:r>
              <w:rPr>
                <w:rFonts w:ascii="Arial" w:cs="Arial" w:eastAsia="Arial" w:hAnsi="Arial"/>
                <w:sz w:val="18"/>
                <w:szCs w:val="18"/>
                <w:color w:val="auto"/>
              </w:rPr>
              <w:t>14,513</w:t>
            </w:r>
          </w:p>
        </w:tc>
        <w:tc>
          <w:tcPr>
            <w:tcW w:w="100" w:type="dxa"/>
            <w:vAlign w:val="bottom"/>
          </w:tcPr>
          <w:p>
            <w:pPr>
              <w:spacing w:after="0"/>
              <w:rPr>
                <w:sz w:val="21"/>
                <w:szCs w:val="21"/>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14,513</w:t>
            </w:r>
          </w:p>
        </w:tc>
      </w:tr>
      <w:tr>
        <w:trPr>
          <w:trHeight w:val="2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234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Brent C. Jewell</w:t>
            </w:r>
          </w:p>
        </w:tc>
        <w:tc>
          <w:tcPr>
            <w:tcW w:w="1980" w:type="dxa"/>
            <w:vAlign w:val="bottom"/>
            <w:tcBorders>
              <w:bottom w:val="single" w:sz="8" w:color="D9D9D9"/>
            </w:tcBorders>
            <w:shd w:val="clear" w:color="auto" w:fill="D9D9D9"/>
          </w:tcPr>
          <w:p>
            <w:pPr>
              <w:ind w:left="880"/>
              <w:spacing w:after="0"/>
              <w:rPr>
                <w:sz w:val="20"/>
                <w:szCs w:val="20"/>
                <w:color w:val="auto"/>
              </w:rPr>
            </w:pPr>
            <w:r>
              <w:rPr>
                <w:rFonts w:ascii="Arial" w:cs="Arial" w:eastAsia="Arial" w:hAnsi="Arial"/>
                <w:sz w:val="18"/>
                <w:szCs w:val="18"/>
                <w:color w:val="auto"/>
              </w:rPr>
              <w:t>13,892</w:t>
            </w:r>
          </w:p>
        </w:tc>
        <w:tc>
          <w:tcPr>
            <w:tcW w:w="100" w:type="dxa"/>
            <w:vAlign w:val="bottom"/>
            <w:tcBorders>
              <w:bottom w:val="single" w:sz="8" w:color="D9D9D9"/>
            </w:tcBorders>
            <w:shd w:val="clear" w:color="auto" w:fill="D9D9D9"/>
          </w:tcPr>
          <w:p>
            <w:pPr>
              <w:spacing w:after="0"/>
              <w:rPr>
                <w:sz w:val="21"/>
                <w:szCs w:val="21"/>
                <w:color w:val="auto"/>
              </w:rPr>
            </w:pPr>
          </w:p>
        </w:tc>
        <w:tc>
          <w:tcPr>
            <w:tcW w:w="2080" w:type="dxa"/>
            <w:vAlign w:val="bottom"/>
            <w:tcBorders>
              <w:bottom w:val="single" w:sz="8" w:color="D9D9D9"/>
            </w:tcBorders>
            <w:gridSpan w:val="2"/>
            <w:shd w:val="clear" w:color="auto" w:fill="D9D9D9"/>
          </w:tcPr>
          <w:p>
            <w:pPr>
              <w:jc w:val="center"/>
              <w:ind w:right="10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D9D9D9"/>
            </w:tcBorders>
            <w:shd w:val="clear" w:color="auto" w:fill="D9D9D9"/>
          </w:tcPr>
          <w:p>
            <w:pPr>
              <w:jc w:val="right"/>
              <w:ind w:right="470"/>
              <w:spacing w:after="0"/>
              <w:rPr>
                <w:sz w:val="20"/>
                <w:szCs w:val="20"/>
                <w:color w:val="auto"/>
              </w:rPr>
            </w:pPr>
            <w:r>
              <w:rPr>
                <w:rFonts w:ascii="Arial" w:cs="Arial" w:eastAsia="Arial" w:hAnsi="Arial"/>
                <w:sz w:val="18"/>
                <w:szCs w:val="18"/>
                <w:color w:val="auto"/>
              </w:rPr>
              <w:t>13,892</w:t>
            </w:r>
          </w:p>
        </w:tc>
      </w:tr>
      <w:tr>
        <w:trPr>
          <w:trHeight w:val="247"/>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Troy R. Johnson</w:t>
            </w:r>
          </w:p>
        </w:tc>
        <w:tc>
          <w:tcPr>
            <w:tcW w:w="1980" w:type="dxa"/>
            <w:vAlign w:val="bottom"/>
          </w:tcPr>
          <w:p>
            <w:pPr>
              <w:ind w:left="880"/>
              <w:spacing w:after="0"/>
              <w:rPr>
                <w:sz w:val="20"/>
                <w:szCs w:val="20"/>
                <w:color w:val="auto"/>
              </w:rPr>
            </w:pPr>
            <w:r>
              <w:rPr>
                <w:rFonts w:ascii="Arial" w:cs="Arial" w:eastAsia="Arial" w:hAnsi="Arial"/>
                <w:sz w:val="18"/>
                <w:szCs w:val="18"/>
                <w:color w:val="auto"/>
              </w:rPr>
              <w:t>13,877</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98</w:t>
            </w:r>
          </w:p>
        </w:tc>
        <w:tc>
          <w:tcPr>
            <w:tcW w:w="100" w:type="dxa"/>
            <w:vAlign w:val="bottom"/>
          </w:tcPr>
          <w:p>
            <w:pPr>
              <w:spacing w:after="0"/>
              <w:rPr>
                <w:sz w:val="21"/>
                <w:szCs w:val="21"/>
                <w:color w:val="auto"/>
              </w:rPr>
            </w:pP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13,974</w:t>
            </w:r>
          </w:p>
        </w:tc>
      </w:tr>
      <w:tr>
        <w:trPr>
          <w:trHeight w:val="2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7"/>
        </w:trPr>
        <w:tc>
          <w:tcPr>
            <w:tcW w:w="2340" w:type="dxa"/>
            <w:vAlign w:val="bottom"/>
            <w:gridSpan w:val="2"/>
            <w:shd w:val="clear" w:color="auto" w:fill="D9D9D9"/>
          </w:tcPr>
          <w:p>
            <w:pPr>
              <w:ind w:left="20"/>
              <w:spacing w:after="0"/>
              <w:rPr>
                <w:sz w:val="20"/>
                <w:szCs w:val="20"/>
                <w:color w:val="auto"/>
              </w:rPr>
            </w:pPr>
            <w:r>
              <w:rPr>
                <w:rFonts w:ascii="Arial" w:cs="Arial" w:eastAsia="Arial" w:hAnsi="Arial"/>
                <w:sz w:val="18"/>
                <w:szCs w:val="18"/>
                <w:color w:val="auto"/>
              </w:rPr>
              <w:t>Raelyn A. Trende</w:t>
            </w:r>
          </w:p>
        </w:tc>
        <w:tc>
          <w:tcPr>
            <w:tcW w:w="2080" w:type="dxa"/>
            <w:vAlign w:val="bottom"/>
            <w:gridSpan w:val="2"/>
            <w:shd w:val="clear" w:color="auto" w:fill="D9D9D9"/>
          </w:tcPr>
          <w:p>
            <w:pPr>
              <w:jc w:val="center"/>
              <w:ind w:right="10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D9D9D9"/>
          </w:tcPr>
          <w:p>
            <w:pPr>
              <w:jc w:val="center"/>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D9D9D9"/>
          </w:tcPr>
          <w:p>
            <w:pPr>
              <w:spacing w:after="0"/>
              <w:rPr>
                <w:sz w:val="21"/>
                <w:szCs w:val="21"/>
                <w:color w:val="auto"/>
              </w:rPr>
            </w:pPr>
          </w:p>
        </w:tc>
        <w:tc>
          <w:tcPr>
            <w:tcW w:w="1980" w:type="dxa"/>
            <w:vAlign w:val="bottom"/>
            <w:shd w:val="clear" w:color="auto" w:fill="D9D9D9"/>
          </w:tcPr>
          <w:p>
            <w:pPr>
              <w:jc w:val="right"/>
              <w:ind w:right="470"/>
              <w:spacing w:after="0"/>
              <w:rPr>
                <w:sz w:val="20"/>
                <w:szCs w:val="20"/>
                <w:color w:val="auto"/>
              </w:rPr>
            </w:pPr>
            <w:r>
              <w:rPr>
                <w:rFonts w:ascii="Arial" w:cs="Arial" w:eastAsia="Arial" w:hAnsi="Arial"/>
                <w:sz w:val="18"/>
                <w:szCs w:val="18"/>
                <w:color w:val="auto"/>
              </w:rPr>
              <w:t>1,320</w:t>
            </w:r>
          </w:p>
        </w:tc>
      </w:tr>
      <w:tr>
        <w:trPr>
          <w:trHeight w:val="23"/>
        </w:trPr>
        <w:tc>
          <w:tcPr>
            <w:tcW w:w="224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198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198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1980" w:type="dxa"/>
            <w:vAlign w:val="bottom"/>
            <w:shd w:val="clear" w:color="auto" w:fill="D9D9D9"/>
          </w:tcPr>
          <w:p>
            <w:pPr>
              <w:spacing w:after="0"/>
              <w:rPr>
                <w:sz w:val="2"/>
                <w:szCs w:val="2"/>
                <w:color w:val="auto"/>
              </w:rPr>
            </w:pPr>
          </w:p>
        </w:tc>
      </w:tr>
    </w:tbl>
    <w:p>
      <w:pPr>
        <w:spacing w:after="0" w:line="184" w:lineRule="exact"/>
        <w:rPr>
          <w:sz w:val="20"/>
          <w:szCs w:val="20"/>
          <w:color w:val="auto"/>
        </w:rPr>
      </w:pPr>
    </w:p>
    <w:p>
      <w:pPr>
        <w:ind w:left="1800" w:hanging="496"/>
        <w:spacing w:after="0" w:line="287" w:lineRule="auto"/>
        <w:tabs>
          <w:tab w:leader="none" w:pos="17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Includes dividends accrued on unvested restricted stock, pursuant to our 2019 Stock Incentive Plan and dividends paid on Fiscal 2023 – Fiscal 2025 performance share awards.</w:t>
      </w:r>
    </w:p>
    <w:p>
      <w:pPr>
        <w:spacing w:after="0" w:line="44"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Osberg joined our Company on April 28, 2023.</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T. Johnson was not a Named Executive Officer in fiscal 2023 or 2024.</w:t>
      </w:r>
    </w:p>
    <w:p>
      <w:pPr>
        <w:spacing w:after="0" w:line="117" w:lineRule="exact"/>
        <w:rPr>
          <w:rFonts w:ascii="Arial" w:cs="Arial" w:eastAsia="Arial" w:hAnsi="Arial"/>
          <w:sz w:val="18"/>
          <w:szCs w:val="18"/>
          <w:color w:val="auto"/>
        </w:rPr>
      </w:pPr>
    </w:p>
    <w:p>
      <w:pPr>
        <w:jc w:val="both"/>
        <w:ind w:left="500" w:hanging="492"/>
        <w:spacing w:after="0" w:line="259" w:lineRule="auto"/>
        <w:tabs>
          <w:tab w:leader="none" w:pos="4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Ms. Trende joined our Company on July 29, 2024. The amount in the "Bonus" column consists of a cash bonus paid to Ms. Trende pursuant to the terms of her Offer Letter on the first payroll date after her hire date. The amount in the "Stock Awards" column includes a new hire inducement award of $475,033 of restricted shares, as well as Ms. Trende's fiscal 2025 long-term incentive award. Based on continued employment with the Company, 50% of such restricted shares vest twelve months after her hire date, and the remaining 50% will vest twenty-four months after her hire 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Grants of Plan-Based Awards</w:t>
      </w:r>
    </w:p>
    <w:p>
      <w:pPr>
        <w:spacing w:after="0" w:line="22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following table sets forth information for our Named Executive Officers concerning the following plan-based awards made during fiscal 2025: (i) estimated possible payouts for fiscal 2025 annual cash incentive awards; (ii) the grant date value of the restricted stock awards; and</w:t>
      </w:r>
    </w:p>
    <w:p>
      <w:pPr>
        <w:spacing w:after="0" w:line="2" w:lineRule="exact"/>
        <w:rPr>
          <w:sz w:val="20"/>
          <w:szCs w:val="20"/>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estimated possible payouts for the fiscal 2025 – 2027 performance awards.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Fiscal 2025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5445E"/>
              </w:rPr>
              <w:t>All</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5445E"/>
              </w:rPr>
              <w:t>Other</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5445E"/>
                <w:w w:val="99"/>
              </w:rPr>
              <w:t>Stock</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5445E"/>
              </w:rPr>
              <w:t>Awards: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05445E"/>
              </w:rPr>
              <w:t>Estimated Possible Payouts</w:t>
            </w:r>
          </w:p>
        </w:tc>
        <w:tc>
          <w:tcPr>
            <w:tcW w:w="30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05445E"/>
              </w:rPr>
              <w:t>Estimated Future Payments</w:t>
            </w:r>
          </w:p>
        </w:tc>
        <w:tc>
          <w:tcPr>
            <w:tcW w:w="8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5445E"/>
              </w:rPr>
              <w:t>Number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5445E"/>
              </w:rPr>
              <w:t>Grant Date</w:t>
            </w:r>
          </w:p>
        </w:tc>
        <w:tc>
          <w:tcPr>
            <w:tcW w:w="0" w:type="dxa"/>
            <w:vAlign w:val="bottom"/>
          </w:tcPr>
          <w:p>
            <w:pPr>
              <w:spacing w:after="0"/>
              <w:rPr>
                <w:sz w:val="1"/>
                <w:szCs w:val="1"/>
                <w:color w:val="auto"/>
              </w:rPr>
            </w:pPr>
          </w:p>
        </w:tc>
      </w:tr>
      <w:tr>
        <w:trPr>
          <w:trHeight w:val="95"/>
        </w:trPr>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00" w:type="dxa"/>
            <w:vAlign w:val="bottom"/>
            <w:gridSpan w:val="6"/>
            <w:vMerge w:val="continue"/>
          </w:tcPr>
          <w:p>
            <w:pPr>
              <w:spacing w:after="0"/>
              <w:rPr>
                <w:sz w:val="8"/>
                <w:szCs w:val="8"/>
                <w:color w:val="auto"/>
              </w:rPr>
            </w:pPr>
          </w:p>
        </w:tc>
        <w:tc>
          <w:tcPr>
            <w:tcW w:w="304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05445E"/>
              </w:rPr>
              <w:t>of</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05445E"/>
              </w:rPr>
              <w:t>Fair Value</w:t>
            </w: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10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05445E"/>
              </w:rPr>
              <w:t>Under Non-Equity Incentive Plan</w:t>
            </w:r>
          </w:p>
        </w:tc>
        <w:tc>
          <w:tcPr>
            <w:tcW w:w="30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05445E"/>
              </w:rPr>
              <w:t>Under Equity Incentive Plan</w:t>
            </w:r>
          </w:p>
        </w:tc>
        <w:tc>
          <w:tcPr>
            <w:tcW w:w="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00" w:type="dxa"/>
            <w:vAlign w:val="bottom"/>
            <w:gridSpan w:val="6"/>
            <w:vMerge w:val="continue"/>
          </w:tcPr>
          <w:p>
            <w:pPr>
              <w:spacing w:after="0"/>
              <w:rPr>
                <w:sz w:val="8"/>
                <w:szCs w:val="8"/>
                <w:color w:val="auto"/>
              </w:rPr>
            </w:pPr>
          </w:p>
        </w:tc>
        <w:tc>
          <w:tcPr>
            <w:tcW w:w="304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05445E"/>
              </w:rPr>
              <w:t>Shares</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05445E"/>
              </w:rPr>
              <w:t>of</w:t>
            </w:r>
          </w:p>
        </w:tc>
        <w:tc>
          <w:tcPr>
            <w:tcW w:w="0" w:type="dxa"/>
            <w:vAlign w:val="bottom"/>
          </w:tcPr>
          <w:p>
            <w:pPr>
              <w:spacing w:after="0"/>
              <w:rPr>
                <w:sz w:val="1"/>
                <w:szCs w:val="1"/>
                <w:color w:val="auto"/>
              </w:rPr>
            </w:pPr>
          </w:p>
        </w:tc>
      </w:tr>
      <w:tr>
        <w:trPr>
          <w:trHeight w:val="70"/>
        </w:trPr>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restart"/>
          </w:tcPr>
          <w:p>
            <w:pPr>
              <w:jc w:val="center"/>
              <w:ind w:right="140"/>
              <w:spacing w:after="0" w:line="201" w:lineRule="exact"/>
              <w:rPr>
                <w:sz w:val="20"/>
                <w:szCs w:val="20"/>
                <w:color w:val="auto"/>
              </w:rPr>
            </w:pPr>
            <w:r>
              <w:rPr>
                <w:rFonts w:ascii="Arial" w:cs="Arial" w:eastAsia="Arial" w:hAnsi="Arial"/>
                <w:sz w:val="14"/>
                <w:szCs w:val="14"/>
                <w:b w:val="1"/>
                <w:bCs w:val="1"/>
                <w:color w:val="05445E"/>
                <w:w w:val="98"/>
              </w:rPr>
              <w:t>Awards</w:t>
            </w:r>
            <w:r>
              <w:rPr>
                <w:rFonts w:ascii="Arial" w:cs="Arial" w:eastAsia="Arial" w:hAnsi="Arial"/>
                <w:sz w:val="18"/>
                <w:szCs w:val="18"/>
                <w:b w:val="1"/>
                <w:bCs w:val="1"/>
                <w:color w:val="05445E"/>
                <w:w w:val="98"/>
                <w:vertAlign w:val="superscript"/>
              </w:rPr>
              <w:t>(1)</w:t>
            </w: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restart"/>
          </w:tcPr>
          <w:p>
            <w:pPr>
              <w:jc w:val="center"/>
              <w:ind w:right="140"/>
              <w:spacing w:after="0" w:line="201" w:lineRule="exact"/>
              <w:rPr>
                <w:sz w:val="20"/>
                <w:szCs w:val="20"/>
                <w:color w:val="auto"/>
              </w:rPr>
            </w:pPr>
            <w:r>
              <w:rPr>
                <w:rFonts w:ascii="Arial" w:cs="Arial" w:eastAsia="Arial" w:hAnsi="Arial"/>
                <w:sz w:val="14"/>
                <w:szCs w:val="14"/>
                <w:b w:val="1"/>
                <w:bCs w:val="1"/>
                <w:color w:val="05445E"/>
                <w:w w:val="98"/>
              </w:rPr>
              <w:t>Awards</w:t>
            </w:r>
            <w:r>
              <w:rPr>
                <w:rFonts w:ascii="Arial" w:cs="Arial" w:eastAsia="Arial" w:hAnsi="Arial"/>
                <w:sz w:val="18"/>
                <w:szCs w:val="18"/>
                <w:b w:val="1"/>
                <w:bCs w:val="1"/>
                <w:color w:val="05445E"/>
                <w:w w:val="98"/>
                <w:vertAlign w:val="superscript"/>
              </w:rPr>
              <w:t>(2)</w:t>
            </w: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vMerge w:val="continue"/>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vMerge w:val="continue"/>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05445E"/>
              </w:rPr>
              <w:t>of Stock</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05445E"/>
                <w:w w:val="99"/>
              </w:rPr>
              <w:t>Stock</w:t>
            </w:r>
          </w:p>
        </w:tc>
        <w:tc>
          <w:tcPr>
            <w:tcW w:w="0" w:type="dxa"/>
            <w:vAlign w:val="bottom"/>
          </w:tcPr>
          <w:p>
            <w:pPr>
              <w:spacing w:after="0"/>
              <w:rPr>
                <w:sz w:val="1"/>
                <w:szCs w:val="1"/>
                <w:color w:val="auto"/>
              </w:rPr>
            </w:pPr>
          </w:p>
        </w:tc>
      </w:tr>
      <w:tr>
        <w:trPr>
          <w:trHeight w:val="25"/>
        </w:trPr>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268"/>
              <w:spacing w:after="0"/>
              <w:rPr>
                <w:sz w:val="20"/>
                <w:szCs w:val="20"/>
                <w:color w:val="auto"/>
              </w:rPr>
            </w:pPr>
            <w:r>
              <w:rPr>
                <w:rFonts w:ascii="Arial" w:cs="Arial" w:eastAsia="Arial" w:hAnsi="Arial"/>
                <w:sz w:val="14"/>
                <w:szCs w:val="14"/>
                <w:b w:val="1"/>
                <w:bCs w:val="1"/>
                <w:color w:val="05445E"/>
              </w:rPr>
              <w:t>Grant</w:t>
            </w:r>
          </w:p>
        </w:tc>
        <w:tc>
          <w:tcPr>
            <w:tcW w:w="1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05445E"/>
              </w:rPr>
              <w:t>Threshold</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5445E"/>
              </w:rPr>
              <w:t>Target</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05445E"/>
              </w:rPr>
              <w:t>Maximum</w:t>
            </w: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05445E"/>
              </w:rPr>
              <w:t>Threshold</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5445E"/>
              </w:rPr>
              <w:t>Target</w:t>
            </w:r>
          </w:p>
        </w:tc>
        <w:tc>
          <w:tcPr>
            <w:tcW w:w="960" w:type="dxa"/>
            <w:vAlign w:val="bottom"/>
          </w:tcPr>
          <w:p>
            <w:pPr>
              <w:ind w:left="140"/>
              <w:spacing w:after="0"/>
              <w:rPr>
                <w:sz w:val="20"/>
                <w:szCs w:val="20"/>
                <w:color w:val="auto"/>
              </w:rPr>
            </w:pPr>
            <w:r>
              <w:rPr>
                <w:rFonts w:ascii="Arial" w:cs="Arial" w:eastAsia="Arial" w:hAnsi="Arial"/>
                <w:sz w:val="14"/>
                <w:szCs w:val="14"/>
                <w:b w:val="1"/>
                <w:bCs w:val="1"/>
                <w:color w:val="05445E"/>
              </w:rPr>
              <w:t>Maximum</w:t>
            </w:r>
          </w:p>
        </w:tc>
        <w:tc>
          <w:tcPr>
            <w:tcW w:w="8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5445E"/>
              </w:rPr>
              <w:t>or Units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5445E"/>
              </w:rPr>
              <w:t>Awards</w:t>
            </w:r>
          </w:p>
        </w:tc>
        <w:tc>
          <w:tcPr>
            <w:tcW w:w="0" w:type="dxa"/>
            <w:vAlign w:val="bottom"/>
          </w:tcPr>
          <w:p>
            <w:pPr>
              <w:spacing w:after="0"/>
              <w:rPr>
                <w:sz w:val="1"/>
                <w:szCs w:val="1"/>
                <w:color w:val="auto"/>
              </w:rPr>
            </w:pPr>
          </w:p>
        </w:tc>
      </w:tr>
      <w:tr>
        <w:trPr>
          <w:trHeight w:val="214"/>
        </w:trPr>
        <w:tc>
          <w:tcPr>
            <w:tcW w:w="1700" w:type="dxa"/>
            <w:vAlign w:val="bottom"/>
          </w:tcPr>
          <w:p>
            <w:pPr>
              <w:ind w:left="660"/>
              <w:spacing w:after="0"/>
              <w:rPr>
                <w:sz w:val="20"/>
                <w:szCs w:val="20"/>
                <w:color w:val="auto"/>
              </w:rPr>
            </w:pPr>
            <w:r>
              <w:rPr>
                <w:rFonts w:ascii="Arial" w:cs="Arial" w:eastAsia="Arial" w:hAnsi="Arial"/>
                <w:sz w:val="14"/>
                <w:szCs w:val="14"/>
                <w:b w:val="1"/>
                <w:bCs w:val="1"/>
                <w:color w:val="05445E"/>
              </w:rPr>
              <w:t>Name</w:t>
            </w:r>
          </w:p>
        </w:tc>
        <w:tc>
          <w:tcPr>
            <w:tcW w:w="100" w:type="dxa"/>
            <w:vAlign w:val="bottom"/>
          </w:tcPr>
          <w:p>
            <w:pPr>
              <w:spacing w:after="0"/>
              <w:rPr>
                <w:sz w:val="18"/>
                <w:szCs w:val="18"/>
                <w:color w:val="auto"/>
              </w:rPr>
            </w:pPr>
          </w:p>
        </w:tc>
        <w:tc>
          <w:tcPr>
            <w:tcW w:w="1060" w:type="dxa"/>
            <w:vAlign w:val="bottom"/>
          </w:tcPr>
          <w:p>
            <w:pPr>
              <w:jc w:val="right"/>
              <w:ind w:right="308"/>
              <w:spacing w:after="0"/>
              <w:rPr>
                <w:sz w:val="20"/>
                <w:szCs w:val="20"/>
                <w:color w:val="auto"/>
              </w:rPr>
            </w:pPr>
            <w:r>
              <w:rPr>
                <w:rFonts w:ascii="Arial" w:cs="Arial" w:eastAsia="Arial" w:hAnsi="Arial"/>
                <w:sz w:val="14"/>
                <w:szCs w:val="14"/>
                <w:b w:val="1"/>
                <w:bCs w:val="1"/>
                <w:color w:val="05445E"/>
              </w:rPr>
              <w:t>Date</w:t>
            </w:r>
          </w:p>
        </w:tc>
        <w:tc>
          <w:tcPr>
            <w:tcW w:w="1080" w:type="dxa"/>
            <w:vAlign w:val="bottom"/>
            <w:gridSpan w:val="2"/>
          </w:tcPr>
          <w:p>
            <w:pPr>
              <w:jc w:val="center"/>
              <w:ind w:left="28"/>
              <w:spacing w:after="0"/>
              <w:rPr>
                <w:sz w:val="20"/>
                <w:szCs w:val="20"/>
                <w:color w:val="auto"/>
              </w:rPr>
            </w:pPr>
            <w:r>
              <w:rPr>
                <w:rFonts w:ascii="Arial" w:cs="Arial" w:eastAsia="Arial" w:hAnsi="Arial"/>
                <w:sz w:val="14"/>
                <w:szCs w:val="14"/>
                <w:b w:val="1"/>
                <w:bCs w:val="1"/>
                <w:color w:val="05445E"/>
              </w:rPr>
              <w:t>($)</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05445E"/>
              </w:rPr>
              <w:t>($)</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5445E"/>
              </w:rPr>
              <w:t>($)</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5445E"/>
              </w:rPr>
              <w:t>(#)</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05445E"/>
                <w:w w:val="93"/>
              </w:rPr>
              <w:t>(#)</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5445E"/>
              </w:rPr>
              <w:t>(#)</w:t>
            </w:r>
          </w:p>
        </w:tc>
        <w:tc>
          <w:tcPr>
            <w:tcW w:w="1020" w:type="dxa"/>
            <w:vAlign w:val="bottom"/>
            <w:gridSpan w:val="2"/>
          </w:tcPr>
          <w:p>
            <w:pPr>
              <w:jc w:val="center"/>
              <w:ind w:left="8"/>
              <w:spacing w:after="0"/>
              <w:rPr>
                <w:sz w:val="20"/>
                <w:szCs w:val="20"/>
                <w:color w:val="auto"/>
              </w:rPr>
            </w:pPr>
            <w:r>
              <w:rPr>
                <w:rFonts w:ascii="Arial" w:cs="Arial" w:eastAsia="Arial" w:hAnsi="Arial"/>
                <w:sz w:val="14"/>
                <w:szCs w:val="14"/>
                <w:b w:val="1"/>
                <w:bCs w:val="1"/>
                <w:color w:val="05445E"/>
                <w:w w:val="94"/>
              </w:rPr>
              <w:t>(#)</w:t>
            </w:r>
            <w:r>
              <w:rPr>
                <w:rFonts w:ascii="Arial" w:cs="Arial" w:eastAsia="Arial" w:hAnsi="Arial"/>
                <w:sz w:val="18"/>
                <w:szCs w:val="18"/>
                <w:b w:val="1"/>
                <w:bCs w:val="1"/>
                <w:color w:val="05445E"/>
                <w:w w:val="94"/>
                <w:vertAlign w:val="superscript"/>
              </w:rPr>
              <w:t>(3)</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5445E"/>
                <w:w w:val="94"/>
              </w:rPr>
              <w:t>($)</w:t>
            </w:r>
            <w:r>
              <w:rPr>
                <w:rFonts w:ascii="Arial" w:cs="Arial" w:eastAsia="Arial" w:hAnsi="Arial"/>
                <w:sz w:val="18"/>
                <w:szCs w:val="18"/>
                <w:b w:val="1"/>
                <w:bCs w:val="1"/>
                <w:color w:val="05445E"/>
                <w:w w:val="94"/>
                <w:vertAlign w:val="superscript"/>
              </w:rPr>
              <w:t>(4)</w:t>
            </w:r>
          </w:p>
        </w:tc>
        <w:tc>
          <w:tcPr>
            <w:tcW w:w="0" w:type="dxa"/>
            <w:vAlign w:val="bottom"/>
          </w:tcPr>
          <w:p>
            <w:pPr>
              <w:spacing w:after="0"/>
              <w:rPr>
                <w:sz w:val="1"/>
                <w:szCs w:val="1"/>
                <w:color w:val="auto"/>
              </w:rPr>
            </w:pPr>
          </w:p>
        </w:tc>
      </w:tr>
      <w:tr>
        <w:trPr>
          <w:trHeight w:val="187"/>
        </w:trPr>
        <w:tc>
          <w:tcPr>
            <w:tcW w:w="1700" w:type="dxa"/>
            <w:vAlign w:val="bottom"/>
            <w:tcBorders>
              <w:top w:val="single" w:sz="8" w:color="05445E"/>
            </w:tcBorders>
            <w:shd w:val="clear" w:color="auto" w:fill="D9D9D9"/>
          </w:tcPr>
          <w:p>
            <w:pPr>
              <w:ind w:left="100"/>
              <w:spacing w:after="0"/>
              <w:rPr>
                <w:sz w:val="20"/>
                <w:szCs w:val="20"/>
                <w:color w:val="auto"/>
              </w:rPr>
            </w:pPr>
            <w:r>
              <w:rPr>
                <w:rFonts w:ascii="Arial" w:cs="Arial" w:eastAsia="Arial" w:hAnsi="Arial"/>
                <w:sz w:val="14"/>
                <w:szCs w:val="14"/>
                <w:b w:val="1"/>
                <w:bCs w:val="1"/>
                <w:color w:val="auto"/>
              </w:rPr>
              <w:t>Ty R.</w:t>
            </w:r>
          </w:p>
        </w:tc>
        <w:tc>
          <w:tcPr>
            <w:tcW w:w="100" w:type="dxa"/>
            <w:vAlign w:val="bottom"/>
            <w:tcBorders>
              <w:top w:val="single" w:sz="8" w:color="D9D9D9"/>
            </w:tcBorders>
            <w:shd w:val="clear" w:color="auto" w:fill="D9D9D9"/>
          </w:tcPr>
          <w:p>
            <w:pPr>
              <w:spacing w:after="0"/>
              <w:rPr>
                <w:sz w:val="16"/>
                <w:szCs w:val="16"/>
                <w:color w:val="auto"/>
              </w:rPr>
            </w:pPr>
          </w:p>
        </w:tc>
        <w:tc>
          <w:tcPr>
            <w:tcW w:w="1060" w:type="dxa"/>
            <w:vAlign w:val="bottom"/>
            <w:tcBorders>
              <w:top w:val="single" w:sz="8" w:color="05445E"/>
            </w:tcBorders>
            <w:shd w:val="clear" w:color="auto" w:fill="D9D9D9"/>
          </w:tcPr>
          <w:p>
            <w:pPr>
              <w:spacing w:after="0"/>
              <w:rPr>
                <w:sz w:val="16"/>
                <w:szCs w:val="16"/>
                <w:color w:val="auto"/>
              </w:rPr>
            </w:pPr>
          </w:p>
        </w:tc>
        <w:tc>
          <w:tcPr>
            <w:tcW w:w="100" w:type="dxa"/>
            <w:vAlign w:val="bottom"/>
            <w:tcBorders>
              <w:top w:val="single" w:sz="8" w:color="D9D9D9"/>
            </w:tcBorders>
            <w:shd w:val="clear" w:color="auto" w:fill="D9D9D9"/>
          </w:tcPr>
          <w:p>
            <w:pPr>
              <w:spacing w:after="0"/>
              <w:rPr>
                <w:sz w:val="16"/>
                <w:szCs w:val="16"/>
                <w:color w:val="auto"/>
              </w:rPr>
            </w:pPr>
          </w:p>
        </w:tc>
        <w:tc>
          <w:tcPr>
            <w:tcW w:w="980" w:type="dxa"/>
            <w:vAlign w:val="bottom"/>
            <w:tcBorders>
              <w:top w:val="single" w:sz="8" w:color="05445E"/>
            </w:tcBorders>
            <w:shd w:val="clear" w:color="auto" w:fill="D9D9D9"/>
          </w:tcPr>
          <w:p>
            <w:pPr>
              <w:spacing w:after="0"/>
              <w:rPr>
                <w:sz w:val="16"/>
                <w:szCs w:val="16"/>
                <w:color w:val="auto"/>
              </w:rPr>
            </w:pPr>
          </w:p>
        </w:tc>
        <w:tc>
          <w:tcPr>
            <w:tcW w:w="100" w:type="dxa"/>
            <w:vAlign w:val="bottom"/>
            <w:tcBorders>
              <w:top w:val="single" w:sz="8" w:color="D9D9D9"/>
            </w:tcBorders>
            <w:shd w:val="clear" w:color="auto" w:fill="D9D9D9"/>
          </w:tcPr>
          <w:p>
            <w:pPr>
              <w:spacing w:after="0"/>
              <w:rPr>
                <w:sz w:val="16"/>
                <w:szCs w:val="16"/>
                <w:color w:val="auto"/>
              </w:rPr>
            </w:pPr>
          </w:p>
        </w:tc>
        <w:tc>
          <w:tcPr>
            <w:tcW w:w="880" w:type="dxa"/>
            <w:vAlign w:val="bottom"/>
            <w:tcBorders>
              <w:top w:val="single" w:sz="8" w:color="05445E"/>
            </w:tcBorders>
            <w:shd w:val="clear" w:color="auto" w:fill="D9D9D9"/>
          </w:tcPr>
          <w:p>
            <w:pPr>
              <w:spacing w:after="0"/>
              <w:rPr>
                <w:sz w:val="16"/>
                <w:szCs w:val="16"/>
                <w:color w:val="auto"/>
              </w:rPr>
            </w:pPr>
          </w:p>
        </w:tc>
        <w:tc>
          <w:tcPr>
            <w:tcW w:w="100" w:type="dxa"/>
            <w:vAlign w:val="bottom"/>
            <w:tcBorders>
              <w:top w:val="single" w:sz="8" w:color="D9D9D9"/>
            </w:tcBorders>
            <w:shd w:val="clear" w:color="auto" w:fill="D9D9D9"/>
          </w:tcPr>
          <w:p>
            <w:pPr>
              <w:spacing w:after="0"/>
              <w:rPr>
                <w:sz w:val="16"/>
                <w:szCs w:val="16"/>
                <w:color w:val="auto"/>
              </w:rPr>
            </w:pPr>
          </w:p>
        </w:tc>
        <w:tc>
          <w:tcPr>
            <w:tcW w:w="960" w:type="dxa"/>
            <w:vAlign w:val="bottom"/>
            <w:tcBorders>
              <w:top w:val="single" w:sz="8" w:color="05445E"/>
            </w:tcBorders>
            <w:shd w:val="clear" w:color="auto" w:fill="D9D9D9"/>
          </w:tcPr>
          <w:p>
            <w:pPr>
              <w:spacing w:after="0"/>
              <w:rPr>
                <w:sz w:val="16"/>
                <w:szCs w:val="16"/>
                <w:color w:val="auto"/>
              </w:rPr>
            </w:pPr>
          </w:p>
        </w:tc>
        <w:tc>
          <w:tcPr>
            <w:tcW w:w="80" w:type="dxa"/>
            <w:vAlign w:val="bottom"/>
            <w:tcBorders>
              <w:top w:val="single" w:sz="8" w:color="D9D9D9"/>
            </w:tcBorders>
            <w:shd w:val="clear" w:color="auto" w:fill="D9D9D9"/>
          </w:tcPr>
          <w:p>
            <w:pPr>
              <w:spacing w:after="0"/>
              <w:rPr>
                <w:sz w:val="16"/>
                <w:szCs w:val="16"/>
                <w:color w:val="auto"/>
              </w:rPr>
            </w:pPr>
          </w:p>
        </w:tc>
        <w:tc>
          <w:tcPr>
            <w:tcW w:w="1000" w:type="dxa"/>
            <w:vAlign w:val="bottom"/>
            <w:tcBorders>
              <w:top w:val="single" w:sz="8" w:color="05445E"/>
            </w:tcBorders>
            <w:shd w:val="clear" w:color="auto" w:fill="D9D9D9"/>
          </w:tcPr>
          <w:p>
            <w:pPr>
              <w:spacing w:after="0"/>
              <w:rPr>
                <w:sz w:val="16"/>
                <w:szCs w:val="16"/>
                <w:color w:val="auto"/>
              </w:rPr>
            </w:pPr>
          </w:p>
        </w:tc>
        <w:tc>
          <w:tcPr>
            <w:tcW w:w="100" w:type="dxa"/>
            <w:vAlign w:val="bottom"/>
            <w:tcBorders>
              <w:top w:val="single" w:sz="8" w:color="D9D9D9"/>
            </w:tcBorders>
            <w:shd w:val="clear" w:color="auto" w:fill="D9D9D9"/>
          </w:tcPr>
          <w:p>
            <w:pPr>
              <w:spacing w:after="0"/>
              <w:rPr>
                <w:sz w:val="16"/>
                <w:szCs w:val="16"/>
                <w:color w:val="auto"/>
              </w:rPr>
            </w:pPr>
          </w:p>
        </w:tc>
        <w:tc>
          <w:tcPr>
            <w:tcW w:w="880" w:type="dxa"/>
            <w:vAlign w:val="bottom"/>
            <w:tcBorders>
              <w:top w:val="single" w:sz="8" w:color="05445E"/>
            </w:tcBorders>
            <w:shd w:val="clear" w:color="auto" w:fill="D9D9D9"/>
          </w:tcPr>
          <w:p>
            <w:pPr>
              <w:spacing w:after="0"/>
              <w:rPr>
                <w:sz w:val="16"/>
                <w:szCs w:val="16"/>
                <w:color w:val="auto"/>
              </w:rPr>
            </w:pPr>
          </w:p>
        </w:tc>
        <w:tc>
          <w:tcPr>
            <w:tcW w:w="100" w:type="dxa"/>
            <w:vAlign w:val="bottom"/>
            <w:tcBorders>
              <w:top w:val="single" w:sz="8" w:color="D9D9D9"/>
            </w:tcBorders>
            <w:shd w:val="clear" w:color="auto" w:fill="D9D9D9"/>
          </w:tcPr>
          <w:p>
            <w:pPr>
              <w:spacing w:after="0"/>
              <w:rPr>
                <w:sz w:val="16"/>
                <w:szCs w:val="16"/>
                <w:color w:val="auto"/>
              </w:rPr>
            </w:pPr>
          </w:p>
        </w:tc>
        <w:tc>
          <w:tcPr>
            <w:tcW w:w="960" w:type="dxa"/>
            <w:vAlign w:val="bottom"/>
            <w:tcBorders>
              <w:top w:val="single" w:sz="8" w:color="05445E"/>
            </w:tcBorders>
            <w:shd w:val="clear" w:color="auto" w:fill="D9D9D9"/>
          </w:tcPr>
          <w:p>
            <w:pPr>
              <w:spacing w:after="0"/>
              <w:rPr>
                <w:sz w:val="16"/>
                <w:szCs w:val="16"/>
                <w:color w:val="auto"/>
              </w:rPr>
            </w:pPr>
          </w:p>
        </w:tc>
        <w:tc>
          <w:tcPr>
            <w:tcW w:w="80" w:type="dxa"/>
            <w:vAlign w:val="bottom"/>
            <w:tcBorders>
              <w:top w:val="single" w:sz="8" w:color="D9D9D9"/>
            </w:tcBorders>
            <w:shd w:val="clear" w:color="auto" w:fill="D9D9D9"/>
          </w:tcPr>
          <w:p>
            <w:pPr>
              <w:spacing w:after="0"/>
              <w:rPr>
                <w:sz w:val="16"/>
                <w:szCs w:val="16"/>
                <w:color w:val="auto"/>
              </w:rPr>
            </w:pPr>
          </w:p>
        </w:tc>
        <w:tc>
          <w:tcPr>
            <w:tcW w:w="940" w:type="dxa"/>
            <w:vAlign w:val="bottom"/>
            <w:tcBorders>
              <w:top w:val="single" w:sz="8" w:color="05445E"/>
            </w:tcBorders>
            <w:shd w:val="clear" w:color="auto" w:fill="D9D9D9"/>
          </w:tcPr>
          <w:p>
            <w:pPr>
              <w:spacing w:after="0"/>
              <w:rPr>
                <w:sz w:val="16"/>
                <w:szCs w:val="16"/>
                <w:color w:val="auto"/>
              </w:rPr>
            </w:pPr>
          </w:p>
        </w:tc>
        <w:tc>
          <w:tcPr>
            <w:tcW w:w="100" w:type="dxa"/>
            <w:vAlign w:val="bottom"/>
            <w:tcBorders>
              <w:top w:val="single" w:sz="8" w:color="D9D9D9"/>
            </w:tcBorders>
            <w:shd w:val="clear" w:color="auto" w:fill="D9D9D9"/>
          </w:tcPr>
          <w:p>
            <w:pPr>
              <w:spacing w:after="0"/>
              <w:rPr>
                <w:sz w:val="16"/>
                <w:szCs w:val="16"/>
                <w:color w:val="auto"/>
              </w:rPr>
            </w:pPr>
          </w:p>
        </w:tc>
        <w:tc>
          <w:tcPr>
            <w:tcW w:w="1020" w:type="dxa"/>
            <w:vAlign w:val="bottom"/>
            <w:tcBorders>
              <w:top w:val="single" w:sz="8" w:color="05445E"/>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00" w:type="dxa"/>
            <w:vAlign w:val="bottom"/>
            <w:shd w:val="clear" w:color="auto" w:fill="D9D9D9"/>
          </w:tcPr>
          <w:p>
            <w:pPr>
              <w:ind w:left="100"/>
              <w:spacing w:after="0"/>
              <w:rPr>
                <w:sz w:val="20"/>
                <w:szCs w:val="20"/>
                <w:color w:val="auto"/>
              </w:rPr>
            </w:pPr>
            <w:r>
              <w:rPr>
                <w:rFonts w:ascii="Arial" w:cs="Arial" w:eastAsia="Arial" w:hAnsi="Arial"/>
                <w:sz w:val="14"/>
                <w:szCs w:val="14"/>
                <w:b w:val="1"/>
                <w:bCs w:val="1"/>
                <w:color w:val="auto"/>
              </w:rPr>
              <w:t>Silberhorn</w:t>
            </w:r>
          </w:p>
        </w:tc>
        <w:tc>
          <w:tcPr>
            <w:tcW w:w="100" w:type="dxa"/>
            <w:vAlign w:val="bottom"/>
            <w:shd w:val="clear" w:color="auto" w:fill="D9D9D9"/>
          </w:tcPr>
          <w:p>
            <w:pPr>
              <w:spacing w:after="0"/>
              <w:rPr>
                <w:sz w:val="17"/>
                <w:szCs w:val="17"/>
                <w:color w:val="auto"/>
              </w:rPr>
            </w:pPr>
          </w:p>
        </w:tc>
        <w:tc>
          <w:tcPr>
            <w:tcW w:w="106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9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9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9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94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02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shd w:val="clear" w:color="auto" w:fill="D9D9D9"/>
          </w:tcPr>
          <w:p>
            <w:pPr>
              <w:ind w:left="100"/>
              <w:spacing w:after="0"/>
              <w:rPr>
                <w:sz w:val="20"/>
                <w:szCs w:val="20"/>
                <w:color w:val="auto"/>
              </w:rPr>
            </w:pPr>
            <w:r>
              <w:rPr>
                <w:rFonts w:ascii="Arial" w:cs="Arial" w:eastAsia="Arial" w:hAnsi="Arial"/>
                <w:sz w:val="14"/>
                <w:szCs w:val="14"/>
                <w:color w:val="auto"/>
              </w:rPr>
              <w:t>Fiscal 2025 annual cash</w:t>
            </w:r>
          </w:p>
        </w:tc>
        <w:tc>
          <w:tcPr>
            <w:tcW w:w="100" w:type="dxa"/>
            <w:vAlign w:val="bottom"/>
            <w:shd w:val="clear" w:color="auto" w:fill="D9D9D9"/>
          </w:tcPr>
          <w:p>
            <w:pPr>
              <w:spacing w:after="0"/>
              <w:rPr>
                <w:sz w:val="18"/>
                <w:szCs w:val="18"/>
                <w:color w:val="auto"/>
              </w:rPr>
            </w:pPr>
          </w:p>
        </w:tc>
        <w:tc>
          <w:tcPr>
            <w:tcW w:w="106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5/1/2024</w:t>
            </w:r>
          </w:p>
        </w:tc>
        <w:tc>
          <w:tcPr>
            <w:tcW w:w="1080" w:type="dxa"/>
            <w:vAlign w:val="bottom"/>
            <w:gridSpan w:val="2"/>
            <w:shd w:val="clear" w:color="auto" w:fill="D9D9D9"/>
          </w:tcPr>
          <w:p>
            <w:pPr>
              <w:jc w:val="center"/>
              <w:ind w:left="28"/>
              <w:spacing w:after="0"/>
              <w:rPr>
                <w:sz w:val="20"/>
                <w:szCs w:val="20"/>
                <w:color w:val="auto"/>
              </w:rPr>
            </w:pPr>
            <w:r>
              <w:rPr>
                <w:rFonts w:ascii="Arial" w:cs="Arial" w:eastAsia="Arial" w:hAnsi="Arial"/>
                <w:sz w:val="14"/>
                <w:szCs w:val="14"/>
                <w:color w:val="auto"/>
                <w:w w:val="98"/>
              </w:rPr>
              <w:t>116,500</w:t>
            </w:r>
          </w:p>
        </w:tc>
        <w:tc>
          <w:tcPr>
            <w:tcW w:w="100" w:type="dxa"/>
            <w:vAlign w:val="bottom"/>
            <w:shd w:val="clear" w:color="auto" w:fill="D9D9D9"/>
          </w:tcPr>
          <w:p>
            <w:pPr>
              <w:spacing w:after="0"/>
              <w:rPr>
                <w:sz w:val="18"/>
                <w:szCs w:val="18"/>
                <w:color w:val="auto"/>
              </w:rPr>
            </w:pPr>
          </w:p>
        </w:tc>
        <w:tc>
          <w:tcPr>
            <w:tcW w:w="8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932,000</w:t>
            </w:r>
          </w:p>
        </w:tc>
        <w:tc>
          <w:tcPr>
            <w:tcW w:w="100" w:type="dxa"/>
            <w:vAlign w:val="bottom"/>
            <w:shd w:val="clear" w:color="auto" w:fill="D9D9D9"/>
          </w:tcPr>
          <w:p>
            <w:pPr>
              <w:spacing w:after="0"/>
              <w:rPr>
                <w:sz w:val="18"/>
                <w:szCs w:val="18"/>
                <w:color w:val="auto"/>
              </w:rPr>
            </w:pPr>
          </w:p>
        </w:tc>
        <w:tc>
          <w:tcPr>
            <w:tcW w:w="9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1,864,000</w:t>
            </w:r>
          </w:p>
        </w:tc>
        <w:tc>
          <w:tcPr>
            <w:tcW w:w="80" w:type="dxa"/>
            <w:vAlign w:val="bottom"/>
            <w:shd w:val="clear" w:color="auto" w:fill="D9D9D9"/>
          </w:tcPr>
          <w:p>
            <w:pPr>
              <w:spacing w:after="0"/>
              <w:rPr>
                <w:sz w:val="18"/>
                <w:szCs w:val="18"/>
                <w:color w:val="auto"/>
              </w:rPr>
            </w:pPr>
          </w:p>
        </w:tc>
        <w:tc>
          <w:tcPr>
            <w:tcW w:w="1100" w:type="dxa"/>
            <w:vAlign w:val="bottom"/>
            <w:gridSpan w:val="2"/>
            <w:shd w:val="clear" w:color="auto" w:fill="D9D9D9"/>
          </w:tcPr>
          <w:p>
            <w:pPr>
              <w:jc w:val="center"/>
              <w:ind w:right="80"/>
              <w:spacing w:after="0"/>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D9D9D9"/>
          </w:tcPr>
          <w:p>
            <w:pPr>
              <w:jc w:val="center"/>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D9D9D9"/>
          </w:tcPr>
          <w:p>
            <w:pPr>
              <w:spacing w:after="0"/>
              <w:rPr>
                <w:sz w:val="18"/>
                <w:szCs w:val="18"/>
                <w:color w:val="auto"/>
              </w:rPr>
            </w:pPr>
          </w:p>
        </w:tc>
        <w:tc>
          <w:tcPr>
            <w:tcW w:w="1040" w:type="dxa"/>
            <w:vAlign w:val="bottom"/>
            <w:gridSpan w:val="2"/>
            <w:shd w:val="clear" w:color="auto" w:fill="D9D9D9"/>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1700" w:type="dxa"/>
            <w:vAlign w:val="bottom"/>
            <w:shd w:val="clear" w:color="auto" w:fill="D9D9D9"/>
          </w:tcPr>
          <w:p>
            <w:pPr>
              <w:ind w:left="100"/>
              <w:spacing w:after="0"/>
              <w:rPr>
                <w:sz w:val="20"/>
                <w:szCs w:val="20"/>
                <w:color w:val="auto"/>
              </w:rPr>
            </w:pPr>
            <w:r>
              <w:rPr>
                <w:rFonts w:ascii="Arial" w:cs="Arial" w:eastAsia="Arial" w:hAnsi="Arial"/>
                <w:sz w:val="14"/>
                <w:szCs w:val="14"/>
                <w:color w:val="auto"/>
              </w:rPr>
              <w:t>incentive</w:t>
            </w:r>
          </w:p>
        </w:tc>
        <w:tc>
          <w:tcPr>
            <w:tcW w:w="100" w:type="dxa"/>
            <w:vAlign w:val="bottom"/>
            <w:shd w:val="clear" w:color="auto" w:fill="D9D9D9"/>
          </w:tcPr>
          <w:p>
            <w:pPr>
              <w:spacing w:after="0"/>
              <w:rPr>
                <w:sz w:val="16"/>
                <w:szCs w:val="16"/>
                <w:color w:val="auto"/>
              </w:rPr>
            </w:pPr>
          </w:p>
        </w:tc>
        <w:tc>
          <w:tcPr>
            <w:tcW w:w="106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98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88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96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100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88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96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94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02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700" w:type="dxa"/>
            <w:vAlign w:val="bottom"/>
            <w:tcBorders>
              <w:bottom w:val="single" w:sz="8" w:color="D9D9D9"/>
            </w:tcBorders>
            <w:shd w:val="clear" w:color="auto" w:fill="D9D9D9"/>
          </w:tcPr>
          <w:p>
            <w:pPr>
              <w:ind w:left="100"/>
              <w:spacing w:after="0"/>
              <w:rPr>
                <w:sz w:val="20"/>
                <w:szCs w:val="20"/>
                <w:color w:val="auto"/>
              </w:rPr>
            </w:pPr>
            <w:r>
              <w:rPr>
                <w:rFonts w:ascii="Arial" w:cs="Arial" w:eastAsia="Arial" w:hAnsi="Arial"/>
                <w:sz w:val="14"/>
                <w:szCs w:val="14"/>
                <w:color w:val="auto"/>
              </w:rPr>
              <w:t>Restricted stock</w:t>
            </w:r>
          </w:p>
        </w:tc>
        <w:tc>
          <w:tcPr>
            <w:tcW w:w="100" w:type="dxa"/>
            <w:vAlign w:val="bottom"/>
            <w:tcBorders>
              <w:bottom w:val="single" w:sz="8" w:color="D9D9D9"/>
            </w:tcBorders>
            <w:shd w:val="clear" w:color="auto" w:fill="D9D9D9"/>
          </w:tcPr>
          <w:p>
            <w:pPr>
              <w:spacing w:after="0"/>
              <w:rPr>
                <w:sz w:val="20"/>
                <w:szCs w:val="20"/>
                <w:color w:val="auto"/>
              </w:rPr>
            </w:pPr>
          </w:p>
        </w:tc>
        <w:tc>
          <w:tcPr>
            <w:tcW w:w="1060" w:type="dxa"/>
            <w:vAlign w:val="bottom"/>
            <w:tcBorders>
              <w:bottom w:val="single" w:sz="8" w:color="D9D9D9"/>
            </w:tcBorders>
            <w:shd w:val="clear" w:color="auto" w:fill="D9D9D9"/>
          </w:tcPr>
          <w:p>
            <w:pPr>
              <w:jc w:val="right"/>
              <w:ind w:right="48"/>
              <w:spacing w:after="0"/>
              <w:rPr>
                <w:sz w:val="20"/>
                <w:szCs w:val="20"/>
                <w:color w:val="auto"/>
              </w:rPr>
            </w:pPr>
            <w:r>
              <w:rPr>
                <w:rFonts w:ascii="Arial" w:cs="Arial" w:eastAsia="Arial" w:hAnsi="Arial"/>
                <w:sz w:val="14"/>
                <w:szCs w:val="14"/>
                <w:color w:val="auto"/>
              </w:rPr>
              <w:t>5/1/2024</w:t>
            </w:r>
          </w:p>
        </w:tc>
        <w:tc>
          <w:tcPr>
            <w:tcW w:w="100" w:type="dxa"/>
            <w:vAlign w:val="bottom"/>
            <w:tcBorders>
              <w:bottom w:val="single" w:sz="8" w:color="D9D9D9"/>
            </w:tcBorders>
            <w:shd w:val="clear" w:color="auto" w:fill="D9D9D9"/>
          </w:tcPr>
          <w:p>
            <w:pPr>
              <w:spacing w:after="0"/>
              <w:rPr>
                <w:sz w:val="20"/>
                <w:szCs w:val="20"/>
                <w:color w:val="auto"/>
              </w:rPr>
            </w:pPr>
          </w:p>
        </w:tc>
        <w:tc>
          <w:tcPr>
            <w:tcW w:w="1080" w:type="dxa"/>
            <w:vAlign w:val="bottom"/>
            <w:tcBorders>
              <w:bottom w:val="single" w:sz="8" w:color="D9D9D9"/>
            </w:tcBorders>
            <w:gridSpan w:val="2"/>
            <w:shd w:val="clear" w:color="auto" w:fill="D9D9D9"/>
          </w:tcPr>
          <w:p>
            <w:pPr>
              <w:jc w:val="right"/>
              <w:ind w:right="5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9D9D9"/>
            </w:tcBorders>
            <w:gridSpan w:val="2"/>
            <w:shd w:val="clear" w:color="auto" w:fill="D9D9D9"/>
          </w:tcPr>
          <w:p>
            <w:pPr>
              <w:jc w:val="center"/>
              <w:ind w:right="80"/>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D9D9D9"/>
            </w:tcBorders>
            <w:gridSpan w:val="2"/>
            <w:shd w:val="clear" w:color="auto" w:fill="D9D9D9"/>
          </w:tcPr>
          <w:p>
            <w:pPr>
              <w:jc w:val="center"/>
              <w:ind w:right="100"/>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D9D9D9"/>
            </w:tcBorders>
            <w:gridSpan w:val="2"/>
            <w:shd w:val="clear" w:color="auto" w:fill="D9D9D9"/>
          </w:tcPr>
          <w:p>
            <w:pPr>
              <w:jc w:val="center"/>
              <w:ind w:right="80"/>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D9D9D9"/>
            </w:tcBorders>
            <w:gridSpan w:val="2"/>
            <w:shd w:val="clear" w:color="auto" w:fill="D9D9D9"/>
          </w:tcPr>
          <w:p>
            <w:pPr>
              <w:jc w:val="center"/>
              <w:ind w:right="1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D9D9D9"/>
            </w:tcBorders>
            <w:gridSpan w:val="2"/>
            <w:shd w:val="clear" w:color="auto" w:fill="D9D9D9"/>
          </w:tcPr>
          <w:p>
            <w:pPr>
              <w:jc w:val="right"/>
              <w:ind w:right="408"/>
              <w:spacing w:after="0"/>
              <w:rPr>
                <w:sz w:val="20"/>
                <w:szCs w:val="20"/>
                <w:color w:val="auto"/>
              </w:rPr>
            </w:pPr>
            <w:r>
              <w:rPr>
                <w:rFonts w:ascii="Arial" w:cs="Arial" w:eastAsia="Arial" w:hAnsi="Arial"/>
                <w:sz w:val="14"/>
                <w:szCs w:val="14"/>
                <w:color w:val="auto"/>
              </w:rPr>
              <w:t>19,376</w:t>
            </w:r>
          </w:p>
        </w:tc>
        <w:tc>
          <w:tcPr>
            <w:tcW w:w="100" w:type="dxa"/>
            <w:vAlign w:val="bottom"/>
            <w:tcBorders>
              <w:bottom w:val="single" w:sz="8" w:color="D9D9D9"/>
            </w:tcBorders>
            <w:shd w:val="clear" w:color="auto" w:fill="D9D9D9"/>
          </w:tcPr>
          <w:p>
            <w:pPr>
              <w:spacing w:after="0"/>
              <w:rPr>
                <w:sz w:val="20"/>
                <w:szCs w:val="20"/>
                <w:color w:val="auto"/>
              </w:rPr>
            </w:pPr>
          </w:p>
        </w:tc>
        <w:tc>
          <w:tcPr>
            <w:tcW w:w="1020" w:type="dxa"/>
            <w:vAlign w:val="bottom"/>
            <w:tcBorders>
              <w:bottom w:val="single" w:sz="8" w:color="D9D9D9"/>
            </w:tcBorders>
            <w:shd w:val="clear" w:color="auto" w:fill="D9D9D9"/>
          </w:tcPr>
          <w:p>
            <w:pPr>
              <w:jc w:val="right"/>
              <w:ind w:right="208"/>
              <w:spacing w:after="0"/>
              <w:rPr>
                <w:sz w:val="20"/>
                <w:szCs w:val="20"/>
                <w:color w:val="auto"/>
              </w:rPr>
            </w:pPr>
            <w:r>
              <w:rPr>
                <w:rFonts w:ascii="Arial" w:cs="Arial" w:eastAsia="Arial" w:hAnsi="Arial"/>
                <w:sz w:val="14"/>
                <w:szCs w:val="14"/>
                <w:color w:val="auto"/>
              </w:rPr>
              <w:t>1,211,581</w:t>
            </w:r>
          </w:p>
        </w:tc>
        <w:tc>
          <w:tcPr>
            <w:tcW w:w="0" w:type="dxa"/>
            <w:vAlign w:val="bottom"/>
          </w:tcPr>
          <w:p>
            <w:pPr>
              <w:spacing w:after="0"/>
              <w:rPr>
                <w:sz w:val="1"/>
                <w:szCs w:val="1"/>
                <w:color w:val="auto"/>
              </w:rPr>
            </w:pPr>
          </w:p>
        </w:tc>
      </w:tr>
      <w:tr>
        <w:trPr>
          <w:trHeight w:val="193"/>
        </w:trPr>
        <w:tc>
          <w:tcPr>
            <w:tcW w:w="1700" w:type="dxa"/>
            <w:vAlign w:val="bottom"/>
            <w:shd w:val="clear" w:color="auto" w:fill="D9D9D9"/>
          </w:tcPr>
          <w:p>
            <w:pPr>
              <w:ind w:left="100"/>
              <w:spacing w:after="0"/>
              <w:rPr>
                <w:sz w:val="20"/>
                <w:szCs w:val="20"/>
                <w:color w:val="auto"/>
              </w:rPr>
            </w:pPr>
            <w:r>
              <w:rPr>
                <w:rFonts w:ascii="Arial" w:cs="Arial" w:eastAsia="Arial" w:hAnsi="Arial"/>
                <w:sz w:val="14"/>
                <w:szCs w:val="14"/>
                <w:color w:val="auto"/>
              </w:rPr>
              <w:t>Fiscal</w:t>
            </w:r>
          </w:p>
        </w:tc>
        <w:tc>
          <w:tcPr>
            <w:tcW w:w="100" w:type="dxa"/>
            <w:vAlign w:val="bottom"/>
            <w:shd w:val="clear" w:color="auto" w:fill="D9D9D9"/>
          </w:tcPr>
          <w:p>
            <w:pPr>
              <w:spacing w:after="0"/>
              <w:rPr>
                <w:sz w:val="16"/>
                <w:szCs w:val="16"/>
                <w:color w:val="auto"/>
              </w:rPr>
            </w:pPr>
          </w:p>
        </w:tc>
        <w:tc>
          <w:tcPr>
            <w:tcW w:w="106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5/1/2024</w:t>
            </w:r>
          </w:p>
        </w:tc>
        <w:tc>
          <w:tcPr>
            <w:tcW w:w="1080" w:type="dxa"/>
            <w:vAlign w:val="bottom"/>
            <w:gridSpan w:val="2"/>
            <w:shd w:val="clear" w:color="auto" w:fill="D9D9D9"/>
          </w:tcPr>
          <w:p>
            <w:pPr>
              <w:jc w:val="center"/>
              <w:ind w:left="48"/>
              <w:spacing w:after="0"/>
              <w:rPr>
                <w:sz w:val="20"/>
                <w:szCs w:val="20"/>
                <w:color w:val="auto"/>
              </w:rPr>
            </w:pPr>
            <w:r>
              <w:rPr>
                <w:rFonts w:ascii="Arial" w:cs="Arial" w:eastAsia="Arial" w:hAnsi="Arial"/>
                <w:sz w:val="14"/>
                <w:szCs w:val="14"/>
                <w:color w:val="auto"/>
              </w:rPr>
              <w:t>454,350</w:t>
            </w:r>
          </w:p>
        </w:tc>
        <w:tc>
          <w:tcPr>
            <w:tcW w:w="100" w:type="dxa"/>
            <w:vAlign w:val="bottom"/>
            <w:shd w:val="clear" w:color="auto" w:fill="D9D9D9"/>
          </w:tcPr>
          <w:p>
            <w:pPr>
              <w:spacing w:after="0"/>
              <w:rPr>
                <w:sz w:val="16"/>
                <w:szCs w:val="16"/>
                <w:color w:val="auto"/>
              </w:rPr>
            </w:pPr>
          </w:p>
        </w:tc>
        <w:tc>
          <w:tcPr>
            <w:tcW w:w="8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908,700</w:t>
            </w:r>
          </w:p>
        </w:tc>
        <w:tc>
          <w:tcPr>
            <w:tcW w:w="100" w:type="dxa"/>
            <w:vAlign w:val="bottom"/>
            <w:shd w:val="clear" w:color="auto" w:fill="D9D9D9"/>
          </w:tcPr>
          <w:p>
            <w:pPr>
              <w:spacing w:after="0"/>
              <w:rPr>
                <w:sz w:val="16"/>
                <w:szCs w:val="16"/>
                <w:color w:val="auto"/>
              </w:rPr>
            </w:pPr>
          </w:p>
        </w:tc>
        <w:tc>
          <w:tcPr>
            <w:tcW w:w="9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1,817,400</w:t>
            </w:r>
          </w:p>
        </w:tc>
        <w:tc>
          <w:tcPr>
            <w:tcW w:w="80" w:type="dxa"/>
            <w:vAlign w:val="bottom"/>
            <w:shd w:val="clear" w:color="auto" w:fill="D9D9D9"/>
          </w:tcPr>
          <w:p>
            <w:pPr>
              <w:spacing w:after="0"/>
              <w:rPr>
                <w:sz w:val="16"/>
                <w:szCs w:val="16"/>
                <w:color w:val="auto"/>
              </w:rPr>
            </w:pPr>
          </w:p>
        </w:tc>
        <w:tc>
          <w:tcPr>
            <w:tcW w:w="10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7,266</w:t>
            </w:r>
          </w:p>
        </w:tc>
        <w:tc>
          <w:tcPr>
            <w:tcW w:w="100" w:type="dxa"/>
            <w:vAlign w:val="bottom"/>
            <w:shd w:val="clear" w:color="auto" w:fill="D9D9D9"/>
          </w:tcPr>
          <w:p>
            <w:pPr>
              <w:spacing w:after="0"/>
              <w:rPr>
                <w:sz w:val="16"/>
                <w:szCs w:val="16"/>
                <w:color w:val="auto"/>
              </w:rPr>
            </w:pPr>
          </w:p>
        </w:tc>
        <w:tc>
          <w:tcPr>
            <w:tcW w:w="8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14,532</w:t>
            </w:r>
          </w:p>
        </w:tc>
        <w:tc>
          <w:tcPr>
            <w:tcW w:w="100" w:type="dxa"/>
            <w:vAlign w:val="bottom"/>
            <w:shd w:val="clear" w:color="auto" w:fill="D9D9D9"/>
          </w:tcPr>
          <w:p>
            <w:pPr>
              <w:spacing w:after="0"/>
              <w:rPr>
                <w:sz w:val="16"/>
                <w:szCs w:val="16"/>
                <w:color w:val="auto"/>
              </w:rPr>
            </w:pPr>
          </w:p>
        </w:tc>
        <w:tc>
          <w:tcPr>
            <w:tcW w:w="9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29,064</w:t>
            </w:r>
          </w:p>
        </w:tc>
        <w:tc>
          <w:tcPr>
            <w:tcW w:w="80" w:type="dxa"/>
            <w:vAlign w:val="bottom"/>
            <w:shd w:val="clear" w:color="auto" w:fill="D9D9D9"/>
          </w:tcPr>
          <w:p>
            <w:pPr>
              <w:spacing w:after="0"/>
              <w:rPr>
                <w:sz w:val="16"/>
                <w:szCs w:val="16"/>
                <w:color w:val="auto"/>
              </w:rPr>
            </w:pPr>
          </w:p>
        </w:tc>
        <w:tc>
          <w:tcPr>
            <w:tcW w:w="1040" w:type="dxa"/>
            <w:vAlign w:val="bottom"/>
            <w:gridSpan w:val="2"/>
            <w:shd w:val="clear" w:color="auto" w:fill="D9D9D9"/>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908,686</w:t>
            </w:r>
          </w:p>
        </w:tc>
        <w:tc>
          <w:tcPr>
            <w:tcW w:w="0" w:type="dxa"/>
            <w:vAlign w:val="bottom"/>
          </w:tcPr>
          <w:p>
            <w:pPr>
              <w:spacing w:after="0"/>
              <w:rPr>
                <w:sz w:val="1"/>
                <w:szCs w:val="1"/>
                <w:color w:val="auto"/>
              </w:rPr>
            </w:pPr>
          </w:p>
        </w:tc>
      </w:tr>
      <w:tr>
        <w:trPr>
          <w:trHeight w:val="175"/>
        </w:trPr>
        <w:tc>
          <w:tcPr>
            <w:tcW w:w="1700" w:type="dxa"/>
            <w:vAlign w:val="bottom"/>
            <w:shd w:val="clear" w:color="auto" w:fill="D9D9D9"/>
          </w:tcPr>
          <w:p>
            <w:pPr>
              <w:ind w:left="100"/>
              <w:spacing w:after="0"/>
              <w:rPr>
                <w:sz w:val="20"/>
                <w:szCs w:val="20"/>
                <w:color w:val="auto"/>
              </w:rPr>
            </w:pPr>
            <w:r>
              <w:rPr>
                <w:rFonts w:ascii="Arial" w:cs="Arial" w:eastAsia="Arial" w:hAnsi="Arial"/>
                <w:sz w:val="14"/>
                <w:szCs w:val="14"/>
                <w:color w:val="auto"/>
              </w:rPr>
              <w:t>2025 - 2027</w:t>
            </w:r>
          </w:p>
        </w:tc>
        <w:tc>
          <w:tcPr>
            <w:tcW w:w="100" w:type="dxa"/>
            <w:vAlign w:val="bottom"/>
            <w:shd w:val="clear" w:color="auto" w:fill="D9D9D9"/>
          </w:tcPr>
          <w:p>
            <w:pPr>
              <w:spacing w:after="0"/>
              <w:rPr>
                <w:sz w:val="15"/>
                <w:szCs w:val="15"/>
                <w:color w:val="auto"/>
              </w:rPr>
            </w:pPr>
          </w:p>
        </w:tc>
        <w:tc>
          <w:tcPr>
            <w:tcW w:w="106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9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96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10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960" w:type="dxa"/>
            <w:vAlign w:val="bottom"/>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94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D9D9D9"/>
          </w:tcPr>
          <w:p>
            <w:pPr>
              <w:ind w:left="100"/>
              <w:spacing w:after="0"/>
              <w:rPr>
                <w:sz w:val="20"/>
                <w:szCs w:val="20"/>
                <w:color w:val="auto"/>
              </w:rPr>
            </w:pPr>
            <w:r>
              <w:rPr>
                <w:rFonts w:ascii="Arial" w:cs="Arial" w:eastAsia="Arial" w:hAnsi="Arial"/>
                <w:sz w:val="14"/>
                <w:szCs w:val="14"/>
                <w:color w:val="auto"/>
              </w:rPr>
              <w:t>performance award</w:t>
            </w:r>
          </w:p>
        </w:tc>
        <w:tc>
          <w:tcPr>
            <w:tcW w:w="100" w:type="dxa"/>
            <w:vAlign w:val="bottom"/>
            <w:shd w:val="clear" w:color="auto" w:fill="D9D9D9"/>
          </w:tcPr>
          <w:p>
            <w:pPr>
              <w:spacing w:after="0"/>
              <w:rPr>
                <w:sz w:val="17"/>
                <w:szCs w:val="17"/>
                <w:color w:val="auto"/>
              </w:rPr>
            </w:pPr>
          </w:p>
        </w:tc>
        <w:tc>
          <w:tcPr>
            <w:tcW w:w="106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9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9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9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94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00" w:type="dxa"/>
            <w:vAlign w:val="bottom"/>
          </w:tcPr>
          <w:p>
            <w:pPr>
              <w:ind w:left="100"/>
              <w:spacing w:after="0"/>
              <w:rPr>
                <w:sz w:val="20"/>
                <w:szCs w:val="20"/>
                <w:color w:val="auto"/>
              </w:rPr>
            </w:pPr>
            <w:r>
              <w:rPr>
                <w:rFonts w:ascii="Arial" w:cs="Arial" w:eastAsia="Arial" w:hAnsi="Arial"/>
                <w:sz w:val="14"/>
                <w:szCs w:val="14"/>
                <w:b w:val="1"/>
                <w:bCs w:val="1"/>
                <w:color w:val="auto"/>
              </w:rPr>
              <w:t>Matthew J.</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00" w:type="dxa"/>
            <w:vAlign w:val="bottom"/>
          </w:tcPr>
          <w:p>
            <w:pPr>
              <w:ind w:left="100"/>
              <w:spacing w:after="0"/>
              <w:rPr>
                <w:sz w:val="20"/>
                <w:szCs w:val="20"/>
                <w:color w:val="auto"/>
              </w:rPr>
            </w:pPr>
            <w:r>
              <w:rPr>
                <w:rFonts w:ascii="Arial" w:cs="Arial" w:eastAsia="Arial" w:hAnsi="Arial"/>
                <w:sz w:val="14"/>
                <w:szCs w:val="14"/>
                <w:b w:val="1"/>
                <w:bCs w:val="1"/>
                <w:color w:val="auto"/>
              </w:rPr>
              <w:t>Osberg</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tcPr>
          <w:p>
            <w:pPr>
              <w:ind w:left="100"/>
              <w:spacing w:after="0"/>
              <w:rPr>
                <w:sz w:val="20"/>
                <w:szCs w:val="20"/>
                <w:color w:val="auto"/>
              </w:rPr>
            </w:pPr>
            <w:r>
              <w:rPr>
                <w:rFonts w:ascii="Arial" w:cs="Arial" w:eastAsia="Arial" w:hAnsi="Arial"/>
                <w:sz w:val="14"/>
                <w:szCs w:val="14"/>
                <w:color w:val="auto"/>
              </w:rPr>
              <w:t>Fiscal 2025 annual cash</w:t>
            </w:r>
          </w:p>
        </w:tc>
        <w:tc>
          <w:tcPr>
            <w:tcW w:w="1160" w:type="dxa"/>
            <w:vAlign w:val="bottom"/>
            <w:gridSpan w:val="2"/>
          </w:tcPr>
          <w:p>
            <w:pPr>
              <w:jc w:val="right"/>
              <w:ind w:right="48"/>
              <w:spacing w:after="0"/>
              <w:rPr>
                <w:sz w:val="20"/>
                <w:szCs w:val="20"/>
                <w:color w:val="auto"/>
              </w:rPr>
            </w:pPr>
            <w:r>
              <w:rPr>
                <w:rFonts w:ascii="Arial" w:cs="Arial" w:eastAsia="Arial" w:hAnsi="Arial"/>
                <w:sz w:val="14"/>
                <w:szCs w:val="14"/>
                <w:color w:val="auto"/>
              </w:rPr>
              <w:t>5/1/2024</w:t>
            </w:r>
          </w:p>
        </w:tc>
        <w:tc>
          <w:tcPr>
            <w:tcW w:w="1080" w:type="dxa"/>
            <w:vAlign w:val="bottom"/>
            <w:gridSpan w:val="2"/>
          </w:tcPr>
          <w:p>
            <w:pPr>
              <w:jc w:val="right"/>
              <w:ind w:right="348"/>
              <w:spacing w:after="0"/>
              <w:rPr>
                <w:sz w:val="20"/>
                <w:szCs w:val="20"/>
                <w:color w:val="auto"/>
              </w:rPr>
            </w:pPr>
            <w:r>
              <w:rPr>
                <w:rFonts w:ascii="Arial" w:cs="Arial" w:eastAsia="Arial" w:hAnsi="Arial"/>
                <w:sz w:val="14"/>
                <w:szCs w:val="14"/>
                <w:color w:val="auto"/>
              </w:rPr>
              <w:t>60,563</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484,500</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969,000</w:t>
            </w:r>
          </w:p>
        </w:tc>
        <w:tc>
          <w:tcPr>
            <w:tcW w:w="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1700" w:type="dxa"/>
            <w:vAlign w:val="bottom"/>
          </w:tcPr>
          <w:p>
            <w:pPr>
              <w:ind w:left="100"/>
              <w:spacing w:after="0"/>
              <w:rPr>
                <w:sz w:val="20"/>
                <w:szCs w:val="20"/>
                <w:color w:val="auto"/>
              </w:rPr>
            </w:pPr>
            <w:r>
              <w:rPr>
                <w:rFonts w:ascii="Arial" w:cs="Arial" w:eastAsia="Arial" w:hAnsi="Arial"/>
                <w:sz w:val="14"/>
                <w:szCs w:val="14"/>
                <w:color w:val="auto"/>
              </w:rPr>
              <w:t>incentive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00"/>
              <w:spacing w:after="0"/>
              <w:rPr>
                <w:sz w:val="20"/>
                <w:szCs w:val="20"/>
                <w:color w:val="auto"/>
              </w:rPr>
            </w:pPr>
            <w:r>
              <w:rPr>
                <w:rFonts w:ascii="Arial" w:cs="Arial" w:eastAsia="Arial" w:hAnsi="Arial"/>
                <w:sz w:val="14"/>
                <w:szCs w:val="14"/>
                <w:color w:val="auto"/>
              </w:rPr>
              <w:t>Restricted stock</w:t>
            </w:r>
          </w:p>
        </w:tc>
        <w:tc>
          <w:tcPr>
            <w:tcW w:w="1160" w:type="dxa"/>
            <w:vAlign w:val="bottom"/>
            <w:gridSpan w:val="2"/>
          </w:tcPr>
          <w:p>
            <w:pPr>
              <w:jc w:val="right"/>
              <w:ind w:right="48"/>
              <w:spacing w:after="0"/>
              <w:rPr>
                <w:sz w:val="20"/>
                <w:szCs w:val="20"/>
                <w:color w:val="auto"/>
              </w:rPr>
            </w:pPr>
            <w:r>
              <w:rPr>
                <w:rFonts w:ascii="Arial" w:cs="Arial" w:eastAsia="Arial" w:hAnsi="Arial"/>
                <w:sz w:val="14"/>
                <w:szCs w:val="14"/>
                <w:color w:val="auto"/>
              </w:rPr>
              <w:t>5/1/2024</w:t>
            </w:r>
          </w:p>
        </w:tc>
        <w:tc>
          <w:tcPr>
            <w:tcW w:w="10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center"/>
              <w:ind w:left="28"/>
              <w:spacing w:after="0"/>
              <w:rPr>
                <w:sz w:val="20"/>
                <w:szCs w:val="20"/>
                <w:color w:val="auto"/>
              </w:rPr>
            </w:pPr>
            <w:r>
              <w:rPr>
                <w:rFonts w:ascii="Arial" w:cs="Arial" w:eastAsia="Arial" w:hAnsi="Arial"/>
                <w:sz w:val="14"/>
                <w:szCs w:val="14"/>
                <w:color w:val="auto"/>
              </w:rPr>
              <w:t>7,748</w:t>
            </w:r>
          </w:p>
        </w:tc>
        <w:tc>
          <w:tcPr>
            <w:tcW w:w="100" w:type="dxa"/>
            <w:vAlign w:val="bottom"/>
          </w:tcPr>
          <w:p>
            <w:pPr>
              <w:spacing w:after="0"/>
              <w:rPr>
                <w:sz w:val="19"/>
                <w:szCs w:val="19"/>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484,483</w:t>
            </w:r>
          </w:p>
        </w:tc>
        <w:tc>
          <w:tcPr>
            <w:tcW w:w="0" w:type="dxa"/>
            <w:vAlign w:val="bottom"/>
          </w:tcPr>
          <w:p>
            <w:pPr>
              <w:spacing w:after="0"/>
              <w:rPr>
                <w:sz w:val="1"/>
                <w:szCs w:val="1"/>
                <w:color w:val="auto"/>
              </w:rPr>
            </w:pPr>
          </w:p>
        </w:tc>
      </w:tr>
      <w:tr>
        <w:trPr>
          <w:trHeight w:val="215"/>
        </w:trPr>
        <w:tc>
          <w:tcPr>
            <w:tcW w:w="1700" w:type="dxa"/>
            <w:vAlign w:val="bottom"/>
          </w:tcPr>
          <w:p>
            <w:pPr>
              <w:ind w:left="100"/>
              <w:spacing w:after="0"/>
              <w:rPr>
                <w:sz w:val="20"/>
                <w:szCs w:val="20"/>
                <w:color w:val="auto"/>
              </w:rPr>
            </w:pPr>
            <w:r>
              <w:rPr>
                <w:rFonts w:ascii="Arial" w:cs="Arial" w:eastAsia="Arial" w:hAnsi="Arial"/>
                <w:sz w:val="14"/>
                <w:szCs w:val="14"/>
                <w:color w:val="auto"/>
              </w:rPr>
              <w:t>Fiscal</w:t>
            </w:r>
          </w:p>
        </w:tc>
        <w:tc>
          <w:tcPr>
            <w:tcW w:w="1160" w:type="dxa"/>
            <w:vAlign w:val="bottom"/>
            <w:gridSpan w:val="2"/>
          </w:tcPr>
          <w:p>
            <w:pPr>
              <w:jc w:val="right"/>
              <w:ind w:right="48"/>
              <w:spacing w:after="0"/>
              <w:rPr>
                <w:sz w:val="20"/>
                <w:szCs w:val="20"/>
                <w:color w:val="auto"/>
              </w:rPr>
            </w:pPr>
            <w:r>
              <w:rPr>
                <w:rFonts w:ascii="Arial" w:cs="Arial" w:eastAsia="Arial" w:hAnsi="Arial"/>
                <w:sz w:val="14"/>
                <w:szCs w:val="14"/>
                <w:color w:val="auto"/>
              </w:rPr>
              <w:t>5/1/2024</w:t>
            </w:r>
          </w:p>
        </w:tc>
        <w:tc>
          <w:tcPr>
            <w:tcW w:w="1080" w:type="dxa"/>
            <w:vAlign w:val="bottom"/>
            <w:gridSpan w:val="2"/>
          </w:tcPr>
          <w:p>
            <w:pPr>
              <w:jc w:val="center"/>
              <w:ind w:left="48"/>
              <w:spacing w:after="0"/>
              <w:rPr>
                <w:sz w:val="20"/>
                <w:szCs w:val="20"/>
                <w:color w:val="auto"/>
              </w:rPr>
            </w:pPr>
            <w:r>
              <w:rPr>
                <w:rFonts w:ascii="Arial" w:cs="Arial" w:eastAsia="Arial" w:hAnsi="Arial"/>
                <w:sz w:val="14"/>
                <w:szCs w:val="14"/>
                <w:color w:val="auto"/>
              </w:rPr>
              <w:t>121,125</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242,250</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484,500</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1,937</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3,874</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7,748</w:t>
            </w: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242,241</w:t>
            </w:r>
          </w:p>
        </w:tc>
        <w:tc>
          <w:tcPr>
            <w:tcW w:w="0" w:type="dxa"/>
            <w:vAlign w:val="bottom"/>
          </w:tcPr>
          <w:p>
            <w:pPr>
              <w:spacing w:after="0"/>
              <w:rPr>
                <w:sz w:val="1"/>
                <w:szCs w:val="1"/>
                <w:color w:val="auto"/>
              </w:rPr>
            </w:pPr>
          </w:p>
        </w:tc>
      </w:tr>
      <w:tr>
        <w:trPr>
          <w:trHeight w:val="176"/>
        </w:trPr>
        <w:tc>
          <w:tcPr>
            <w:tcW w:w="1700" w:type="dxa"/>
            <w:vAlign w:val="bottom"/>
          </w:tcPr>
          <w:p>
            <w:pPr>
              <w:ind w:left="100"/>
              <w:spacing w:after="0"/>
              <w:rPr>
                <w:sz w:val="20"/>
                <w:szCs w:val="20"/>
                <w:color w:val="auto"/>
              </w:rPr>
            </w:pPr>
            <w:r>
              <w:rPr>
                <w:rFonts w:ascii="Arial" w:cs="Arial" w:eastAsia="Arial" w:hAnsi="Arial"/>
                <w:sz w:val="14"/>
                <w:szCs w:val="14"/>
                <w:color w:val="auto"/>
              </w:rPr>
              <w:t>2025 - 2027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00" w:type="dxa"/>
            <w:vAlign w:val="bottom"/>
          </w:tcPr>
          <w:p>
            <w:pPr>
              <w:ind w:left="100"/>
              <w:spacing w:after="0"/>
              <w:rPr>
                <w:sz w:val="20"/>
                <w:szCs w:val="20"/>
                <w:color w:val="auto"/>
              </w:rPr>
            </w:pPr>
            <w:r>
              <w:rPr>
                <w:rFonts w:ascii="Arial" w:cs="Arial" w:eastAsia="Arial" w:hAnsi="Arial"/>
                <w:sz w:val="14"/>
                <w:szCs w:val="14"/>
                <w:color w:val="auto"/>
              </w:rPr>
              <w:t>performance award</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Brent C.</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Jewell</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Fiscal 2025 annual cash</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5/1/2024</w:t>
            </w:r>
          </w:p>
        </w:tc>
        <w:tc>
          <w:tcPr>
            <w:tcW w:w="1080" w:type="dxa"/>
            <w:vAlign w:val="bottom"/>
            <w:gridSpan w:val="2"/>
            <w:shd w:val="clear" w:color="auto" w:fill="DBDBDB"/>
          </w:tcPr>
          <w:p>
            <w:pPr>
              <w:jc w:val="right"/>
              <w:ind w:right="348"/>
              <w:spacing w:after="0"/>
              <w:rPr>
                <w:sz w:val="20"/>
                <w:szCs w:val="20"/>
                <w:color w:val="auto"/>
              </w:rPr>
            </w:pPr>
            <w:r>
              <w:rPr>
                <w:rFonts w:ascii="Arial" w:cs="Arial" w:eastAsia="Arial" w:hAnsi="Arial"/>
                <w:sz w:val="14"/>
                <w:szCs w:val="14"/>
                <w:color w:val="auto"/>
              </w:rPr>
              <w:t>34,125</w:t>
            </w:r>
          </w:p>
        </w:tc>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273,000</w:t>
            </w:r>
          </w:p>
        </w:tc>
        <w:tc>
          <w:tcPr>
            <w:tcW w:w="100" w:type="dxa"/>
            <w:vAlign w:val="bottom"/>
            <w:shd w:val="clear" w:color="auto" w:fill="DBDBDB"/>
          </w:tcPr>
          <w:p>
            <w:pPr>
              <w:spacing w:after="0"/>
              <w:rPr>
                <w:sz w:val="18"/>
                <w:szCs w:val="18"/>
                <w:color w:val="auto"/>
              </w:rPr>
            </w:pP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546,000</w:t>
            </w:r>
          </w:p>
        </w:tc>
        <w:tc>
          <w:tcPr>
            <w:tcW w:w="8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DBDBDB"/>
          </w:tcPr>
          <w:p>
            <w:pPr>
              <w:spacing w:after="0"/>
              <w:rPr>
                <w:sz w:val="18"/>
                <w:szCs w:val="18"/>
                <w:color w:val="auto"/>
              </w:rPr>
            </w:pPr>
          </w:p>
        </w:tc>
        <w:tc>
          <w:tcPr>
            <w:tcW w:w="104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17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incentive</w:t>
            </w:r>
          </w:p>
        </w:tc>
        <w:tc>
          <w:tcPr>
            <w:tcW w:w="1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Restricted stock</w:t>
            </w:r>
          </w:p>
        </w:tc>
        <w:tc>
          <w:tcPr>
            <w:tcW w:w="100" w:type="dxa"/>
            <w:vAlign w:val="bottom"/>
            <w:shd w:val="clear" w:color="auto" w:fill="DBDBDB"/>
          </w:tcPr>
          <w:p>
            <w:pPr>
              <w:spacing w:after="0"/>
              <w:rPr>
                <w:sz w:val="19"/>
                <w:szCs w:val="19"/>
                <w:color w:val="auto"/>
              </w:rPr>
            </w:pPr>
          </w:p>
        </w:tc>
        <w:tc>
          <w:tcPr>
            <w:tcW w:w="10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5/1/2024</w:t>
            </w:r>
          </w:p>
        </w:tc>
        <w:tc>
          <w:tcPr>
            <w:tcW w:w="100" w:type="dxa"/>
            <w:vAlign w:val="bottom"/>
            <w:shd w:val="clear" w:color="auto" w:fill="DBDBDB"/>
          </w:tcPr>
          <w:p>
            <w:pPr>
              <w:spacing w:after="0"/>
              <w:rPr>
                <w:sz w:val="19"/>
                <w:szCs w:val="19"/>
                <w:color w:val="auto"/>
              </w:rPr>
            </w:pPr>
          </w:p>
        </w:tc>
        <w:tc>
          <w:tcPr>
            <w:tcW w:w="1080" w:type="dxa"/>
            <w:vAlign w:val="bottom"/>
            <w:gridSpan w:val="2"/>
            <w:shd w:val="clear" w:color="auto" w:fill="DBDBDB"/>
          </w:tcPr>
          <w:p>
            <w:pPr>
              <w:jc w:val="right"/>
              <w:ind w:right="5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1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DBDBDB"/>
          </w:tcPr>
          <w:p>
            <w:pPr>
              <w:jc w:val="center"/>
              <w:ind w:left="28"/>
              <w:spacing w:after="0"/>
              <w:rPr>
                <w:sz w:val="20"/>
                <w:szCs w:val="20"/>
                <w:color w:val="auto"/>
              </w:rPr>
            </w:pPr>
            <w:r>
              <w:rPr>
                <w:rFonts w:ascii="Arial" w:cs="Arial" w:eastAsia="Arial" w:hAnsi="Arial"/>
                <w:sz w:val="14"/>
                <w:szCs w:val="14"/>
                <w:color w:val="auto"/>
              </w:rPr>
              <w:t>4,366</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273,006</w:t>
            </w:r>
          </w:p>
        </w:tc>
        <w:tc>
          <w:tcPr>
            <w:tcW w:w="0" w:type="dxa"/>
            <w:vAlign w:val="bottom"/>
          </w:tcPr>
          <w:p>
            <w:pPr>
              <w:spacing w:after="0"/>
              <w:rPr>
                <w:sz w:val="1"/>
                <w:szCs w:val="1"/>
                <w:color w:val="auto"/>
              </w:rPr>
            </w:pPr>
          </w:p>
        </w:tc>
      </w:tr>
      <w:tr>
        <w:trPr>
          <w:trHeight w:val="215"/>
        </w:trPr>
        <w:tc>
          <w:tcPr>
            <w:tcW w:w="17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Fiscal</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5/1/2024</w:t>
            </w:r>
          </w:p>
        </w:tc>
        <w:tc>
          <w:tcPr>
            <w:tcW w:w="1080" w:type="dxa"/>
            <w:vAlign w:val="bottom"/>
            <w:gridSpan w:val="2"/>
            <w:shd w:val="clear" w:color="auto" w:fill="DBDBDB"/>
          </w:tcPr>
          <w:p>
            <w:pPr>
              <w:jc w:val="right"/>
              <w:ind w:right="348"/>
              <w:spacing w:after="0"/>
              <w:rPr>
                <w:sz w:val="20"/>
                <w:szCs w:val="20"/>
                <w:color w:val="auto"/>
              </w:rPr>
            </w:pPr>
            <w:r>
              <w:rPr>
                <w:rFonts w:ascii="Arial" w:cs="Arial" w:eastAsia="Arial" w:hAnsi="Arial"/>
                <w:sz w:val="14"/>
                <w:szCs w:val="14"/>
                <w:color w:val="auto"/>
              </w:rPr>
              <w:t>68,250</w:t>
            </w:r>
          </w:p>
        </w:tc>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136,500</w:t>
            </w:r>
          </w:p>
        </w:tc>
        <w:tc>
          <w:tcPr>
            <w:tcW w:w="100" w:type="dxa"/>
            <w:vAlign w:val="bottom"/>
            <w:shd w:val="clear" w:color="auto" w:fill="DBDBDB"/>
          </w:tcPr>
          <w:p>
            <w:pPr>
              <w:spacing w:after="0"/>
              <w:rPr>
                <w:sz w:val="18"/>
                <w:szCs w:val="18"/>
                <w:color w:val="auto"/>
              </w:rPr>
            </w:pP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273,000</w:t>
            </w:r>
          </w:p>
        </w:tc>
        <w:tc>
          <w:tcPr>
            <w:tcW w:w="80" w:type="dxa"/>
            <w:vAlign w:val="bottom"/>
            <w:shd w:val="clear" w:color="auto" w:fill="DBDBDB"/>
          </w:tcPr>
          <w:p>
            <w:pPr>
              <w:spacing w:after="0"/>
              <w:rPr>
                <w:sz w:val="18"/>
                <w:szCs w:val="18"/>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1,092</w:t>
            </w:r>
          </w:p>
        </w:tc>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2,183</w:t>
            </w:r>
          </w:p>
        </w:tc>
        <w:tc>
          <w:tcPr>
            <w:tcW w:w="100" w:type="dxa"/>
            <w:vAlign w:val="bottom"/>
            <w:shd w:val="clear" w:color="auto" w:fill="DBDBDB"/>
          </w:tcPr>
          <w:p>
            <w:pPr>
              <w:spacing w:after="0"/>
              <w:rPr>
                <w:sz w:val="18"/>
                <w:szCs w:val="18"/>
                <w:color w:val="auto"/>
              </w:rPr>
            </w:pP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4,366</w:t>
            </w:r>
          </w:p>
        </w:tc>
        <w:tc>
          <w:tcPr>
            <w:tcW w:w="80" w:type="dxa"/>
            <w:vAlign w:val="bottom"/>
            <w:shd w:val="clear" w:color="auto" w:fill="DBDBDB"/>
          </w:tcPr>
          <w:p>
            <w:pPr>
              <w:spacing w:after="0"/>
              <w:rPr>
                <w:sz w:val="18"/>
                <w:szCs w:val="18"/>
                <w:color w:val="auto"/>
              </w:rPr>
            </w:pPr>
          </w:p>
        </w:tc>
        <w:tc>
          <w:tcPr>
            <w:tcW w:w="104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136,503</w:t>
            </w:r>
          </w:p>
        </w:tc>
        <w:tc>
          <w:tcPr>
            <w:tcW w:w="0" w:type="dxa"/>
            <w:vAlign w:val="bottom"/>
          </w:tcPr>
          <w:p>
            <w:pPr>
              <w:spacing w:after="0"/>
              <w:rPr>
                <w:sz w:val="1"/>
                <w:szCs w:val="1"/>
                <w:color w:val="auto"/>
              </w:rPr>
            </w:pPr>
          </w:p>
        </w:tc>
      </w:tr>
      <w:tr>
        <w:trPr>
          <w:trHeight w:val="175"/>
        </w:trPr>
        <w:tc>
          <w:tcPr>
            <w:tcW w:w="17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2025 - 2027</w:t>
            </w:r>
          </w:p>
        </w:tc>
        <w:tc>
          <w:tcPr>
            <w:tcW w:w="1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performance award</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00" w:type="dxa"/>
            <w:vAlign w:val="bottom"/>
          </w:tcPr>
          <w:p>
            <w:pPr>
              <w:ind w:left="100"/>
              <w:spacing w:after="0"/>
              <w:rPr>
                <w:sz w:val="20"/>
                <w:szCs w:val="20"/>
                <w:color w:val="auto"/>
              </w:rPr>
            </w:pPr>
            <w:r>
              <w:rPr>
                <w:rFonts w:ascii="Arial" w:cs="Arial" w:eastAsia="Arial" w:hAnsi="Arial"/>
                <w:sz w:val="14"/>
                <w:szCs w:val="14"/>
                <w:b w:val="1"/>
                <w:bCs w:val="1"/>
                <w:color w:val="auto"/>
              </w:rPr>
              <w:t>Troy R.</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00" w:type="dxa"/>
            <w:vAlign w:val="bottom"/>
          </w:tcPr>
          <w:p>
            <w:pPr>
              <w:ind w:left="100"/>
              <w:spacing w:after="0"/>
              <w:rPr>
                <w:sz w:val="20"/>
                <w:szCs w:val="20"/>
                <w:color w:val="auto"/>
              </w:rPr>
            </w:pPr>
            <w:r>
              <w:rPr>
                <w:rFonts w:ascii="Arial" w:cs="Arial" w:eastAsia="Arial" w:hAnsi="Arial"/>
                <w:sz w:val="14"/>
                <w:szCs w:val="14"/>
                <w:b w:val="1"/>
                <w:bCs w:val="1"/>
                <w:color w:val="auto"/>
              </w:rPr>
              <w:t>Johnson</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tcPr>
          <w:p>
            <w:pPr>
              <w:ind w:left="100"/>
              <w:spacing w:after="0"/>
              <w:rPr>
                <w:sz w:val="20"/>
                <w:szCs w:val="20"/>
                <w:color w:val="auto"/>
              </w:rPr>
            </w:pPr>
            <w:r>
              <w:rPr>
                <w:rFonts w:ascii="Arial" w:cs="Arial" w:eastAsia="Arial" w:hAnsi="Arial"/>
                <w:sz w:val="14"/>
                <w:szCs w:val="14"/>
                <w:color w:val="auto"/>
              </w:rPr>
              <w:t>Fiscal 2025 annual cash</w:t>
            </w:r>
          </w:p>
        </w:tc>
        <w:tc>
          <w:tcPr>
            <w:tcW w:w="1160" w:type="dxa"/>
            <w:vAlign w:val="bottom"/>
            <w:gridSpan w:val="2"/>
          </w:tcPr>
          <w:p>
            <w:pPr>
              <w:jc w:val="right"/>
              <w:ind w:right="48"/>
              <w:spacing w:after="0"/>
              <w:rPr>
                <w:sz w:val="20"/>
                <w:szCs w:val="20"/>
                <w:color w:val="auto"/>
              </w:rPr>
            </w:pPr>
            <w:r>
              <w:rPr>
                <w:rFonts w:ascii="Arial" w:cs="Arial" w:eastAsia="Arial" w:hAnsi="Arial"/>
                <w:sz w:val="14"/>
                <w:szCs w:val="14"/>
                <w:color w:val="auto"/>
              </w:rPr>
              <w:t>5/1/2024</w:t>
            </w:r>
          </w:p>
        </w:tc>
        <w:tc>
          <w:tcPr>
            <w:tcW w:w="1080" w:type="dxa"/>
            <w:vAlign w:val="bottom"/>
            <w:gridSpan w:val="2"/>
          </w:tcPr>
          <w:p>
            <w:pPr>
              <w:jc w:val="right"/>
              <w:ind w:right="348"/>
              <w:spacing w:after="0"/>
              <w:rPr>
                <w:sz w:val="20"/>
                <w:szCs w:val="20"/>
                <w:color w:val="auto"/>
              </w:rPr>
            </w:pPr>
            <w:r>
              <w:rPr>
                <w:rFonts w:ascii="Arial" w:cs="Arial" w:eastAsia="Arial" w:hAnsi="Arial"/>
                <w:sz w:val="14"/>
                <w:szCs w:val="14"/>
                <w:color w:val="auto"/>
              </w:rPr>
              <w:t>32,100</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256,800</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513,600</w:t>
            </w:r>
          </w:p>
        </w:tc>
        <w:tc>
          <w:tcPr>
            <w:tcW w:w="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1700" w:type="dxa"/>
            <w:vAlign w:val="bottom"/>
          </w:tcPr>
          <w:p>
            <w:pPr>
              <w:ind w:left="100"/>
              <w:spacing w:after="0"/>
              <w:rPr>
                <w:sz w:val="20"/>
                <w:szCs w:val="20"/>
                <w:color w:val="auto"/>
              </w:rPr>
            </w:pPr>
            <w:r>
              <w:rPr>
                <w:rFonts w:ascii="Arial" w:cs="Arial" w:eastAsia="Arial" w:hAnsi="Arial"/>
                <w:sz w:val="14"/>
                <w:szCs w:val="14"/>
                <w:color w:val="auto"/>
              </w:rPr>
              <w:t>incentive</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700" w:type="dxa"/>
            <w:vAlign w:val="bottom"/>
          </w:tcPr>
          <w:p>
            <w:pPr>
              <w:ind w:left="100"/>
              <w:spacing w:after="0"/>
              <w:rPr>
                <w:sz w:val="20"/>
                <w:szCs w:val="20"/>
                <w:color w:val="auto"/>
              </w:rPr>
            </w:pPr>
            <w:r>
              <w:rPr>
                <w:rFonts w:ascii="Arial" w:cs="Arial" w:eastAsia="Arial" w:hAnsi="Arial"/>
                <w:sz w:val="14"/>
                <w:szCs w:val="14"/>
                <w:color w:val="auto"/>
              </w:rPr>
              <w:t>Restricted stock</w:t>
            </w:r>
          </w:p>
        </w:tc>
        <w:tc>
          <w:tcPr>
            <w:tcW w:w="1160" w:type="dxa"/>
            <w:vAlign w:val="bottom"/>
            <w:gridSpan w:val="2"/>
          </w:tcPr>
          <w:p>
            <w:pPr>
              <w:jc w:val="right"/>
              <w:ind w:right="48"/>
              <w:spacing w:after="0"/>
              <w:rPr>
                <w:sz w:val="20"/>
                <w:szCs w:val="20"/>
                <w:color w:val="auto"/>
              </w:rPr>
            </w:pPr>
            <w:r>
              <w:rPr>
                <w:rFonts w:ascii="Arial" w:cs="Arial" w:eastAsia="Arial" w:hAnsi="Arial"/>
                <w:sz w:val="14"/>
                <w:szCs w:val="14"/>
                <w:color w:val="auto"/>
              </w:rPr>
              <w:t>5/1/2024</w:t>
            </w:r>
          </w:p>
        </w:tc>
        <w:tc>
          <w:tcPr>
            <w:tcW w:w="10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center"/>
              <w:ind w:left="28"/>
              <w:spacing w:after="0"/>
              <w:rPr>
                <w:sz w:val="20"/>
                <w:szCs w:val="20"/>
                <w:color w:val="auto"/>
              </w:rPr>
            </w:pPr>
            <w:r>
              <w:rPr>
                <w:rFonts w:ascii="Arial" w:cs="Arial" w:eastAsia="Arial" w:hAnsi="Arial"/>
                <w:sz w:val="14"/>
                <w:szCs w:val="14"/>
                <w:color w:val="auto"/>
              </w:rPr>
              <w:t>3,080</w:t>
            </w:r>
          </w:p>
        </w:tc>
        <w:tc>
          <w:tcPr>
            <w:tcW w:w="100" w:type="dxa"/>
            <w:vAlign w:val="bottom"/>
          </w:tcPr>
          <w:p>
            <w:pPr>
              <w:spacing w:after="0"/>
              <w:rPr>
                <w:sz w:val="19"/>
                <w:szCs w:val="19"/>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192,592</w:t>
            </w:r>
          </w:p>
        </w:tc>
        <w:tc>
          <w:tcPr>
            <w:tcW w:w="0" w:type="dxa"/>
            <w:vAlign w:val="bottom"/>
          </w:tcPr>
          <w:p>
            <w:pPr>
              <w:spacing w:after="0"/>
              <w:rPr>
                <w:sz w:val="1"/>
                <w:szCs w:val="1"/>
                <w:color w:val="auto"/>
              </w:rPr>
            </w:pPr>
          </w:p>
        </w:tc>
      </w:tr>
      <w:tr>
        <w:trPr>
          <w:trHeight w:val="215"/>
        </w:trPr>
        <w:tc>
          <w:tcPr>
            <w:tcW w:w="1700" w:type="dxa"/>
            <w:vAlign w:val="bottom"/>
          </w:tcPr>
          <w:p>
            <w:pPr>
              <w:ind w:left="100"/>
              <w:spacing w:after="0"/>
              <w:rPr>
                <w:sz w:val="20"/>
                <w:szCs w:val="20"/>
                <w:color w:val="auto"/>
              </w:rPr>
            </w:pPr>
            <w:r>
              <w:rPr>
                <w:rFonts w:ascii="Arial" w:cs="Arial" w:eastAsia="Arial" w:hAnsi="Arial"/>
                <w:sz w:val="14"/>
                <w:szCs w:val="14"/>
                <w:color w:val="auto"/>
              </w:rPr>
              <w:t>Fiscal</w:t>
            </w:r>
          </w:p>
        </w:tc>
        <w:tc>
          <w:tcPr>
            <w:tcW w:w="1160" w:type="dxa"/>
            <w:vAlign w:val="bottom"/>
            <w:gridSpan w:val="2"/>
          </w:tcPr>
          <w:p>
            <w:pPr>
              <w:jc w:val="right"/>
              <w:ind w:right="48"/>
              <w:spacing w:after="0"/>
              <w:rPr>
                <w:sz w:val="20"/>
                <w:szCs w:val="20"/>
                <w:color w:val="auto"/>
              </w:rPr>
            </w:pPr>
            <w:r>
              <w:rPr>
                <w:rFonts w:ascii="Arial" w:cs="Arial" w:eastAsia="Arial" w:hAnsi="Arial"/>
                <w:sz w:val="14"/>
                <w:szCs w:val="14"/>
                <w:color w:val="auto"/>
              </w:rPr>
              <w:t>5/1/2024</w:t>
            </w:r>
          </w:p>
        </w:tc>
        <w:tc>
          <w:tcPr>
            <w:tcW w:w="1080" w:type="dxa"/>
            <w:vAlign w:val="bottom"/>
            <w:gridSpan w:val="2"/>
          </w:tcPr>
          <w:p>
            <w:pPr>
              <w:jc w:val="right"/>
              <w:ind w:right="348"/>
              <w:spacing w:after="0"/>
              <w:rPr>
                <w:sz w:val="20"/>
                <w:szCs w:val="20"/>
                <w:color w:val="auto"/>
              </w:rPr>
            </w:pPr>
            <w:r>
              <w:rPr>
                <w:rFonts w:ascii="Arial" w:cs="Arial" w:eastAsia="Arial" w:hAnsi="Arial"/>
                <w:sz w:val="14"/>
                <w:szCs w:val="14"/>
                <w:color w:val="auto"/>
              </w:rPr>
              <w:t>64,200</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128,400</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256,800</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2,053</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4,106</w:t>
            </w: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128,374</w:t>
            </w:r>
          </w:p>
        </w:tc>
        <w:tc>
          <w:tcPr>
            <w:tcW w:w="0" w:type="dxa"/>
            <w:vAlign w:val="bottom"/>
          </w:tcPr>
          <w:p>
            <w:pPr>
              <w:spacing w:after="0"/>
              <w:rPr>
                <w:sz w:val="1"/>
                <w:szCs w:val="1"/>
                <w:color w:val="auto"/>
              </w:rPr>
            </w:pPr>
          </w:p>
        </w:tc>
      </w:tr>
      <w:tr>
        <w:trPr>
          <w:trHeight w:val="176"/>
        </w:trPr>
        <w:tc>
          <w:tcPr>
            <w:tcW w:w="1700" w:type="dxa"/>
            <w:vAlign w:val="bottom"/>
          </w:tcPr>
          <w:p>
            <w:pPr>
              <w:ind w:left="100"/>
              <w:spacing w:after="0"/>
              <w:rPr>
                <w:sz w:val="20"/>
                <w:szCs w:val="20"/>
                <w:color w:val="auto"/>
              </w:rPr>
            </w:pPr>
            <w:r>
              <w:rPr>
                <w:rFonts w:ascii="Arial" w:cs="Arial" w:eastAsia="Arial" w:hAnsi="Arial"/>
                <w:sz w:val="14"/>
                <w:szCs w:val="14"/>
                <w:color w:val="auto"/>
              </w:rPr>
              <w:t>2025 - 2027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700" w:type="dxa"/>
            <w:vAlign w:val="bottom"/>
          </w:tcPr>
          <w:p>
            <w:pPr>
              <w:ind w:left="100"/>
              <w:spacing w:after="0"/>
              <w:rPr>
                <w:sz w:val="20"/>
                <w:szCs w:val="20"/>
                <w:color w:val="auto"/>
              </w:rPr>
            </w:pPr>
            <w:r>
              <w:rPr>
                <w:rFonts w:ascii="Arial" w:cs="Arial" w:eastAsia="Arial" w:hAnsi="Arial"/>
                <w:sz w:val="14"/>
                <w:szCs w:val="14"/>
                <w:color w:val="auto"/>
              </w:rPr>
              <w:t>performance award</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Raelyn A.</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shd w:val="clear" w:color="auto" w:fill="DBDBDB"/>
          </w:tcPr>
          <w:p>
            <w:pPr>
              <w:ind w:left="100"/>
              <w:spacing w:after="0"/>
              <w:rPr>
                <w:sz w:val="20"/>
                <w:szCs w:val="20"/>
                <w:color w:val="auto"/>
              </w:rPr>
            </w:pPr>
            <w:r>
              <w:rPr>
                <w:rFonts w:ascii="Arial" w:cs="Arial" w:eastAsia="Arial" w:hAnsi="Arial"/>
                <w:sz w:val="14"/>
                <w:szCs w:val="14"/>
                <w:b w:val="1"/>
                <w:bCs w:val="1"/>
                <w:color w:val="auto"/>
              </w:rPr>
              <w:t>Trende</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Fiscal 2025 annual cash</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7/29/2024</w:t>
            </w:r>
          </w:p>
        </w:tc>
        <w:tc>
          <w:tcPr>
            <w:tcW w:w="1080" w:type="dxa"/>
            <w:vAlign w:val="bottom"/>
            <w:gridSpan w:val="2"/>
            <w:shd w:val="clear" w:color="auto" w:fill="DBDBDB"/>
          </w:tcPr>
          <w:p>
            <w:pPr>
              <w:jc w:val="right"/>
              <w:ind w:right="348"/>
              <w:spacing w:after="0"/>
              <w:rPr>
                <w:sz w:val="20"/>
                <w:szCs w:val="20"/>
                <w:color w:val="auto"/>
              </w:rPr>
            </w:pPr>
            <w:r>
              <w:rPr>
                <w:rFonts w:ascii="Arial" w:cs="Arial" w:eastAsia="Arial" w:hAnsi="Arial"/>
                <w:sz w:val="14"/>
                <w:szCs w:val="14"/>
                <w:color w:val="auto"/>
              </w:rPr>
              <w:t>17,938</w:t>
            </w:r>
          </w:p>
        </w:tc>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143,500</w:t>
            </w:r>
          </w:p>
        </w:tc>
        <w:tc>
          <w:tcPr>
            <w:tcW w:w="100" w:type="dxa"/>
            <w:vAlign w:val="bottom"/>
            <w:shd w:val="clear" w:color="auto" w:fill="DBDBDB"/>
          </w:tcPr>
          <w:p>
            <w:pPr>
              <w:spacing w:after="0"/>
              <w:rPr>
                <w:sz w:val="18"/>
                <w:szCs w:val="18"/>
                <w:color w:val="auto"/>
              </w:rPr>
            </w:pP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287,000</w:t>
            </w:r>
          </w:p>
        </w:tc>
        <w:tc>
          <w:tcPr>
            <w:tcW w:w="8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DBDBDB"/>
          </w:tcPr>
          <w:p>
            <w:pPr>
              <w:spacing w:after="0"/>
              <w:rPr>
                <w:sz w:val="18"/>
                <w:szCs w:val="18"/>
                <w:color w:val="auto"/>
              </w:rPr>
            </w:pPr>
          </w:p>
        </w:tc>
        <w:tc>
          <w:tcPr>
            <w:tcW w:w="104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17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incentive</w:t>
            </w:r>
          </w:p>
        </w:tc>
        <w:tc>
          <w:tcPr>
            <w:tcW w:w="1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Restricted stock - new</w:t>
            </w: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7/29/2024</w:t>
            </w:r>
          </w:p>
        </w:tc>
        <w:tc>
          <w:tcPr>
            <w:tcW w:w="100" w:type="dxa"/>
            <w:vAlign w:val="bottom"/>
            <w:shd w:val="clear" w:color="auto" w:fill="DBDBDB"/>
          </w:tcPr>
          <w:p>
            <w:pPr>
              <w:spacing w:after="0"/>
              <w:rPr>
                <w:sz w:val="18"/>
                <w:szCs w:val="18"/>
                <w:color w:val="auto"/>
              </w:rPr>
            </w:pPr>
          </w:p>
        </w:tc>
        <w:tc>
          <w:tcPr>
            <w:tcW w:w="1080" w:type="dxa"/>
            <w:vAlign w:val="bottom"/>
            <w:gridSpan w:val="2"/>
            <w:shd w:val="clear" w:color="auto" w:fill="DBDBDB"/>
          </w:tcPr>
          <w:p>
            <w:pPr>
              <w:jc w:val="right"/>
              <w:ind w:right="5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10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DBDBDB"/>
          </w:tcPr>
          <w:p>
            <w:pPr>
              <w:jc w:val="center"/>
              <w:ind w:left="28"/>
              <w:spacing w:after="0"/>
              <w:rPr>
                <w:sz w:val="20"/>
                <w:szCs w:val="20"/>
                <w:color w:val="auto"/>
              </w:rPr>
            </w:pPr>
            <w:r>
              <w:rPr>
                <w:rFonts w:ascii="Arial" w:cs="Arial" w:eastAsia="Arial" w:hAnsi="Arial"/>
                <w:sz w:val="14"/>
                <w:szCs w:val="14"/>
                <w:color w:val="auto"/>
              </w:rPr>
              <w:t>7,024</w:t>
            </w:r>
          </w:p>
        </w:tc>
        <w:tc>
          <w:tcPr>
            <w:tcW w:w="100" w:type="dxa"/>
            <w:vAlign w:val="bottom"/>
            <w:shd w:val="clear" w:color="auto" w:fill="DBDBDB"/>
          </w:tcPr>
          <w:p>
            <w:pPr>
              <w:spacing w:after="0"/>
              <w:rPr>
                <w:sz w:val="18"/>
                <w:szCs w:val="18"/>
                <w:color w:val="auto"/>
              </w:rPr>
            </w:pPr>
          </w:p>
        </w:tc>
        <w:tc>
          <w:tcPr>
            <w:tcW w:w="102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475,033</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hire</w:t>
            </w:r>
          </w:p>
        </w:tc>
        <w:tc>
          <w:tcPr>
            <w:tcW w:w="10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Borders>
              <w:bottom w:val="single" w:sz="8" w:color="D9D9D9"/>
            </w:tcBorders>
            <w:shd w:val="clear" w:color="auto" w:fill="D9D9D9"/>
          </w:tcPr>
          <w:p>
            <w:pPr>
              <w:ind w:left="100"/>
              <w:spacing w:after="0"/>
              <w:rPr>
                <w:sz w:val="20"/>
                <w:szCs w:val="20"/>
                <w:color w:val="auto"/>
              </w:rPr>
            </w:pPr>
            <w:r>
              <w:rPr>
                <w:rFonts w:ascii="Arial" w:cs="Arial" w:eastAsia="Arial" w:hAnsi="Arial"/>
                <w:sz w:val="14"/>
                <w:szCs w:val="14"/>
                <w:color w:val="auto"/>
              </w:rPr>
              <w:t>Restricted stock</w:t>
            </w:r>
          </w:p>
        </w:tc>
        <w:tc>
          <w:tcPr>
            <w:tcW w:w="100" w:type="dxa"/>
            <w:vAlign w:val="bottom"/>
            <w:tcBorders>
              <w:bottom w:val="single" w:sz="8" w:color="D9D9D9"/>
            </w:tcBorders>
            <w:shd w:val="clear" w:color="auto" w:fill="D9D9D9"/>
          </w:tcPr>
          <w:p>
            <w:pPr>
              <w:spacing w:after="0"/>
              <w:rPr>
                <w:sz w:val="18"/>
                <w:szCs w:val="18"/>
                <w:color w:val="auto"/>
              </w:rPr>
            </w:pPr>
          </w:p>
        </w:tc>
        <w:tc>
          <w:tcPr>
            <w:tcW w:w="10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auto"/>
              </w:rPr>
              <w:t>7/29/2024</w:t>
            </w:r>
          </w:p>
        </w:tc>
        <w:tc>
          <w:tcPr>
            <w:tcW w:w="100" w:type="dxa"/>
            <w:vAlign w:val="bottom"/>
            <w:tcBorders>
              <w:bottom w:val="single" w:sz="8" w:color="D9D9D9"/>
            </w:tcBorders>
            <w:shd w:val="clear" w:color="auto" w:fill="D9D9D9"/>
          </w:tcPr>
          <w:p>
            <w:pPr>
              <w:spacing w:after="0"/>
              <w:rPr>
                <w:sz w:val="18"/>
                <w:szCs w:val="18"/>
                <w:color w:val="auto"/>
              </w:rPr>
            </w:pPr>
          </w:p>
        </w:tc>
        <w:tc>
          <w:tcPr>
            <w:tcW w:w="1080" w:type="dxa"/>
            <w:vAlign w:val="bottom"/>
            <w:tcBorders>
              <w:bottom w:val="single" w:sz="8" w:color="D9D9D9"/>
            </w:tcBorders>
            <w:gridSpan w:val="2"/>
            <w:shd w:val="clear" w:color="auto" w:fill="D9D9D9"/>
          </w:tcPr>
          <w:p>
            <w:pPr>
              <w:jc w:val="right"/>
              <w:ind w:right="5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9D9D9"/>
            </w:tcBorders>
            <w:gridSpan w:val="2"/>
            <w:shd w:val="clear" w:color="auto" w:fill="D9D9D9"/>
          </w:tcPr>
          <w:p>
            <w:pPr>
              <w:jc w:val="center"/>
              <w:ind w:right="80"/>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D9D9D9"/>
            </w:tcBorders>
            <w:gridSpan w:val="2"/>
            <w:shd w:val="clear" w:color="auto" w:fill="D9D9D9"/>
          </w:tcPr>
          <w:p>
            <w:pPr>
              <w:jc w:val="center"/>
              <w:ind w:right="100"/>
              <w:spacing w:after="0"/>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D9D9D9"/>
            </w:tcBorders>
            <w:gridSpan w:val="2"/>
            <w:shd w:val="clear" w:color="auto" w:fill="D9D9D9"/>
          </w:tcPr>
          <w:p>
            <w:pPr>
              <w:jc w:val="center"/>
              <w:ind w:right="80"/>
              <w:spacing w:after="0"/>
              <w:rPr>
                <w:sz w:val="20"/>
                <w:szCs w:val="20"/>
                <w:color w:val="auto"/>
              </w:rPr>
            </w:pPr>
            <w:r>
              <w:rPr>
                <w:rFonts w:ascii="Arial" w:cs="Arial" w:eastAsia="Arial" w:hAnsi="Arial"/>
                <w:sz w:val="14"/>
                <w:szCs w:val="14"/>
                <w:color w:val="auto"/>
                <w:w w:val="99"/>
              </w:rPr>
              <w:t>—</w:t>
            </w:r>
          </w:p>
        </w:tc>
        <w:tc>
          <w:tcPr>
            <w:tcW w:w="980" w:type="dxa"/>
            <w:vAlign w:val="bottom"/>
            <w:tcBorders>
              <w:bottom w:val="single" w:sz="8" w:color="D9D9D9"/>
            </w:tcBorders>
            <w:gridSpan w:val="2"/>
            <w:shd w:val="clear" w:color="auto" w:fill="D9D9D9"/>
          </w:tcPr>
          <w:p>
            <w:pPr>
              <w:jc w:val="center"/>
              <w:ind w:right="1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D9D9D9"/>
            </w:tcBorders>
            <w:gridSpan w:val="2"/>
            <w:shd w:val="clear" w:color="auto" w:fill="D9D9D9"/>
          </w:tcPr>
          <w:p>
            <w:pPr>
              <w:jc w:val="center"/>
              <w:ind w:left="28"/>
              <w:spacing w:after="0"/>
              <w:rPr>
                <w:sz w:val="20"/>
                <w:szCs w:val="20"/>
                <w:color w:val="auto"/>
              </w:rPr>
            </w:pPr>
            <w:r>
              <w:rPr>
                <w:rFonts w:ascii="Arial" w:cs="Arial" w:eastAsia="Arial" w:hAnsi="Arial"/>
                <w:sz w:val="14"/>
                <w:szCs w:val="14"/>
                <w:color w:val="auto"/>
              </w:rPr>
              <w:t>3,637</w:t>
            </w:r>
          </w:p>
        </w:tc>
        <w:tc>
          <w:tcPr>
            <w:tcW w:w="100" w:type="dxa"/>
            <w:vAlign w:val="bottom"/>
            <w:tcBorders>
              <w:bottom w:val="single" w:sz="8" w:color="D9D9D9"/>
            </w:tcBorders>
            <w:shd w:val="clear" w:color="auto" w:fill="D9D9D9"/>
          </w:tcPr>
          <w:p>
            <w:pPr>
              <w:spacing w:after="0"/>
              <w:rPr>
                <w:sz w:val="18"/>
                <w:szCs w:val="18"/>
                <w:color w:val="auto"/>
              </w:rPr>
            </w:pPr>
          </w:p>
        </w:tc>
        <w:tc>
          <w:tcPr>
            <w:tcW w:w="1020" w:type="dxa"/>
            <w:vAlign w:val="bottom"/>
            <w:tcBorders>
              <w:bottom w:val="single" w:sz="8" w:color="D9D9D9"/>
            </w:tcBorders>
            <w:shd w:val="clear" w:color="auto" w:fill="D9D9D9"/>
          </w:tcPr>
          <w:p>
            <w:pPr>
              <w:jc w:val="right"/>
              <w:ind w:right="208"/>
              <w:spacing w:after="0"/>
              <w:rPr>
                <w:sz w:val="20"/>
                <w:szCs w:val="20"/>
                <w:color w:val="auto"/>
              </w:rPr>
            </w:pPr>
            <w:r>
              <w:rPr>
                <w:rFonts w:ascii="Arial" w:cs="Arial" w:eastAsia="Arial" w:hAnsi="Arial"/>
                <w:sz w:val="14"/>
                <w:szCs w:val="14"/>
                <w:color w:val="auto"/>
              </w:rPr>
              <w:t>245,970</w:t>
            </w:r>
          </w:p>
        </w:tc>
        <w:tc>
          <w:tcPr>
            <w:tcW w:w="0" w:type="dxa"/>
            <w:vAlign w:val="bottom"/>
          </w:tcPr>
          <w:p>
            <w:pPr>
              <w:spacing w:after="0"/>
              <w:rPr>
                <w:sz w:val="1"/>
                <w:szCs w:val="1"/>
                <w:color w:val="auto"/>
              </w:rPr>
            </w:pPr>
          </w:p>
        </w:tc>
      </w:tr>
      <w:tr>
        <w:trPr>
          <w:trHeight w:val="193"/>
        </w:trPr>
        <w:tc>
          <w:tcPr>
            <w:tcW w:w="17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Fiscal</w:t>
            </w:r>
          </w:p>
        </w:tc>
        <w:tc>
          <w:tcPr>
            <w:tcW w:w="100" w:type="dxa"/>
            <w:vAlign w:val="bottom"/>
            <w:shd w:val="clear" w:color="auto" w:fill="DBDBDB"/>
          </w:tcPr>
          <w:p>
            <w:pPr>
              <w:spacing w:after="0"/>
              <w:rPr>
                <w:sz w:val="16"/>
                <w:szCs w:val="16"/>
                <w:color w:val="auto"/>
              </w:rPr>
            </w:pPr>
          </w:p>
        </w:tc>
        <w:tc>
          <w:tcPr>
            <w:tcW w:w="106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7/29/2024</w:t>
            </w:r>
          </w:p>
        </w:tc>
        <w:tc>
          <w:tcPr>
            <w:tcW w:w="1080" w:type="dxa"/>
            <w:vAlign w:val="bottom"/>
            <w:gridSpan w:val="2"/>
            <w:shd w:val="clear" w:color="auto" w:fill="DBDBDB"/>
          </w:tcPr>
          <w:p>
            <w:pPr>
              <w:jc w:val="right"/>
              <w:ind w:right="348"/>
              <w:spacing w:after="0"/>
              <w:rPr>
                <w:sz w:val="20"/>
                <w:szCs w:val="20"/>
                <w:color w:val="auto"/>
              </w:rPr>
            </w:pPr>
            <w:r>
              <w:rPr>
                <w:rFonts w:ascii="Arial" w:cs="Arial" w:eastAsia="Arial" w:hAnsi="Arial"/>
                <w:sz w:val="14"/>
                <w:szCs w:val="14"/>
                <w:color w:val="auto"/>
              </w:rPr>
              <w:t>61,500</w:t>
            </w:r>
          </w:p>
        </w:tc>
        <w:tc>
          <w:tcPr>
            <w:tcW w:w="100" w:type="dxa"/>
            <w:vAlign w:val="bottom"/>
            <w:shd w:val="clear" w:color="auto" w:fill="DBDBDB"/>
          </w:tcPr>
          <w:p>
            <w:pPr>
              <w:spacing w:after="0"/>
              <w:rPr>
                <w:sz w:val="16"/>
                <w:szCs w:val="16"/>
                <w:color w:val="auto"/>
              </w:rPr>
            </w:pP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123,000</w:t>
            </w:r>
          </w:p>
        </w:tc>
        <w:tc>
          <w:tcPr>
            <w:tcW w:w="100" w:type="dxa"/>
            <w:vAlign w:val="bottom"/>
            <w:shd w:val="clear" w:color="auto" w:fill="DBDBDB"/>
          </w:tcPr>
          <w:p>
            <w:pPr>
              <w:spacing w:after="0"/>
              <w:rPr>
                <w:sz w:val="16"/>
                <w:szCs w:val="16"/>
                <w:color w:val="auto"/>
              </w:rPr>
            </w:pP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246,000</w:t>
            </w:r>
          </w:p>
        </w:tc>
        <w:tc>
          <w:tcPr>
            <w:tcW w:w="80" w:type="dxa"/>
            <w:vAlign w:val="bottom"/>
            <w:shd w:val="clear" w:color="auto" w:fill="DBDBDB"/>
          </w:tcPr>
          <w:p>
            <w:pPr>
              <w:spacing w:after="0"/>
              <w:rPr>
                <w:sz w:val="16"/>
                <w:szCs w:val="16"/>
                <w:color w:val="auto"/>
              </w:rPr>
            </w:pPr>
          </w:p>
        </w:tc>
        <w:tc>
          <w:tcPr>
            <w:tcW w:w="10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910</w:t>
            </w:r>
          </w:p>
        </w:tc>
        <w:tc>
          <w:tcPr>
            <w:tcW w:w="100" w:type="dxa"/>
            <w:vAlign w:val="bottom"/>
            <w:shd w:val="clear" w:color="auto" w:fill="DBDBDB"/>
          </w:tcPr>
          <w:p>
            <w:pPr>
              <w:spacing w:after="0"/>
              <w:rPr>
                <w:sz w:val="16"/>
                <w:szCs w:val="16"/>
                <w:color w:val="auto"/>
              </w:rPr>
            </w:pPr>
          </w:p>
        </w:tc>
        <w:tc>
          <w:tcPr>
            <w:tcW w:w="8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1,819</w:t>
            </w:r>
          </w:p>
        </w:tc>
        <w:tc>
          <w:tcPr>
            <w:tcW w:w="100" w:type="dxa"/>
            <w:vAlign w:val="bottom"/>
            <w:shd w:val="clear" w:color="auto" w:fill="DBDBDB"/>
          </w:tcPr>
          <w:p>
            <w:pPr>
              <w:spacing w:after="0"/>
              <w:rPr>
                <w:sz w:val="16"/>
                <w:szCs w:val="16"/>
                <w:color w:val="auto"/>
              </w:rPr>
            </w:pP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3,638</w:t>
            </w:r>
          </w:p>
        </w:tc>
        <w:tc>
          <w:tcPr>
            <w:tcW w:w="8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auto"/>
              </w:rPr>
              <w:t>123,019</w:t>
            </w:r>
          </w:p>
        </w:tc>
        <w:tc>
          <w:tcPr>
            <w:tcW w:w="0" w:type="dxa"/>
            <w:vAlign w:val="bottom"/>
          </w:tcPr>
          <w:p>
            <w:pPr>
              <w:spacing w:after="0"/>
              <w:rPr>
                <w:sz w:val="1"/>
                <w:szCs w:val="1"/>
                <w:color w:val="auto"/>
              </w:rPr>
            </w:pPr>
          </w:p>
        </w:tc>
      </w:tr>
      <w:tr>
        <w:trPr>
          <w:trHeight w:val="175"/>
        </w:trPr>
        <w:tc>
          <w:tcPr>
            <w:tcW w:w="17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2025 - 2027</w:t>
            </w:r>
          </w:p>
        </w:tc>
        <w:tc>
          <w:tcPr>
            <w:tcW w:w="10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DBDBDB"/>
          </w:tcPr>
          <w:p>
            <w:pPr>
              <w:ind w:left="100"/>
              <w:spacing w:after="0"/>
              <w:rPr>
                <w:sz w:val="20"/>
                <w:szCs w:val="20"/>
                <w:color w:val="auto"/>
              </w:rPr>
            </w:pPr>
            <w:r>
              <w:rPr>
                <w:rFonts w:ascii="Arial" w:cs="Arial" w:eastAsia="Arial" w:hAnsi="Arial"/>
                <w:sz w:val="14"/>
                <w:szCs w:val="14"/>
                <w:color w:val="auto"/>
              </w:rPr>
              <w:t>performance award</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97" w:lineRule="exact"/>
        <w:rPr>
          <w:sz w:val="20"/>
          <w:szCs w:val="20"/>
          <w:color w:val="auto"/>
        </w:rPr>
      </w:pPr>
    </w:p>
    <w:p>
      <w:pPr>
        <w:jc w:val="both"/>
        <w:ind w:left="500" w:hanging="492"/>
        <w:spacing w:after="0" w:line="268" w:lineRule="auto"/>
        <w:tabs>
          <w:tab w:leader="none" w:pos="49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These columns show the range of possible payouts under the fiscal 2025 annual cash incentive awards and the cash portion of the fiscal 2025 – 2027 performance awards. See “Annual Cash Incentive Compensation” beginning on page </w:t>
      </w:r>
      <w:r>
        <w:rPr>
          <w:rFonts w:ascii="Arial" w:cs="Arial" w:eastAsia="Arial" w:hAnsi="Arial"/>
          <w:sz w:val="18"/>
          <w:szCs w:val="18"/>
          <w:u w:val="single" w:color="auto"/>
          <w:color w:val="0000FF"/>
        </w:rPr>
        <w:t>43</w:t>
      </w:r>
      <w:r>
        <w:rPr>
          <w:rFonts w:ascii="Arial" w:cs="Arial" w:eastAsia="Arial" w:hAnsi="Arial"/>
          <w:sz w:val="18"/>
          <w:szCs w:val="18"/>
          <w:color w:val="auto"/>
        </w:rPr>
        <w:t xml:space="preserve"> and “Performance Awards” beginning on page </w:t>
      </w:r>
      <w:r>
        <w:rPr>
          <w:rFonts w:ascii="Arial" w:cs="Arial" w:eastAsia="Arial" w:hAnsi="Arial"/>
          <w:sz w:val="18"/>
          <w:szCs w:val="18"/>
          <w:u w:val="single" w:color="auto"/>
          <w:color w:val="0000FF"/>
        </w:rPr>
        <w:t>47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500" w:hanging="492"/>
        <w:spacing w:after="0" w:line="287" w:lineRule="auto"/>
        <w:tabs>
          <w:tab w:leader="none" w:pos="49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These columns show the threshold, target and maximum level of shares to be earned under the performance share unit portion of the fiscal 2025 – 2027 performance awards. See “Performance Awards” beginning on page </w:t>
      </w:r>
      <w:r>
        <w:rPr>
          <w:rFonts w:ascii="Arial" w:cs="Arial" w:eastAsia="Arial" w:hAnsi="Arial"/>
          <w:sz w:val="18"/>
          <w:szCs w:val="18"/>
          <w:u w:val="single" w:color="auto"/>
          <w:color w:val="0000FF"/>
        </w:rPr>
        <w:t>47</w:t>
      </w:r>
      <w:r>
        <w:rPr>
          <w:rFonts w:ascii="Arial" w:cs="Arial" w:eastAsia="Arial" w:hAnsi="Arial"/>
          <w:sz w:val="18"/>
          <w:szCs w:val="18"/>
          <w:color w:val="auto"/>
        </w:rPr>
        <w:t>.</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59" w:name="page60"/>
    <w:bookmarkEnd w:id="59"/>
    <w:p>
      <w:pPr>
        <w:jc w:val="both"/>
        <w:ind w:left="500" w:hanging="492"/>
        <w:spacing w:after="0" w:line="268" w:lineRule="auto"/>
        <w:tabs>
          <w:tab w:leader="none" w:pos="4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This column shows the restricted stock awards made under the long-term incentive program on May 1, 2024, except for Ms. Trende, whose award was granted July 29, 2024. For Ms. Trende, this column also shows her new hire inducement grant of time-based restricted stock on July 29, 2024. See “Restricted Stock Awards” beginning on page </w:t>
      </w:r>
      <w:r>
        <w:rPr>
          <w:rFonts w:ascii="Arial" w:cs="Arial" w:eastAsia="Arial" w:hAnsi="Arial"/>
          <w:sz w:val="18"/>
          <w:szCs w:val="18"/>
          <w:u w:val="single" w:color="auto"/>
          <w:color w:val="0000FF"/>
        </w:rPr>
        <w:t>47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500" w:hanging="492"/>
        <w:spacing w:after="0" w:line="259" w:lineRule="auto"/>
        <w:tabs>
          <w:tab w:leader="none" w:pos="4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grant date fair value of the restricted stock awards and the performance share unit portion of the performance awards were calculated in accordance with FASB ASC Topic 718 by multiplying the number of restricted shares or performance share units at target performance by the closing price of our common stock on the Nasdaq Global Select Market on the date of grant. The closing price of our common stock on the Nasdaq Global Select Market was $62.53 on the grant date of May 1, 2024; and $67.63 on the grant date of July 29, 2024.</w:t>
      </w:r>
    </w:p>
    <w:p>
      <w:pPr>
        <w:spacing w:after="0" w:line="71" w:lineRule="exact"/>
        <w:rPr>
          <w:rFonts w:ascii="Arial" w:cs="Arial" w:eastAsia="Arial" w:hAnsi="Arial"/>
          <w:sz w:val="18"/>
          <w:szCs w:val="18"/>
          <w:color w:val="auto"/>
        </w:rPr>
      </w:pPr>
    </w:p>
    <w:p>
      <w:pPr>
        <w:ind w:left="50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description of how these awards are treated upon termination or a change-in-control, see “Potential Payments Upon Termination or Following a Change-in-Control” beginning on page </w:t>
      </w:r>
      <w:r>
        <w:rPr>
          <w:rFonts w:ascii="Arial" w:cs="Arial" w:eastAsia="Arial" w:hAnsi="Arial"/>
          <w:sz w:val="18"/>
          <w:szCs w:val="18"/>
          <w:u w:val="single" w:color="auto"/>
          <w:color w:val="0000FF"/>
        </w:rPr>
        <w:t>60</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Outstanding Equity Awards at Fiscal Year-End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equity awards held by our Named Executive Officers as of March 1, 2025, the last day of fiscal 2025.</w:t>
      </w:r>
    </w:p>
    <w:p>
      <w:pPr>
        <w:spacing w:after="0" w:line="200" w:lineRule="exact"/>
        <w:rPr>
          <w:sz w:val="20"/>
          <w:szCs w:val="20"/>
          <w:color w:val="auto"/>
        </w:rPr>
      </w:pPr>
    </w:p>
    <w:p>
      <w:pPr>
        <w:spacing w:after="0" w:line="300"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Outstanding Equity Awards at Fiscal 2025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294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1440"/>
              <w:spacing w:after="0"/>
              <w:rPr>
                <w:sz w:val="20"/>
                <w:szCs w:val="20"/>
                <w:color w:val="auto"/>
              </w:rPr>
            </w:pPr>
            <w:r>
              <w:rPr>
                <w:rFonts w:ascii="Arial" w:cs="Arial" w:eastAsia="Arial" w:hAnsi="Arial"/>
                <w:sz w:val="16"/>
                <w:szCs w:val="16"/>
                <w:b w:val="1"/>
                <w:bCs w:val="1"/>
                <w:color w:val="05445E"/>
              </w:rPr>
              <w:t>Stock Awards</w:t>
            </w:r>
          </w:p>
        </w:tc>
        <w:tc>
          <w:tcPr>
            <w:tcW w:w="3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w w:val="98"/>
              </w:rPr>
              <w:t>Equity</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Incentive</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w w:val="98"/>
              </w:rPr>
              <w:t>Equity</w:t>
            </w: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Plan</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rPr>
              <w:t>Incentive</w:t>
            </w:r>
          </w:p>
        </w:tc>
        <w:tc>
          <w:tcPr>
            <w:tcW w:w="36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Awards:</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rPr>
              <w:t>Plan</w:t>
            </w: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w w:val="99"/>
              </w:rPr>
              <w:t>Market or</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rPr>
              <w:t>Awards:</w:t>
            </w: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Payout</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w w:val="99"/>
              </w:rPr>
              <w:t>Number of</w:t>
            </w:r>
          </w:p>
        </w:tc>
        <w:tc>
          <w:tcPr>
            <w:tcW w:w="36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Value of</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rPr>
              <w:t>Unearned</w:t>
            </w: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Unearned</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05445E"/>
                <w:w w:val="99"/>
              </w:rPr>
              <w:t>Number of</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left="319"/>
              <w:spacing w:after="0"/>
              <w:rPr>
                <w:sz w:val="20"/>
                <w:szCs w:val="20"/>
                <w:color w:val="auto"/>
              </w:rPr>
            </w:pPr>
            <w:r>
              <w:rPr>
                <w:rFonts w:ascii="Arial" w:cs="Arial" w:eastAsia="Arial" w:hAnsi="Arial"/>
                <w:sz w:val="16"/>
                <w:szCs w:val="16"/>
                <w:b w:val="1"/>
                <w:bCs w:val="1"/>
                <w:color w:val="05445E"/>
                <w:w w:val="99"/>
              </w:rPr>
              <w:t>Market Value</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rPr>
              <w:t>Shares,</w:t>
            </w: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Shares,</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05445E"/>
              </w:rPr>
              <w:t>Shares or</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left="319"/>
              <w:spacing w:after="0"/>
              <w:rPr>
                <w:sz w:val="20"/>
                <w:szCs w:val="20"/>
                <w:color w:val="auto"/>
              </w:rPr>
            </w:pPr>
            <w:r>
              <w:rPr>
                <w:rFonts w:ascii="Arial" w:cs="Arial" w:eastAsia="Arial" w:hAnsi="Arial"/>
                <w:sz w:val="16"/>
                <w:szCs w:val="16"/>
                <w:b w:val="1"/>
                <w:bCs w:val="1"/>
                <w:color w:val="05445E"/>
              </w:rPr>
              <w:t>of Shares or</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w w:val="99"/>
              </w:rPr>
              <w:t>Units or</w:t>
            </w:r>
          </w:p>
        </w:tc>
        <w:tc>
          <w:tcPr>
            <w:tcW w:w="36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w w:val="99"/>
              </w:rPr>
              <w:t>Units or</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05445E"/>
              </w:rPr>
              <w:t>Units of</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left="319"/>
              <w:spacing w:after="0"/>
              <w:rPr>
                <w:sz w:val="20"/>
                <w:szCs w:val="20"/>
                <w:color w:val="auto"/>
              </w:rPr>
            </w:pPr>
            <w:r>
              <w:rPr>
                <w:rFonts w:ascii="Arial" w:cs="Arial" w:eastAsia="Arial" w:hAnsi="Arial"/>
                <w:sz w:val="16"/>
                <w:szCs w:val="16"/>
                <w:b w:val="1"/>
                <w:bCs w:val="1"/>
                <w:color w:val="05445E"/>
              </w:rPr>
              <w:t>Units of</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rPr>
              <w:t>Other</w:t>
            </w: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Other</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05445E"/>
              </w:rPr>
              <w:t>Stock That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left="319"/>
              <w:spacing w:after="0"/>
              <w:rPr>
                <w:sz w:val="20"/>
                <w:szCs w:val="20"/>
                <w:color w:val="auto"/>
              </w:rPr>
            </w:pPr>
            <w:r>
              <w:rPr>
                <w:rFonts w:ascii="Arial" w:cs="Arial" w:eastAsia="Arial" w:hAnsi="Arial"/>
                <w:sz w:val="16"/>
                <w:szCs w:val="16"/>
                <w:b w:val="1"/>
                <w:bCs w:val="1"/>
                <w:color w:val="05445E"/>
              </w:rPr>
              <w:t>Stock That</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w w:val="99"/>
              </w:rPr>
              <w:t>Rights That</w:t>
            </w:r>
          </w:p>
        </w:tc>
        <w:tc>
          <w:tcPr>
            <w:tcW w:w="36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Rights</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05445E"/>
              </w:rPr>
              <w:t>Have Not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left="319"/>
              <w:spacing w:after="0"/>
              <w:rPr>
                <w:sz w:val="20"/>
                <w:szCs w:val="20"/>
                <w:color w:val="auto"/>
              </w:rPr>
            </w:pPr>
            <w:r>
              <w:rPr>
                <w:rFonts w:ascii="Arial" w:cs="Arial" w:eastAsia="Arial" w:hAnsi="Arial"/>
                <w:sz w:val="16"/>
                <w:szCs w:val="16"/>
                <w:b w:val="1"/>
                <w:bCs w:val="1"/>
                <w:color w:val="05445E"/>
              </w:rPr>
              <w:t>Have Not</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rPr>
              <w:t>Have Not</w:t>
            </w: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w w:val="99"/>
              </w:rPr>
              <w:t>That Have</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05445E"/>
                <w:w w:val="99"/>
              </w:rPr>
              <w:t>Vested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left="339"/>
              <w:spacing w:after="0"/>
              <w:rPr>
                <w:sz w:val="20"/>
                <w:szCs w:val="20"/>
                <w:color w:val="auto"/>
              </w:rPr>
            </w:pPr>
            <w:r>
              <w:rPr>
                <w:rFonts w:ascii="Arial" w:cs="Arial" w:eastAsia="Arial" w:hAnsi="Arial"/>
                <w:sz w:val="16"/>
                <w:szCs w:val="16"/>
                <w:b w:val="1"/>
                <w:bCs w:val="1"/>
                <w:color w:val="05445E"/>
                <w:w w:val="99"/>
              </w:rPr>
              <w:t>Vested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w w:val="99"/>
              </w:rPr>
              <w:t>Vested</w:t>
            </w: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Not Vested</w:t>
            </w:r>
          </w:p>
        </w:tc>
        <w:tc>
          <w:tcPr>
            <w:tcW w:w="0" w:type="dxa"/>
            <w:vAlign w:val="bottom"/>
          </w:tcPr>
          <w:p>
            <w:pPr>
              <w:spacing w:after="0"/>
              <w:rPr>
                <w:sz w:val="1"/>
                <w:szCs w:val="1"/>
                <w:color w:val="auto"/>
              </w:rPr>
            </w:pPr>
          </w:p>
        </w:tc>
      </w:tr>
      <w:tr>
        <w:trPr>
          <w:trHeight w:val="244"/>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5445E"/>
              </w:rPr>
              <w:t>Name</w:t>
            </w:r>
          </w:p>
        </w:tc>
        <w:tc>
          <w:tcPr>
            <w:tcW w:w="200" w:type="dxa"/>
            <w:vAlign w:val="bottom"/>
            <w:tcBorders>
              <w:bottom w:val="single" w:sz="8" w:color="DBDBDB"/>
            </w:tcBorders>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5445E"/>
              </w:rPr>
              <w:t>(#)</w:t>
            </w:r>
          </w:p>
        </w:tc>
        <w:tc>
          <w:tcPr>
            <w:tcW w:w="380" w:type="dxa"/>
            <w:vAlign w:val="bottom"/>
            <w:tcBorders>
              <w:bottom w:val="single" w:sz="8" w:color="DBDBDB"/>
            </w:tcBorders>
          </w:tcPr>
          <w:p>
            <w:pPr>
              <w:spacing w:after="0"/>
              <w:rPr>
                <w:sz w:val="21"/>
                <w:szCs w:val="21"/>
                <w:color w:val="auto"/>
              </w:rPr>
            </w:pPr>
          </w:p>
        </w:tc>
        <w:tc>
          <w:tcPr>
            <w:tcW w:w="1520" w:type="dxa"/>
            <w:vAlign w:val="bottom"/>
            <w:tcBorders>
              <w:bottom w:val="single" w:sz="8" w:color="auto"/>
            </w:tcBorders>
            <w:gridSpan w:val="2"/>
          </w:tcPr>
          <w:p>
            <w:pPr>
              <w:jc w:val="center"/>
              <w:ind w:left="419"/>
              <w:spacing w:after="0"/>
              <w:rPr>
                <w:sz w:val="20"/>
                <w:szCs w:val="20"/>
                <w:color w:val="auto"/>
              </w:rPr>
            </w:pPr>
            <w:r>
              <w:rPr>
                <w:rFonts w:ascii="Arial" w:cs="Arial" w:eastAsia="Arial" w:hAnsi="Arial"/>
                <w:sz w:val="16"/>
                <w:szCs w:val="16"/>
                <w:b w:val="1"/>
                <w:bCs w:val="1"/>
                <w:color w:val="05445E"/>
                <w:w w:val="92"/>
              </w:rPr>
              <w:t>($)</w:t>
            </w:r>
            <w:r>
              <w:rPr>
                <w:rFonts w:ascii="Arial" w:cs="Arial" w:eastAsia="Arial" w:hAnsi="Arial"/>
                <w:sz w:val="21"/>
                <w:szCs w:val="21"/>
                <w:b w:val="1"/>
                <w:bCs w:val="1"/>
                <w:color w:val="05445E"/>
                <w:w w:val="92"/>
                <w:vertAlign w:val="superscript"/>
              </w:rPr>
              <w:t>(1)</w:t>
            </w: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20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05445E"/>
                <w:w w:val="91"/>
                <w:vertAlign w:val="subscript"/>
              </w:rPr>
              <w:t>(#)</w:t>
            </w:r>
            <w:r>
              <w:rPr>
                <w:rFonts w:ascii="Arial" w:cs="Arial" w:eastAsia="Arial" w:hAnsi="Arial"/>
                <w:sz w:val="10"/>
                <w:szCs w:val="10"/>
                <w:b w:val="1"/>
                <w:bCs w:val="1"/>
                <w:color w:val="05445E"/>
                <w:w w:val="91"/>
              </w:rPr>
              <w:t>(2)</w:t>
            </w:r>
          </w:p>
        </w:tc>
        <w:tc>
          <w:tcPr>
            <w:tcW w:w="360" w:type="dxa"/>
            <w:vAlign w:val="bottom"/>
            <w:tcBorders>
              <w:bottom w:val="single" w:sz="8" w:color="DBDBDB"/>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5445E"/>
                <w:w w:val="87"/>
              </w:rPr>
              <w:t>($)</w:t>
            </w:r>
            <w:r>
              <w:rPr>
                <w:rFonts w:ascii="Arial" w:cs="Arial" w:eastAsia="Arial" w:hAnsi="Arial"/>
                <w:sz w:val="21"/>
                <w:szCs w:val="21"/>
                <w:b w:val="1"/>
                <w:bCs w:val="1"/>
                <w:color w:val="05445E"/>
                <w:w w:val="87"/>
                <w:vertAlign w:val="superscript"/>
              </w:rPr>
              <w:t>(1)</w:t>
            </w:r>
          </w:p>
        </w:tc>
        <w:tc>
          <w:tcPr>
            <w:tcW w:w="0" w:type="dxa"/>
            <w:vAlign w:val="bottom"/>
          </w:tcPr>
          <w:p>
            <w:pPr>
              <w:spacing w:after="0"/>
              <w:rPr>
                <w:sz w:val="1"/>
                <w:szCs w:val="1"/>
                <w:color w:val="auto"/>
              </w:rPr>
            </w:pPr>
          </w:p>
        </w:tc>
      </w:tr>
      <w:tr>
        <w:trPr>
          <w:trHeight w:val="119"/>
        </w:trPr>
        <w:tc>
          <w:tcPr>
            <w:tcW w:w="220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Ty R.</w:t>
            </w:r>
          </w:p>
        </w:tc>
        <w:tc>
          <w:tcPr>
            <w:tcW w:w="200" w:type="dxa"/>
            <w:vAlign w:val="bottom"/>
            <w:shd w:val="clear" w:color="auto" w:fill="DBDBDB"/>
          </w:tcPr>
          <w:p>
            <w:pPr>
              <w:spacing w:after="0"/>
              <w:rPr>
                <w:sz w:val="10"/>
                <w:szCs w:val="10"/>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1420" w:type="dxa"/>
            <w:vAlign w:val="bottom"/>
            <w:vMerge w:val="restart"/>
            <w:shd w:val="clear" w:color="auto" w:fill="DBDBDB"/>
          </w:tcPr>
          <w:p>
            <w:pPr>
              <w:jc w:val="center"/>
              <w:ind w:left="339"/>
              <w:spacing w:after="0"/>
              <w:rPr>
                <w:sz w:val="20"/>
                <w:szCs w:val="20"/>
                <w:color w:val="auto"/>
              </w:rPr>
            </w:pPr>
            <w:r>
              <w:rPr>
                <w:rFonts w:ascii="Arial" w:cs="Arial" w:eastAsia="Arial" w:hAnsi="Arial"/>
                <w:sz w:val="16"/>
                <w:szCs w:val="16"/>
                <w:color w:val="auto"/>
                <w:w w:val="99"/>
              </w:rPr>
              <w:t>—</w:t>
            </w:r>
          </w:p>
        </w:tc>
        <w:tc>
          <w:tcPr>
            <w:tcW w:w="2620" w:type="dxa"/>
            <w:vAlign w:val="bottom"/>
            <w:gridSpan w:val="3"/>
            <w:vMerge w:val="restart"/>
            <w:shd w:val="clear" w:color="auto" w:fill="DBDBDB"/>
          </w:tcPr>
          <w:p>
            <w:pPr>
              <w:ind w:left="1160"/>
              <w:spacing w:after="0"/>
              <w:rPr>
                <w:sz w:val="20"/>
                <w:szCs w:val="20"/>
                <w:color w:val="auto"/>
              </w:rPr>
            </w:pPr>
            <w:r>
              <w:rPr>
                <w:rFonts w:ascii="Arial" w:cs="Arial" w:eastAsia="Arial" w:hAnsi="Arial"/>
                <w:sz w:val="16"/>
                <w:szCs w:val="16"/>
                <w:color w:val="auto"/>
              </w:rPr>
              <w:t>26,310</w:t>
            </w:r>
          </w:p>
        </w:tc>
        <w:tc>
          <w:tcPr>
            <w:tcW w:w="360" w:type="dxa"/>
            <w:vAlign w:val="bottom"/>
            <w:shd w:val="clear" w:color="auto" w:fill="DBDBDB"/>
          </w:tcPr>
          <w:p>
            <w:pPr>
              <w:jc w:val="right"/>
              <w:spacing w:after="0" w:line="120" w:lineRule="exact"/>
              <w:rPr>
                <w:sz w:val="20"/>
                <w:szCs w:val="20"/>
                <w:color w:val="auto"/>
              </w:rPr>
            </w:pPr>
            <w:r>
              <w:rPr>
                <w:rFonts w:ascii="Arial" w:cs="Arial" w:eastAsia="Arial" w:hAnsi="Arial"/>
                <w:sz w:val="11"/>
                <w:szCs w:val="11"/>
                <w:color w:val="auto"/>
              </w:rPr>
              <w:t>(3)</w:t>
            </w:r>
          </w:p>
        </w:tc>
        <w:tc>
          <w:tcPr>
            <w:tcW w:w="1920" w:type="dxa"/>
            <w:vAlign w:val="bottom"/>
            <w:vMerge w:val="restart"/>
            <w:shd w:val="clear" w:color="auto" w:fill="DBDBDB"/>
          </w:tcPr>
          <w:p>
            <w:pPr>
              <w:jc w:val="right"/>
              <w:ind w:right="259"/>
              <w:spacing w:after="0"/>
              <w:rPr>
                <w:sz w:val="20"/>
                <w:szCs w:val="20"/>
                <w:color w:val="auto"/>
              </w:rPr>
            </w:pPr>
            <w:r>
              <w:rPr>
                <w:rFonts w:ascii="Arial" w:cs="Arial" w:eastAsia="Arial" w:hAnsi="Arial"/>
                <w:sz w:val="16"/>
                <w:szCs w:val="16"/>
                <w:color w:val="auto"/>
              </w:rPr>
              <w:t>1,261,301</w:t>
            </w:r>
          </w:p>
        </w:tc>
        <w:tc>
          <w:tcPr>
            <w:tcW w:w="0" w:type="dxa"/>
            <w:vAlign w:val="bottom"/>
          </w:tcPr>
          <w:p>
            <w:pPr>
              <w:spacing w:after="0"/>
              <w:rPr>
                <w:sz w:val="1"/>
                <w:szCs w:val="1"/>
                <w:color w:val="auto"/>
              </w:rPr>
            </w:pPr>
          </w:p>
        </w:tc>
      </w:tr>
      <w:tr>
        <w:trPr>
          <w:trHeight w:val="76"/>
        </w:trPr>
        <w:tc>
          <w:tcPr>
            <w:tcW w:w="2200" w:type="dxa"/>
            <w:vAlign w:val="bottom"/>
            <w:vMerge w:val="continue"/>
            <w:shd w:val="clear" w:color="auto" w:fill="DBDBDB"/>
          </w:tcPr>
          <w:p>
            <w:pPr>
              <w:spacing w:after="0"/>
              <w:rPr>
                <w:sz w:val="6"/>
                <w:szCs w:val="6"/>
                <w:color w:val="auto"/>
              </w:rPr>
            </w:pPr>
          </w:p>
        </w:tc>
        <w:tc>
          <w:tcPr>
            <w:tcW w:w="200" w:type="dxa"/>
            <w:vAlign w:val="bottom"/>
            <w:shd w:val="clear" w:color="auto" w:fill="DBDBDB"/>
          </w:tcPr>
          <w:p>
            <w:pPr>
              <w:spacing w:after="0"/>
              <w:rPr>
                <w:sz w:val="6"/>
                <w:szCs w:val="6"/>
                <w:color w:val="auto"/>
              </w:rPr>
            </w:pPr>
          </w:p>
        </w:tc>
        <w:tc>
          <w:tcPr>
            <w:tcW w:w="1880" w:type="dxa"/>
            <w:vAlign w:val="bottom"/>
            <w:vMerge w:val="continue"/>
            <w:shd w:val="clear" w:color="auto" w:fill="DBDBDB"/>
          </w:tcPr>
          <w:p>
            <w:pPr>
              <w:spacing w:after="0"/>
              <w:rPr>
                <w:sz w:val="6"/>
                <w:szCs w:val="6"/>
                <w:color w:val="auto"/>
              </w:rPr>
            </w:pPr>
          </w:p>
        </w:tc>
        <w:tc>
          <w:tcPr>
            <w:tcW w:w="38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420" w:type="dxa"/>
            <w:vAlign w:val="bottom"/>
            <w:vMerge w:val="continue"/>
            <w:shd w:val="clear" w:color="auto" w:fill="DBDBDB"/>
          </w:tcPr>
          <w:p>
            <w:pPr>
              <w:spacing w:after="0"/>
              <w:rPr>
                <w:sz w:val="6"/>
                <w:szCs w:val="6"/>
                <w:color w:val="auto"/>
              </w:rPr>
            </w:pPr>
          </w:p>
        </w:tc>
        <w:tc>
          <w:tcPr>
            <w:tcW w:w="2620" w:type="dxa"/>
            <w:vAlign w:val="bottom"/>
            <w:gridSpan w:val="3"/>
            <w:vMerge w:val="continue"/>
            <w:shd w:val="clear" w:color="auto" w:fill="DBDBDB"/>
          </w:tcPr>
          <w:p>
            <w:pPr>
              <w:spacing w:after="0"/>
              <w:rPr>
                <w:sz w:val="6"/>
                <w:szCs w:val="6"/>
                <w:color w:val="auto"/>
              </w:rPr>
            </w:pPr>
          </w:p>
        </w:tc>
        <w:tc>
          <w:tcPr>
            <w:tcW w:w="360" w:type="dxa"/>
            <w:vAlign w:val="bottom"/>
            <w:shd w:val="clear" w:color="auto" w:fill="DBDBDB"/>
          </w:tcPr>
          <w:p>
            <w:pPr>
              <w:spacing w:after="0"/>
              <w:rPr>
                <w:sz w:val="6"/>
                <w:szCs w:val="6"/>
                <w:color w:val="auto"/>
              </w:rPr>
            </w:pPr>
          </w:p>
        </w:tc>
        <w:tc>
          <w:tcPr>
            <w:tcW w:w="192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Silberhorn</w:t>
            </w:r>
          </w:p>
        </w:tc>
        <w:tc>
          <w:tcPr>
            <w:tcW w:w="200" w:type="dxa"/>
            <w:vAlign w:val="bottom"/>
            <w:shd w:val="clear" w:color="auto" w:fill="DBDBDB"/>
          </w:tcPr>
          <w:p>
            <w:pPr>
              <w:spacing w:after="0"/>
              <w:rPr>
                <w:sz w:val="18"/>
                <w:szCs w:val="18"/>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20" w:type="dxa"/>
            <w:vAlign w:val="bottom"/>
            <w:vMerge w:val="restart"/>
            <w:shd w:val="clear" w:color="auto" w:fill="DBDBDB"/>
          </w:tcPr>
          <w:p>
            <w:pPr>
              <w:jc w:val="center"/>
              <w:ind w:left="339"/>
              <w:spacing w:after="0"/>
              <w:rPr>
                <w:sz w:val="20"/>
                <w:szCs w:val="20"/>
                <w:color w:val="auto"/>
              </w:rPr>
            </w:pPr>
            <w:r>
              <w:rPr>
                <w:rFonts w:ascii="Arial" w:cs="Arial" w:eastAsia="Arial" w:hAnsi="Arial"/>
                <w:sz w:val="16"/>
                <w:szCs w:val="16"/>
                <w:color w:val="auto"/>
                <w:w w:val="99"/>
              </w:rPr>
              <w:t>—</w:t>
            </w:r>
          </w:p>
        </w:tc>
        <w:tc>
          <w:tcPr>
            <w:tcW w:w="2620" w:type="dxa"/>
            <w:vAlign w:val="bottom"/>
            <w:gridSpan w:val="3"/>
            <w:vMerge w:val="restart"/>
            <w:shd w:val="clear" w:color="auto" w:fill="DBDBDB"/>
          </w:tcPr>
          <w:p>
            <w:pPr>
              <w:ind w:left="1160"/>
              <w:spacing w:after="0"/>
              <w:rPr>
                <w:sz w:val="20"/>
                <w:szCs w:val="20"/>
                <w:color w:val="auto"/>
              </w:rPr>
            </w:pPr>
            <w:r>
              <w:rPr>
                <w:rFonts w:ascii="Arial" w:cs="Arial" w:eastAsia="Arial" w:hAnsi="Arial"/>
                <w:sz w:val="16"/>
                <w:szCs w:val="16"/>
                <w:color w:val="auto"/>
              </w:rPr>
              <w:t>33,734</w:t>
            </w:r>
          </w:p>
        </w:tc>
        <w:tc>
          <w:tcPr>
            <w:tcW w:w="3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w:t>
            </w:r>
          </w:p>
        </w:tc>
        <w:tc>
          <w:tcPr>
            <w:tcW w:w="1920" w:type="dxa"/>
            <w:vAlign w:val="bottom"/>
            <w:vMerge w:val="restart"/>
            <w:shd w:val="clear" w:color="auto" w:fill="DBDBDB"/>
          </w:tcPr>
          <w:p>
            <w:pPr>
              <w:jc w:val="right"/>
              <w:ind w:right="259"/>
              <w:spacing w:after="0"/>
              <w:rPr>
                <w:sz w:val="20"/>
                <w:szCs w:val="20"/>
                <w:color w:val="auto"/>
              </w:rPr>
            </w:pPr>
            <w:r>
              <w:rPr>
                <w:rFonts w:ascii="Arial" w:cs="Arial" w:eastAsia="Arial" w:hAnsi="Arial"/>
                <w:sz w:val="16"/>
                <w:szCs w:val="16"/>
                <w:color w:val="auto"/>
              </w:rPr>
              <w:t>1,617,208</w:t>
            </w:r>
          </w:p>
        </w:tc>
        <w:tc>
          <w:tcPr>
            <w:tcW w:w="0" w:type="dxa"/>
            <w:vAlign w:val="bottom"/>
          </w:tcPr>
          <w:p>
            <w:pPr>
              <w:spacing w:after="0"/>
              <w:rPr>
                <w:sz w:val="1"/>
                <w:szCs w:val="1"/>
                <w:color w:val="auto"/>
              </w:rPr>
            </w:pPr>
          </w:p>
        </w:tc>
      </w:tr>
      <w:tr>
        <w:trPr>
          <w:trHeight w:val="54"/>
        </w:trPr>
        <w:tc>
          <w:tcPr>
            <w:tcW w:w="2200" w:type="dxa"/>
            <w:vAlign w:val="bottom"/>
            <w:shd w:val="clear" w:color="auto" w:fill="DBDBDB"/>
          </w:tcPr>
          <w:p>
            <w:pPr>
              <w:spacing w:after="0"/>
              <w:rPr>
                <w:sz w:val="4"/>
                <w:szCs w:val="4"/>
                <w:color w:val="auto"/>
              </w:rPr>
            </w:pPr>
          </w:p>
        </w:tc>
        <w:tc>
          <w:tcPr>
            <w:tcW w:w="200" w:type="dxa"/>
            <w:vAlign w:val="bottom"/>
            <w:shd w:val="clear" w:color="auto" w:fill="DBDBDB"/>
          </w:tcPr>
          <w:p>
            <w:pPr>
              <w:spacing w:after="0"/>
              <w:rPr>
                <w:sz w:val="4"/>
                <w:szCs w:val="4"/>
                <w:color w:val="auto"/>
              </w:rPr>
            </w:pPr>
          </w:p>
        </w:tc>
        <w:tc>
          <w:tcPr>
            <w:tcW w:w="1880" w:type="dxa"/>
            <w:vAlign w:val="bottom"/>
            <w:vMerge w:val="continue"/>
            <w:shd w:val="clear" w:color="auto" w:fill="DBDBDB"/>
          </w:tcPr>
          <w:p>
            <w:pPr>
              <w:spacing w:after="0"/>
              <w:rPr>
                <w:sz w:val="4"/>
                <w:szCs w:val="4"/>
                <w:color w:val="auto"/>
              </w:rPr>
            </w:pPr>
          </w:p>
        </w:tc>
        <w:tc>
          <w:tcPr>
            <w:tcW w:w="380" w:type="dxa"/>
            <w:vAlign w:val="bottom"/>
            <w:shd w:val="clear" w:color="auto" w:fill="DBDBDB"/>
          </w:tcPr>
          <w:p>
            <w:pPr>
              <w:spacing w:after="0"/>
              <w:rPr>
                <w:sz w:val="4"/>
                <w:szCs w:val="4"/>
                <w:color w:val="auto"/>
              </w:rPr>
            </w:pPr>
          </w:p>
        </w:tc>
        <w:tc>
          <w:tcPr>
            <w:tcW w:w="100" w:type="dxa"/>
            <w:vAlign w:val="bottom"/>
            <w:shd w:val="clear" w:color="auto" w:fill="DBDBDB"/>
          </w:tcPr>
          <w:p>
            <w:pPr>
              <w:spacing w:after="0"/>
              <w:rPr>
                <w:sz w:val="4"/>
                <w:szCs w:val="4"/>
                <w:color w:val="auto"/>
              </w:rPr>
            </w:pPr>
          </w:p>
        </w:tc>
        <w:tc>
          <w:tcPr>
            <w:tcW w:w="1420" w:type="dxa"/>
            <w:vAlign w:val="bottom"/>
            <w:vMerge w:val="continue"/>
            <w:shd w:val="clear" w:color="auto" w:fill="DBDBDB"/>
          </w:tcPr>
          <w:p>
            <w:pPr>
              <w:spacing w:after="0"/>
              <w:rPr>
                <w:sz w:val="4"/>
                <w:szCs w:val="4"/>
                <w:color w:val="auto"/>
              </w:rPr>
            </w:pPr>
          </w:p>
        </w:tc>
        <w:tc>
          <w:tcPr>
            <w:tcW w:w="2620" w:type="dxa"/>
            <w:vAlign w:val="bottom"/>
            <w:gridSpan w:val="3"/>
            <w:vMerge w:val="continue"/>
            <w:shd w:val="clear" w:color="auto" w:fill="DBDBDB"/>
          </w:tcPr>
          <w:p>
            <w:pPr>
              <w:spacing w:after="0"/>
              <w:rPr>
                <w:sz w:val="4"/>
                <w:szCs w:val="4"/>
                <w:color w:val="auto"/>
              </w:rPr>
            </w:pPr>
          </w:p>
        </w:tc>
        <w:tc>
          <w:tcPr>
            <w:tcW w:w="360" w:type="dxa"/>
            <w:vAlign w:val="bottom"/>
            <w:shd w:val="clear" w:color="auto" w:fill="DBDBDB"/>
          </w:tcPr>
          <w:p>
            <w:pPr>
              <w:spacing w:after="0"/>
              <w:rPr>
                <w:sz w:val="4"/>
                <w:szCs w:val="4"/>
                <w:color w:val="auto"/>
              </w:rPr>
            </w:pPr>
          </w:p>
        </w:tc>
        <w:tc>
          <w:tcPr>
            <w:tcW w:w="192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vMerge w:val="restart"/>
            <w:shd w:val="clear" w:color="auto" w:fill="DBDBDB"/>
          </w:tcPr>
          <w:p>
            <w:pPr>
              <w:jc w:val="center"/>
              <w:ind w:left="339"/>
              <w:spacing w:after="0"/>
              <w:rPr>
                <w:sz w:val="20"/>
                <w:szCs w:val="20"/>
                <w:color w:val="auto"/>
              </w:rPr>
            </w:pPr>
            <w:r>
              <w:rPr>
                <w:rFonts w:ascii="Arial" w:cs="Arial" w:eastAsia="Arial" w:hAnsi="Arial"/>
                <w:sz w:val="16"/>
                <w:szCs w:val="16"/>
                <w:color w:val="auto"/>
                <w:w w:val="99"/>
              </w:rPr>
              <w:t>—</w:t>
            </w:r>
          </w:p>
        </w:tc>
        <w:tc>
          <w:tcPr>
            <w:tcW w:w="2620" w:type="dxa"/>
            <w:vAlign w:val="bottom"/>
            <w:gridSpan w:val="3"/>
            <w:vMerge w:val="restart"/>
            <w:shd w:val="clear" w:color="auto" w:fill="DBDBDB"/>
          </w:tcPr>
          <w:p>
            <w:pPr>
              <w:ind w:left="1160"/>
              <w:spacing w:after="0"/>
              <w:rPr>
                <w:sz w:val="20"/>
                <w:szCs w:val="20"/>
                <w:color w:val="auto"/>
              </w:rPr>
            </w:pPr>
            <w:r>
              <w:rPr>
                <w:rFonts w:ascii="Arial" w:cs="Arial" w:eastAsia="Arial" w:hAnsi="Arial"/>
                <w:sz w:val="16"/>
                <w:szCs w:val="16"/>
                <w:color w:val="auto"/>
              </w:rPr>
              <w:t>14,532</w:t>
            </w:r>
          </w:p>
        </w:tc>
        <w:tc>
          <w:tcPr>
            <w:tcW w:w="3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w:t>
            </w:r>
          </w:p>
        </w:tc>
        <w:tc>
          <w:tcPr>
            <w:tcW w:w="1920" w:type="dxa"/>
            <w:vAlign w:val="bottom"/>
            <w:vMerge w:val="restart"/>
            <w:shd w:val="clear" w:color="auto" w:fill="DBDBDB"/>
          </w:tcPr>
          <w:p>
            <w:pPr>
              <w:jc w:val="right"/>
              <w:ind w:right="259"/>
              <w:spacing w:after="0"/>
              <w:rPr>
                <w:sz w:val="20"/>
                <w:szCs w:val="20"/>
                <w:color w:val="auto"/>
              </w:rPr>
            </w:pPr>
            <w:r>
              <w:rPr>
                <w:rFonts w:ascii="Arial" w:cs="Arial" w:eastAsia="Arial" w:hAnsi="Arial"/>
                <w:sz w:val="16"/>
                <w:szCs w:val="16"/>
                <w:color w:val="auto"/>
              </w:rPr>
              <w:t>696,664</w:t>
            </w:r>
          </w:p>
        </w:tc>
        <w:tc>
          <w:tcPr>
            <w:tcW w:w="0" w:type="dxa"/>
            <w:vAlign w:val="bottom"/>
          </w:tcPr>
          <w:p>
            <w:pPr>
              <w:spacing w:after="0"/>
              <w:rPr>
                <w:sz w:val="1"/>
                <w:szCs w:val="1"/>
                <w:color w:val="auto"/>
              </w:rPr>
            </w:pPr>
          </w:p>
        </w:tc>
      </w:tr>
      <w:tr>
        <w:trPr>
          <w:trHeight w:val="99"/>
        </w:trPr>
        <w:tc>
          <w:tcPr>
            <w:tcW w:w="2200" w:type="dxa"/>
            <w:vAlign w:val="bottom"/>
            <w:shd w:val="clear" w:color="auto" w:fill="DBDBDB"/>
          </w:tcPr>
          <w:p>
            <w:pPr>
              <w:spacing w:after="0"/>
              <w:rPr>
                <w:sz w:val="8"/>
                <w:szCs w:val="8"/>
                <w:color w:val="auto"/>
              </w:rPr>
            </w:pPr>
          </w:p>
        </w:tc>
        <w:tc>
          <w:tcPr>
            <w:tcW w:w="200" w:type="dxa"/>
            <w:vAlign w:val="bottom"/>
            <w:shd w:val="clear" w:color="auto" w:fill="DBDBDB"/>
          </w:tcPr>
          <w:p>
            <w:pPr>
              <w:spacing w:after="0"/>
              <w:rPr>
                <w:sz w:val="8"/>
                <w:szCs w:val="8"/>
                <w:color w:val="auto"/>
              </w:rPr>
            </w:pPr>
          </w:p>
        </w:tc>
        <w:tc>
          <w:tcPr>
            <w:tcW w:w="1880" w:type="dxa"/>
            <w:vAlign w:val="bottom"/>
            <w:vMerge w:val="continue"/>
            <w:shd w:val="clear" w:color="auto" w:fill="DBDBDB"/>
          </w:tcPr>
          <w:p>
            <w:pPr>
              <w:spacing w:after="0"/>
              <w:rPr>
                <w:sz w:val="8"/>
                <w:szCs w:val="8"/>
                <w:color w:val="auto"/>
              </w:rPr>
            </w:pPr>
          </w:p>
        </w:tc>
        <w:tc>
          <w:tcPr>
            <w:tcW w:w="38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420" w:type="dxa"/>
            <w:vAlign w:val="bottom"/>
            <w:vMerge w:val="continue"/>
            <w:shd w:val="clear" w:color="auto" w:fill="DBDBDB"/>
          </w:tcPr>
          <w:p>
            <w:pPr>
              <w:spacing w:after="0"/>
              <w:rPr>
                <w:sz w:val="8"/>
                <w:szCs w:val="8"/>
                <w:color w:val="auto"/>
              </w:rPr>
            </w:pPr>
          </w:p>
        </w:tc>
        <w:tc>
          <w:tcPr>
            <w:tcW w:w="2620" w:type="dxa"/>
            <w:vAlign w:val="bottom"/>
            <w:gridSpan w:val="3"/>
            <w:vMerge w:val="continue"/>
            <w:shd w:val="clear" w:color="auto" w:fill="DBDBDB"/>
          </w:tcPr>
          <w:p>
            <w:pPr>
              <w:spacing w:after="0"/>
              <w:rPr>
                <w:sz w:val="8"/>
                <w:szCs w:val="8"/>
                <w:color w:val="auto"/>
              </w:rPr>
            </w:pPr>
          </w:p>
        </w:tc>
        <w:tc>
          <w:tcPr>
            <w:tcW w:w="360" w:type="dxa"/>
            <w:vAlign w:val="bottom"/>
            <w:shd w:val="clear" w:color="auto" w:fill="DBDBDB"/>
          </w:tcPr>
          <w:p>
            <w:pPr>
              <w:spacing w:after="0"/>
              <w:rPr>
                <w:sz w:val="8"/>
                <w:szCs w:val="8"/>
                <w:color w:val="auto"/>
              </w:rPr>
            </w:pPr>
          </w:p>
        </w:tc>
        <w:tc>
          <w:tcPr>
            <w:tcW w:w="192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29,354</w:t>
            </w:r>
          </w:p>
        </w:tc>
        <w:tc>
          <w:tcPr>
            <w:tcW w:w="3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w:t>
            </w:r>
          </w:p>
        </w:tc>
        <w:tc>
          <w:tcPr>
            <w:tcW w:w="1520" w:type="dxa"/>
            <w:vAlign w:val="bottom"/>
            <w:gridSpan w:val="2"/>
            <w:vMerge w:val="restart"/>
            <w:shd w:val="clear" w:color="auto" w:fill="DBDBDB"/>
          </w:tcPr>
          <w:p>
            <w:pPr>
              <w:jc w:val="right"/>
              <w:spacing w:after="0"/>
              <w:rPr>
                <w:sz w:val="20"/>
                <w:szCs w:val="20"/>
                <w:color w:val="auto"/>
              </w:rPr>
            </w:pPr>
            <w:r>
              <w:rPr>
                <w:rFonts w:ascii="Arial" w:cs="Arial" w:eastAsia="Arial" w:hAnsi="Arial"/>
                <w:sz w:val="16"/>
                <w:szCs w:val="16"/>
                <w:color w:val="auto"/>
              </w:rPr>
              <w:t>1,407,231</w:t>
            </w:r>
          </w:p>
        </w:tc>
        <w:tc>
          <w:tcPr>
            <w:tcW w:w="5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shd w:val="clear" w:color="auto" w:fill="DBDBDB"/>
          </w:tcPr>
          <w:p>
            <w:pPr>
              <w:spacing w:after="0"/>
              <w:rPr>
                <w:sz w:val="12"/>
                <w:szCs w:val="12"/>
                <w:color w:val="auto"/>
              </w:rPr>
            </w:pPr>
          </w:p>
        </w:tc>
        <w:tc>
          <w:tcPr>
            <w:tcW w:w="1920" w:type="dxa"/>
            <w:vAlign w:val="bottom"/>
            <w:vMerge w:val="restart"/>
            <w:shd w:val="clear" w:color="auto" w:fill="DBDBDB"/>
          </w:tcPr>
          <w:p>
            <w:pPr>
              <w:jc w:val="right"/>
              <w:ind w:right="7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200" w:type="dxa"/>
            <w:vAlign w:val="bottom"/>
            <w:shd w:val="clear" w:color="auto" w:fill="DBDBDB"/>
          </w:tcPr>
          <w:p>
            <w:pPr>
              <w:spacing w:after="0"/>
              <w:rPr>
                <w:sz w:val="8"/>
                <w:szCs w:val="8"/>
                <w:color w:val="auto"/>
              </w:rPr>
            </w:pPr>
          </w:p>
        </w:tc>
        <w:tc>
          <w:tcPr>
            <w:tcW w:w="200" w:type="dxa"/>
            <w:vAlign w:val="bottom"/>
            <w:shd w:val="clear" w:color="auto" w:fill="DBDBDB"/>
          </w:tcPr>
          <w:p>
            <w:pPr>
              <w:spacing w:after="0"/>
              <w:rPr>
                <w:sz w:val="8"/>
                <w:szCs w:val="8"/>
                <w:color w:val="auto"/>
              </w:rPr>
            </w:pPr>
          </w:p>
        </w:tc>
        <w:tc>
          <w:tcPr>
            <w:tcW w:w="1880" w:type="dxa"/>
            <w:vAlign w:val="bottom"/>
            <w:vMerge w:val="continue"/>
            <w:shd w:val="clear" w:color="auto" w:fill="DBDBDB"/>
          </w:tcPr>
          <w:p>
            <w:pPr>
              <w:spacing w:after="0"/>
              <w:rPr>
                <w:sz w:val="8"/>
                <w:szCs w:val="8"/>
                <w:color w:val="auto"/>
              </w:rPr>
            </w:pPr>
          </w:p>
        </w:tc>
        <w:tc>
          <w:tcPr>
            <w:tcW w:w="380" w:type="dxa"/>
            <w:vAlign w:val="bottom"/>
            <w:shd w:val="clear" w:color="auto" w:fill="DBDBDB"/>
          </w:tcPr>
          <w:p>
            <w:pPr>
              <w:spacing w:after="0"/>
              <w:rPr>
                <w:sz w:val="8"/>
                <w:szCs w:val="8"/>
                <w:color w:val="auto"/>
              </w:rPr>
            </w:pPr>
          </w:p>
        </w:tc>
        <w:tc>
          <w:tcPr>
            <w:tcW w:w="1520" w:type="dxa"/>
            <w:vAlign w:val="bottom"/>
            <w:gridSpan w:val="2"/>
            <w:vMerge w:val="continue"/>
            <w:shd w:val="clear" w:color="auto" w:fill="DBDBDB"/>
          </w:tcPr>
          <w:p>
            <w:pPr>
              <w:spacing w:after="0"/>
              <w:rPr>
                <w:sz w:val="8"/>
                <w:szCs w:val="8"/>
                <w:color w:val="auto"/>
              </w:rPr>
            </w:pPr>
          </w:p>
        </w:tc>
        <w:tc>
          <w:tcPr>
            <w:tcW w:w="52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020" w:type="dxa"/>
            <w:vAlign w:val="bottom"/>
            <w:vMerge w:val="continue"/>
            <w:shd w:val="clear" w:color="auto" w:fill="DBDBDB"/>
          </w:tcPr>
          <w:p>
            <w:pPr>
              <w:spacing w:after="0"/>
              <w:rPr>
                <w:sz w:val="8"/>
                <w:szCs w:val="8"/>
                <w:color w:val="auto"/>
              </w:rPr>
            </w:pPr>
          </w:p>
        </w:tc>
        <w:tc>
          <w:tcPr>
            <w:tcW w:w="360" w:type="dxa"/>
            <w:vAlign w:val="bottom"/>
            <w:shd w:val="clear" w:color="auto" w:fill="DBDBDB"/>
          </w:tcPr>
          <w:p>
            <w:pPr>
              <w:spacing w:after="0"/>
              <w:rPr>
                <w:sz w:val="8"/>
                <w:szCs w:val="8"/>
                <w:color w:val="auto"/>
              </w:rPr>
            </w:pPr>
          </w:p>
        </w:tc>
        <w:tc>
          <w:tcPr>
            <w:tcW w:w="192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5,847</w:t>
            </w:r>
          </w:p>
        </w:tc>
        <w:tc>
          <w:tcPr>
            <w:tcW w:w="3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DBDBDB"/>
          </w:tcPr>
          <w:p>
            <w:pPr>
              <w:spacing w:after="0"/>
              <w:rPr>
                <w:sz w:val="12"/>
                <w:szCs w:val="12"/>
                <w:color w:val="auto"/>
              </w:rPr>
            </w:pPr>
          </w:p>
        </w:tc>
        <w:tc>
          <w:tcPr>
            <w:tcW w:w="14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280,305</w:t>
            </w:r>
          </w:p>
        </w:tc>
        <w:tc>
          <w:tcPr>
            <w:tcW w:w="5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shd w:val="clear" w:color="auto" w:fill="DBDBDB"/>
          </w:tcPr>
          <w:p>
            <w:pPr>
              <w:spacing w:after="0"/>
              <w:rPr>
                <w:sz w:val="12"/>
                <w:szCs w:val="12"/>
                <w:color w:val="auto"/>
              </w:rPr>
            </w:pPr>
          </w:p>
        </w:tc>
        <w:tc>
          <w:tcPr>
            <w:tcW w:w="1920" w:type="dxa"/>
            <w:vAlign w:val="bottom"/>
            <w:vMerge w:val="restart"/>
            <w:shd w:val="clear" w:color="auto" w:fill="DBDBDB"/>
          </w:tcPr>
          <w:p>
            <w:pPr>
              <w:jc w:val="right"/>
              <w:ind w:right="7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200" w:type="dxa"/>
            <w:vAlign w:val="bottom"/>
            <w:shd w:val="clear" w:color="auto" w:fill="DBDBDB"/>
          </w:tcPr>
          <w:p>
            <w:pPr>
              <w:spacing w:after="0"/>
              <w:rPr>
                <w:sz w:val="8"/>
                <w:szCs w:val="8"/>
                <w:color w:val="auto"/>
              </w:rPr>
            </w:pPr>
          </w:p>
        </w:tc>
        <w:tc>
          <w:tcPr>
            <w:tcW w:w="200" w:type="dxa"/>
            <w:vAlign w:val="bottom"/>
            <w:shd w:val="clear" w:color="auto" w:fill="DBDBDB"/>
          </w:tcPr>
          <w:p>
            <w:pPr>
              <w:spacing w:after="0"/>
              <w:rPr>
                <w:sz w:val="8"/>
                <w:szCs w:val="8"/>
                <w:color w:val="auto"/>
              </w:rPr>
            </w:pPr>
          </w:p>
        </w:tc>
        <w:tc>
          <w:tcPr>
            <w:tcW w:w="1880" w:type="dxa"/>
            <w:vAlign w:val="bottom"/>
            <w:vMerge w:val="continue"/>
            <w:shd w:val="clear" w:color="auto" w:fill="DBDBDB"/>
          </w:tcPr>
          <w:p>
            <w:pPr>
              <w:spacing w:after="0"/>
              <w:rPr>
                <w:sz w:val="8"/>
                <w:szCs w:val="8"/>
                <w:color w:val="auto"/>
              </w:rPr>
            </w:pPr>
          </w:p>
        </w:tc>
        <w:tc>
          <w:tcPr>
            <w:tcW w:w="38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420" w:type="dxa"/>
            <w:vAlign w:val="bottom"/>
            <w:vMerge w:val="continue"/>
            <w:shd w:val="clear" w:color="auto" w:fill="DBDBDB"/>
          </w:tcPr>
          <w:p>
            <w:pPr>
              <w:spacing w:after="0"/>
              <w:rPr>
                <w:sz w:val="8"/>
                <w:szCs w:val="8"/>
                <w:color w:val="auto"/>
              </w:rPr>
            </w:pPr>
          </w:p>
        </w:tc>
        <w:tc>
          <w:tcPr>
            <w:tcW w:w="52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020" w:type="dxa"/>
            <w:vAlign w:val="bottom"/>
            <w:vMerge w:val="continue"/>
            <w:shd w:val="clear" w:color="auto" w:fill="DBDBDB"/>
          </w:tcPr>
          <w:p>
            <w:pPr>
              <w:spacing w:after="0"/>
              <w:rPr>
                <w:sz w:val="8"/>
                <w:szCs w:val="8"/>
                <w:color w:val="auto"/>
              </w:rPr>
            </w:pPr>
          </w:p>
        </w:tc>
        <w:tc>
          <w:tcPr>
            <w:tcW w:w="360" w:type="dxa"/>
            <w:vAlign w:val="bottom"/>
            <w:shd w:val="clear" w:color="auto" w:fill="DBDBDB"/>
          </w:tcPr>
          <w:p>
            <w:pPr>
              <w:spacing w:after="0"/>
              <w:rPr>
                <w:sz w:val="8"/>
                <w:szCs w:val="8"/>
                <w:color w:val="auto"/>
              </w:rPr>
            </w:pPr>
          </w:p>
        </w:tc>
        <w:tc>
          <w:tcPr>
            <w:tcW w:w="192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14,993</w:t>
            </w:r>
          </w:p>
        </w:tc>
        <w:tc>
          <w:tcPr>
            <w:tcW w:w="3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w:t>
            </w:r>
          </w:p>
        </w:tc>
        <w:tc>
          <w:tcPr>
            <w:tcW w:w="100" w:type="dxa"/>
            <w:vAlign w:val="bottom"/>
            <w:shd w:val="clear" w:color="auto" w:fill="DBDBDB"/>
          </w:tcPr>
          <w:p>
            <w:pPr>
              <w:spacing w:after="0"/>
              <w:rPr>
                <w:sz w:val="12"/>
                <w:szCs w:val="12"/>
                <w:color w:val="auto"/>
              </w:rPr>
            </w:pPr>
          </w:p>
        </w:tc>
        <w:tc>
          <w:tcPr>
            <w:tcW w:w="14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718,764</w:t>
            </w:r>
          </w:p>
        </w:tc>
        <w:tc>
          <w:tcPr>
            <w:tcW w:w="5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shd w:val="clear" w:color="auto" w:fill="DBDBDB"/>
          </w:tcPr>
          <w:p>
            <w:pPr>
              <w:spacing w:after="0"/>
              <w:rPr>
                <w:sz w:val="12"/>
                <w:szCs w:val="12"/>
                <w:color w:val="auto"/>
              </w:rPr>
            </w:pPr>
          </w:p>
        </w:tc>
        <w:tc>
          <w:tcPr>
            <w:tcW w:w="1920" w:type="dxa"/>
            <w:vAlign w:val="bottom"/>
            <w:vMerge w:val="restart"/>
            <w:shd w:val="clear" w:color="auto" w:fill="DBDBDB"/>
          </w:tcPr>
          <w:p>
            <w:pPr>
              <w:jc w:val="right"/>
              <w:ind w:right="7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200" w:type="dxa"/>
            <w:vAlign w:val="bottom"/>
            <w:shd w:val="clear" w:color="auto" w:fill="DBDBDB"/>
          </w:tcPr>
          <w:p>
            <w:pPr>
              <w:spacing w:after="0"/>
              <w:rPr>
                <w:sz w:val="8"/>
                <w:szCs w:val="8"/>
                <w:color w:val="auto"/>
              </w:rPr>
            </w:pPr>
          </w:p>
        </w:tc>
        <w:tc>
          <w:tcPr>
            <w:tcW w:w="200" w:type="dxa"/>
            <w:vAlign w:val="bottom"/>
            <w:shd w:val="clear" w:color="auto" w:fill="DBDBDB"/>
          </w:tcPr>
          <w:p>
            <w:pPr>
              <w:spacing w:after="0"/>
              <w:rPr>
                <w:sz w:val="8"/>
                <w:szCs w:val="8"/>
                <w:color w:val="auto"/>
              </w:rPr>
            </w:pPr>
          </w:p>
        </w:tc>
        <w:tc>
          <w:tcPr>
            <w:tcW w:w="1880" w:type="dxa"/>
            <w:vAlign w:val="bottom"/>
            <w:vMerge w:val="continue"/>
            <w:shd w:val="clear" w:color="auto" w:fill="DBDBDB"/>
          </w:tcPr>
          <w:p>
            <w:pPr>
              <w:spacing w:after="0"/>
              <w:rPr>
                <w:sz w:val="8"/>
                <w:szCs w:val="8"/>
                <w:color w:val="auto"/>
              </w:rPr>
            </w:pPr>
          </w:p>
        </w:tc>
        <w:tc>
          <w:tcPr>
            <w:tcW w:w="38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420" w:type="dxa"/>
            <w:vAlign w:val="bottom"/>
            <w:vMerge w:val="continue"/>
            <w:shd w:val="clear" w:color="auto" w:fill="DBDBDB"/>
          </w:tcPr>
          <w:p>
            <w:pPr>
              <w:spacing w:after="0"/>
              <w:rPr>
                <w:sz w:val="8"/>
                <w:szCs w:val="8"/>
                <w:color w:val="auto"/>
              </w:rPr>
            </w:pPr>
          </w:p>
        </w:tc>
        <w:tc>
          <w:tcPr>
            <w:tcW w:w="52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020" w:type="dxa"/>
            <w:vAlign w:val="bottom"/>
            <w:vMerge w:val="continue"/>
            <w:shd w:val="clear" w:color="auto" w:fill="DBDBDB"/>
          </w:tcPr>
          <w:p>
            <w:pPr>
              <w:spacing w:after="0"/>
              <w:rPr>
                <w:sz w:val="8"/>
                <w:szCs w:val="8"/>
                <w:color w:val="auto"/>
              </w:rPr>
            </w:pPr>
          </w:p>
        </w:tc>
        <w:tc>
          <w:tcPr>
            <w:tcW w:w="360" w:type="dxa"/>
            <w:vAlign w:val="bottom"/>
            <w:shd w:val="clear" w:color="auto" w:fill="DBDBDB"/>
          </w:tcPr>
          <w:p>
            <w:pPr>
              <w:spacing w:after="0"/>
              <w:rPr>
                <w:sz w:val="8"/>
                <w:szCs w:val="8"/>
                <w:color w:val="auto"/>
              </w:rPr>
            </w:pPr>
          </w:p>
        </w:tc>
        <w:tc>
          <w:tcPr>
            <w:tcW w:w="192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19,376</w:t>
            </w:r>
          </w:p>
        </w:tc>
        <w:tc>
          <w:tcPr>
            <w:tcW w:w="3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w:t>
            </w:r>
          </w:p>
        </w:tc>
        <w:tc>
          <w:tcPr>
            <w:tcW w:w="1520" w:type="dxa"/>
            <w:vAlign w:val="bottom"/>
            <w:gridSpan w:val="2"/>
            <w:vMerge w:val="restart"/>
            <w:shd w:val="clear" w:color="auto" w:fill="DBDBDB"/>
          </w:tcPr>
          <w:p>
            <w:pPr>
              <w:jc w:val="right"/>
              <w:spacing w:after="0"/>
              <w:rPr>
                <w:sz w:val="20"/>
                <w:szCs w:val="20"/>
                <w:color w:val="auto"/>
              </w:rPr>
            </w:pPr>
            <w:r>
              <w:rPr>
                <w:rFonts w:ascii="Arial" w:cs="Arial" w:eastAsia="Arial" w:hAnsi="Arial"/>
                <w:sz w:val="16"/>
                <w:szCs w:val="16"/>
                <w:color w:val="auto"/>
              </w:rPr>
              <w:t>928,885</w:t>
            </w:r>
          </w:p>
        </w:tc>
        <w:tc>
          <w:tcPr>
            <w:tcW w:w="5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shd w:val="clear" w:color="auto" w:fill="DBDBDB"/>
          </w:tcPr>
          <w:p>
            <w:pPr>
              <w:spacing w:after="0"/>
              <w:rPr>
                <w:sz w:val="12"/>
                <w:szCs w:val="12"/>
                <w:color w:val="auto"/>
              </w:rPr>
            </w:pPr>
          </w:p>
        </w:tc>
        <w:tc>
          <w:tcPr>
            <w:tcW w:w="1920" w:type="dxa"/>
            <w:vAlign w:val="bottom"/>
            <w:vMerge w:val="restart"/>
            <w:shd w:val="clear" w:color="auto" w:fill="DBDBDB"/>
          </w:tcPr>
          <w:p>
            <w:pPr>
              <w:jc w:val="right"/>
              <w:ind w:right="7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5"/>
        </w:trPr>
        <w:tc>
          <w:tcPr>
            <w:tcW w:w="2200" w:type="dxa"/>
            <w:vAlign w:val="bottom"/>
            <w:shd w:val="clear" w:color="auto" w:fill="DBDBDB"/>
          </w:tcPr>
          <w:p>
            <w:pPr>
              <w:spacing w:after="0"/>
              <w:rPr>
                <w:sz w:val="9"/>
                <w:szCs w:val="9"/>
                <w:color w:val="auto"/>
              </w:rPr>
            </w:pPr>
          </w:p>
        </w:tc>
        <w:tc>
          <w:tcPr>
            <w:tcW w:w="200" w:type="dxa"/>
            <w:vAlign w:val="bottom"/>
            <w:shd w:val="clear" w:color="auto" w:fill="DBDBDB"/>
          </w:tcPr>
          <w:p>
            <w:pPr>
              <w:spacing w:after="0"/>
              <w:rPr>
                <w:sz w:val="9"/>
                <w:szCs w:val="9"/>
                <w:color w:val="auto"/>
              </w:rPr>
            </w:pPr>
          </w:p>
        </w:tc>
        <w:tc>
          <w:tcPr>
            <w:tcW w:w="1880" w:type="dxa"/>
            <w:vAlign w:val="bottom"/>
            <w:vMerge w:val="continue"/>
            <w:shd w:val="clear" w:color="auto" w:fill="DBDBDB"/>
          </w:tcPr>
          <w:p>
            <w:pPr>
              <w:spacing w:after="0"/>
              <w:rPr>
                <w:sz w:val="9"/>
                <w:szCs w:val="9"/>
                <w:color w:val="auto"/>
              </w:rPr>
            </w:pPr>
          </w:p>
        </w:tc>
        <w:tc>
          <w:tcPr>
            <w:tcW w:w="380" w:type="dxa"/>
            <w:vAlign w:val="bottom"/>
            <w:shd w:val="clear" w:color="auto" w:fill="DBDBDB"/>
          </w:tcPr>
          <w:p>
            <w:pPr>
              <w:spacing w:after="0"/>
              <w:rPr>
                <w:sz w:val="9"/>
                <w:szCs w:val="9"/>
                <w:color w:val="auto"/>
              </w:rPr>
            </w:pPr>
          </w:p>
        </w:tc>
        <w:tc>
          <w:tcPr>
            <w:tcW w:w="1520" w:type="dxa"/>
            <w:vAlign w:val="bottom"/>
            <w:gridSpan w:val="2"/>
            <w:vMerge w:val="continue"/>
            <w:shd w:val="clear" w:color="auto" w:fill="DBDBDB"/>
          </w:tcPr>
          <w:p>
            <w:pPr>
              <w:spacing w:after="0"/>
              <w:rPr>
                <w:sz w:val="9"/>
                <w:szCs w:val="9"/>
                <w:color w:val="auto"/>
              </w:rPr>
            </w:pPr>
          </w:p>
        </w:tc>
        <w:tc>
          <w:tcPr>
            <w:tcW w:w="52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2020" w:type="dxa"/>
            <w:vAlign w:val="bottom"/>
            <w:vMerge w:val="continue"/>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92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200" w:type="dxa"/>
            <w:vAlign w:val="bottom"/>
            <w:vMerge w:val="restart"/>
          </w:tcPr>
          <w:p>
            <w:pPr>
              <w:ind w:left="20"/>
              <w:spacing w:after="0"/>
              <w:rPr>
                <w:sz w:val="20"/>
                <w:szCs w:val="20"/>
                <w:color w:val="auto"/>
              </w:rPr>
            </w:pPr>
            <w:r>
              <w:rPr>
                <w:rFonts w:ascii="Arial" w:cs="Arial" w:eastAsia="Arial" w:hAnsi="Arial"/>
                <w:sz w:val="16"/>
                <w:szCs w:val="16"/>
                <w:color w:val="auto"/>
              </w:rPr>
              <w:t>Matthew J.</w:t>
            </w:r>
          </w:p>
        </w:tc>
        <w:tc>
          <w:tcPr>
            <w:tcW w:w="200" w:type="dxa"/>
            <w:vAlign w:val="bottom"/>
          </w:tcPr>
          <w:p>
            <w:pPr>
              <w:spacing w:after="0"/>
              <w:rPr>
                <w:sz w:val="12"/>
                <w:szCs w:val="12"/>
                <w:color w:val="auto"/>
              </w:rPr>
            </w:pPr>
          </w:p>
        </w:tc>
        <w:tc>
          <w:tcPr>
            <w:tcW w:w="188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center"/>
              <w:ind w:left="339"/>
              <w:spacing w:after="0"/>
              <w:rPr>
                <w:sz w:val="20"/>
                <w:szCs w:val="20"/>
                <w:color w:val="auto"/>
              </w:rPr>
            </w:pPr>
            <w:r>
              <w:rPr>
                <w:rFonts w:ascii="Arial" w:cs="Arial" w:eastAsia="Arial" w:hAnsi="Arial"/>
                <w:sz w:val="16"/>
                <w:szCs w:val="16"/>
                <w:color w:val="auto"/>
                <w:w w:val="99"/>
              </w:rPr>
              <w:t>—</w:t>
            </w:r>
          </w:p>
        </w:tc>
        <w:tc>
          <w:tcPr>
            <w:tcW w:w="2620" w:type="dxa"/>
            <w:vAlign w:val="bottom"/>
            <w:gridSpan w:val="3"/>
            <w:vMerge w:val="restart"/>
          </w:tcPr>
          <w:p>
            <w:pPr>
              <w:ind w:left="1160"/>
              <w:spacing w:after="0"/>
              <w:rPr>
                <w:sz w:val="20"/>
                <w:szCs w:val="20"/>
                <w:color w:val="auto"/>
              </w:rPr>
            </w:pPr>
            <w:r>
              <w:rPr>
                <w:rFonts w:ascii="Arial" w:cs="Arial" w:eastAsia="Arial" w:hAnsi="Arial"/>
                <w:sz w:val="16"/>
                <w:szCs w:val="16"/>
                <w:color w:val="auto"/>
              </w:rPr>
              <w:t>11,102</w:t>
            </w:r>
          </w:p>
        </w:tc>
        <w:tc>
          <w:tcPr>
            <w:tcW w:w="360" w:type="dxa"/>
            <w:vAlign w:val="bottom"/>
          </w:tcPr>
          <w:p>
            <w:pPr>
              <w:jc w:val="right"/>
              <w:spacing w:after="0"/>
              <w:rPr>
                <w:sz w:val="20"/>
                <w:szCs w:val="20"/>
                <w:color w:val="auto"/>
              </w:rPr>
            </w:pPr>
            <w:r>
              <w:rPr>
                <w:rFonts w:ascii="Arial" w:cs="Arial" w:eastAsia="Arial" w:hAnsi="Arial"/>
                <w:sz w:val="11"/>
                <w:szCs w:val="11"/>
                <w:color w:val="auto"/>
              </w:rPr>
              <w:t>(4)</w:t>
            </w:r>
          </w:p>
        </w:tc>
        <w:tc>
          <w:tcPr>
            <w:tcW w:w="1920" w:type="dxa"/>
            <w:vAlign w:val="bottom"/>
            <w:vMerge w:val="restart"/>
          </w:tcPr>
          <w:p>
            <w:pPr>
              <w:jc w:val="right"/>
              <w:ind w:right="259"/>
              <w:spacing w:after="0"/>
              <w:rPr>
                <w:sz w:val="20"/>
                <w:szCs w:val="20"/>
                <w:color w:val="auto"/>
              </w:rPr>
            </w:pPr>
            <w:r>
              <w:rPr>
                <w:rFonts w:ascii="Arial" w:cs="Arial" w:eastAsia="Arial" w:hAnsi="Arial"/>
                <w:sz w:val="16"/>
                <w:szCs w:val="16"/>
                <w:color w:val="auto"/>
              </w:rPr>
              <w:t>532,230</w:t>
            </w:r>
          </w:p>
        </w:tc>
        <w:tc>
          <w:tcPr>
            <w:tcW w:w="0" w:type="dxa"/>
            <w:vAlign w:val="bottom"/>
          </w:tcPr>
          <w:p>
            <w:pPr>
              <w:spacing w:after="0"/>
              <w:rPr>
                <w:sz w:val="1"/>
                <w:szCs w:val="1"/>
                <w:color w:val="auto"/>
              </w:rPr>
            </w:pPr>
          </w:p>
        </w:tc>
      </w:tr>
      <w:tr>
        <w:trPr>
          <w:trHeight w:val="63"/>
        </w:trPr>
        <w:tc>
          <w:tcPr>
            <w:tcW w:w="22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262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20"/>
              <w:spacing w:after="0"/>
              <w:rPr>
                <w:sz w:val="20"/>
                <w:szCs w:val="20"/>
                <w:color w:val="auto"/>
              </w:rPr>
            </w:pPr>
            <w:r>
              <w:rPr>
                <w:rFonts w:ascii="Arial" w:cs="Arial" w:eastAsia="Arial" w:hAnsi="Arial"/>
                <w:sz w:val="16"/>
                <w:szCs w:val="16"/>
                <w:color w:val="auto"/>
              </w:rPr>
              <w:t>Osberg</w:t>
            </w:r>
          </w:p>
        </w:tc>
        <w:tc>
          <w:tcPr>
            <w:tcW w:w="200" w:type="dxa"/>
            <w:vAlign w:val="bottom"/>
          </w:tcPr>
          <w:p>
            <w:pPr>
              <w:spacing w:after="0"/>
              <w:rPr>
                <w:sz w:val="18"/>
                <w:szCs w:val="18"/>
                <w:color w:val="auto"/>
              </w:rPr>
            </w:pPr>
          </w:p>
        </w:tc>
        <w:tc>
          <w:tcPr>
            <w:tcW w:w="188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restart"/>
          </w:tcPr>
          <w:p>
            <w:pPr>
              <w:jc w:val="center"/>
              <w:ind w:left="339"/>
              <w:spacing w:after="0"/>
              <w:rPr>
                <w:sz w:val="20"/>
                <w:szCs w:val="20"/>
                <w:color w:val="auto"/>
              </w:rPr>
            </w:pPr>
            <w:r>
              <w:rPr>
                <w:rFonts w:ascii="Arial" w:cs="Arial" w:eastAsia="Arial" w:hAnsi="Arial"/>
                <w:sz w:val="16"/>
                <w:szCs w:val="16"/>
                <w:color w:val="auto"/>
                <w:w w:val="99"/>
              </w:rPr>
              <w:t>—</w:t>
            </w:r>
          </w:p>
        </w:tc>
        <w:tc>
          <w:tcPr>
            <w:tcW w:w="2620" w:type="dxa"/>
            <w:vAlign w:val="bottom"/>
            <w:gridSpan w:val="3"/>
            <w:vMerge w:val="restart"/>
          </w:tcPr>
          <w:p>
            <w:pPr>
              <w:jc w:val="right"/>
              <w:ind w:right="860"/>
              <w:spacing w:after="0"/>
              <w:rPr>
                <w:sz w:val="20"/>
                <w:szCs w:val="20"/>
                <w:color w:val="auto"/>
              </w:rPr>
            </w:pPr>
            <w:r>
              <w:rPr>
                <w:rFonts w:ascii="Arial" w:cs="Arial" w:eastAsia="Arial" w:hAnsi="Arial"/>
                <w:sz w:val="16"/>
                <w:szCs w:val="16"/>
                <w:color w:val="auto"/>
              </w:rPr>
              <w:t>3,874</w:t>
            </w:r>
          </w:p>
        </w:tc>
        <w:tc>
          <w:tcPr>
            <w:tcW w:w="360" w:type="dxa"/>
            <w:vAlign w:val="bottom"/>
          </w:tcPr>
          <w:p>
            <w:pPr>
              <w:jc w:val="right"/>
              <w:spacing w:after="0"/>
              <w:rPr>
                <w:sz w:val="20"/>
                <w:szCs w:val="20"/>
                <w:color w:val="auto"/>
              </w:rPr>
            </w:pPr>
            <w:r>
              <w:rPr>
                <w:rFonts w:ascii="Arial" w:cs="Arial" w:eastAsia="Arial" w:hAnsi="Arial"/>
                <w:sz w:val="11"/>
                <w:szCs w:val="11"/>
                <w:color w:val="auto"/>
              </w:rPr>
              <w:t>(5)</w:t>
            </w:r>
          </w:p>
        </w:tc>
        <w:tc>
          <w:tcPr>
            <w:tcW w:w="1920" w:type="dxa"/>
            <w:vAlign w:val="bottom"/>
            <w:vMerge w:val="restart"/>
          </w:tcPr>
          <w:p>
            <w:pPr>
              <w:jc w:val="right"/>
              <w:ind w:right="799"/>
              <w:spacing w:after="0"/>
              <w:rPr>
                <w:sz w:val="20"/>
                <w:szCs w:val="20"/>
                <w:color w:val="auto"/>
              </w:rPr>
            </w:pPr>
            <w:r>
              <w:rPr>
                <w:rFonts w:ascii="Arial" w:cs="Arial" w:eastAsia="Arial" w:hAnsi="Arial"/>
                <w:sz w:val="16"/>
                <w:szCs w:val="16"/>
                <w:color w:val="auto"/>
              </w:rPr>
              <w:t>185,720</w:t>
            </w: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2620" w:type="dxa"/>
            <w:vAlign w:val="bottom"/>
            <w:gridSpan w:val="3"/>
            <w:vMerge w:val="continue"/>
          </w:tcPr>
          <w:p>
            <w:pPr>
              <w:spacing w:after="0"/>
              <w:rPr>
                <w:sz w:val="4"/>
                <w:szCs w:val="4"/>
                <w:color w:val="auto"/>
              </w:rPr>
            </w:pPr>
          </w:p>
        </w:tc>
        <w:tc>
          <w:tcPr>
            <w:tcW w:w="36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2080" w:type="dxa"/>
            <w:vAlign w:val="bottom"/>
            <w:gridSpan w:val="2"/>
            <w:vMerge w:val="restart"/>
          </w:tcPr>
          <w:p>
            <w:pPr>
              <w:jc w:val="center"/>
              <w:ind w:left="119"/>
              <w:spacing w:after="0"/>
              <w:rPr>
                <w:sz w:val="20"/>
                <w:szCs w:val="20"/>
                <w:color w:val="auto"/>
              </w:rPr>
            </w:pPr>
            <w:r>
              <w:rPr>
                <w:rFonts w:ascii="Arial" w:cs="Arial" w:eastAsia="Arial" w:hAnsi="Arial"/>
                <w:sz w:val="16"/>
                <w:szCs w:val="16"/>
                <w:color w:val="auto"/>
                <w:w w:val="99"/>
              </w:rPr>
              <w:t>9,869</w:t>
            </w:r>
          </w:p>
        </w:tc>
        <w:tc>
          <w:tcPr>
            <w:tcW w:w="380" w:type="dxa"/>
            <w:vAlign w:val="bottom"/>
          </w:tcPr>
          <w:p>
            <w:pPr>
              <w:jc w:val="right"/>
              <w:spacing w:after="0"/>
              <w:rPr>
                <w:sz w:val="20"/>
                <w:szCs w:val="20"/>
                <w:color w:val="auto"/>
              </w:rPr>
            </w:pPr>
            <w:r>
              <w:rPr>
                <w:rFonts w:ascii="Arial" w:cs="Arial" w:eastAsia="Arial" w:hAnsi="Arial"/>
                <w:sz w:val="11"/>
                <w:szCs w:val="11"/>
                <w:color w:val="auto"/>
              </w:rPr>
              <w:t>(10)</w:t>
            </w:r>
          </w:p>
        </w:tc>
        <w:tc>
          <w:tcPr>
            <w:tcW w:w="1520" w:type="dxa"/>
            <w:vAlign w:val="bottom"/>
            <w:gridSpan w:val="2"/>
            <w:vMerge w:val="restart"/>
          </w:tcPr>
          <w:p>
            <w:pPr>
              <w:jc w:val="right"/>
              <w:spacing w:after="0"/>
              <w:rPr>
                <w:sz w:val="20"/>
                <w:szCs w:val="20"/>
                <w:color w:val="auto"/>
              </w:rPr>
            </w:pPr>
            <w:r>
              <w:rPr>
                <w:rFonts w:ascii="Arial" w:cs="Arial" w:eastAsia="Arial" w:hAnsi="Arial"/>
                <w:sz w:val="16"/>
                <w:szCs w:val="16"/>
                <w:color w:val="auto"/>
              </w:rPr>
              <w:t>473,120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12"/>
                <w:szCs w:val="12"/>
                <w:color w:val="auto"/>
              </w:rPr>
            </w:pPr>
          </w:p>
        </w:tc>
        <w:tc>
          <w:tcPr>
            <w:tcW w:w="1920" w:type="dxa"/>
            <w:vAlign w:val="bottom"/>
            <w:vMerge w:val="restart"/>
          </w:tcPr>
          <w:p>
            <w:pPr>
              <w:jc w:val="right"/>
              <w:ind w:right="7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200" w:type="dxa"/>
            <w:vAlign w:val="bottom"/>
          </w:tcPr>
          <w:p>
            <w:pPr>
              <w:spacing w:after="0"/>
              <w:rPr>
                <w:sz w:val="8"/>
                <w:szCs w:val="8"/>
                <w:color w:val="auto"/>
              </w:rPr>
            </w:pPr>
          </w:p>
        </w:tc>
        <w:tc>
          <w:tcPr>
            <w:tcW w:w="208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2080" w:type="dxa"/>
            <w:vAlign w:val="bottom"/>
            <w:gridSpan w:val="2"/>
            <w:vMerge w:val="restart"/>
          </w:tcPr>
          <w:p>
            <w:pPr>
              <w:jc w:val="center"/>
              <w:ind w:left="119"/>
              <w:spacing w:after="0"/>
              <w:rPr>
                <w:sz w:val="20"/>
                <w:szCs w:val="20"/>
                <w:color w:val="auto"/>
              </w:rPr>
            </w:pPr>
            <w:r>
              <w:rPr>
                <w:rFonts w:ascii="Arial" w:cs="Arial" w:eastAsia="Arial" w:hAnsi="Arial"/>
                <w:sz w:val="16"/>
                <w:szCs w:val="16"/>
                <w:color w:val="auto"/>
                <w:w w:val="99"/>
              </w:rPr>
              <w:t>7,401</w:t>
            </w:r>
          </w:p>
        </w:tc>
        <w:tc>
          <w:tcPr>
            <w:tcW w:w="380" w:type="dxa"/>
            <w:vAlign w:val="bottom"/>
          </w:tcPr>
          <w:p>
            <w:pPr>
              <w:jc w:val="right"/>
              <w:spacing w:after="0"/>
              <w:rPr>
                <w:sz w:val="20"/>
                <w:szCs w:val="20"/>
                <w:color w:val="auto"/>
              </w:rPr>
            </w:pPr>
            <w:r>
              <w:rPr>
                <w:rFonts w:ascii="Arial" w:cs="Arial" w:eastAsia="Arial" w:hAnsi="Arial"/>
                <w:sz w:val="11"/>
                <w:szCs w:val="11"/>
                <w:color w:val="auto"/>
              </w:rPr>
              <w:t>(11)</w:t>
            </w:r>
          </w:p>
        </w:tc>
        <w:tc>
          <w:tcPr>
            <w:tcW w:w="1520" w:type="dxa"/>
            <w:vAlign w:val="bottom"/>
            <w:gridSpan w:val="2"/>
            <w:vMerge w:val="restart"/>
          </w:tcPr>
          <w:p>
            <w:pPr>
              <w:jc w:val="center"/>
              <w:ind w:left="419"/>
              <w:spacing w:after="0"/>
              <w:rPr>
                <w:sz w:val="20"/>
                <w:szCs w:val="20"/>
                <w:color w:val="auto"/>
              </w:rPr>
            </w:pPr>
            <w:r>
              <w:rPr>
                <w:rFonts w:ascii="Arial" w:cs="Arial" w:eastAsia="Arial" w:hAnsi="Arial"/>
                <w:sz w:val="16"/>
                <w:szCs w:val="16"/>
                <w:color w:val="auto"/>
              </w:rPr>
              <w:t>354,804</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12"/>
                <w:szCs w:val="12"/>
                <w:color w:val="auto"/>
              </w:rPr>
            </w:pPr>
          </w:p>
        </w:tc>
        <w:tc>
          <w:tcPr>
            <w:tcW w:w="1920" w:type="dxa"/>
            <w:vAlign w:val="bottom"/>
            <w:vMerge w:val="restart"/>
          </w:tcPr>
          <w:p>
            <w:pPr>
              <w:jc w:val="right"/>
              <w:ind w:right="7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200" w:type="dxa"/>
            <w:vAlign w:val="bottom"/>
          </w:tcPr>
          <w:p>
            <w:pPr>
              <w:spacing w:after="0"/>
              <w:rPr>
                <w:sz w:val="8"/>
                <w:szCs w:val="8"/>
                <w:color w:val="auto"/>
              </w:rPr>
            </w:pPr>
          </w:p>
        </w:tc>
        <w:tc>
          <w:tcPr>
            <w:tcW w:w="208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2080" w:type="dxa"/>
            <w:vAlign w:val="bottom"/>
            <w:gridSpan w:val="2"/>
            <w:vMerge w:val="restart"/>
          </w:tcPr>
          <w:p>
            <w:pPr>
              <w:jc w:val="center"/>
              <w:ind w:left="119"/>
              <w:spacing w:after="0"/>
              <w:rPr>
                <w:sz w:val="20"/>
                <w:szCs w:val="20"/>
                <w:color w:val="auto"/>
              </w:rPr>
            </w:pPr>
            <w:r>
              <w:rPr>
                <w:rFonts w:ascii="Arial" w:cs="Arial" w:eastAsia="Arial" w:hAnsi="Arial"/>
                <w:sz w:val="16"/>
                <w:szCs w:val="16"/>
                <w:color w:val="auto"/>
                <w:w w:val="99"/>
              </w:rPr>
              <w:t>7,748</w:t>
            </w:r>
          </w:p>
        </w:tc>
        <w:tc>
          <w:tcPr>
            <w:tcW w:w="380" w:type="dxa"/>
            <w:vAlign w:val="bottom"/>
          </w:tcPr>
          <w:p>
            <w:pPr>
              <w:jc w:val="right"/>
              <w:spacing w:after="0"/>
              <w:rPr>
                <w:sz w:val="20"/>
                <w:szCs w:val="20"/>
                <w:color w:val="auto"/>
              </w:rPr>
            </w:pPr>
            <w:r>
              <w:rPr>
                <w:rFonts w:ascii="Arial" w:cs="Arial" w:eastAsia="Arial" w:hAnsi="Arial"/>
                <w:sz w:val="11"/>
                <w:szCs w:val="11"/>
                <w:color w:val="auto"/>
              </w:rPr>
              <w:t>(9)</w:t>
            </w:r>
          </w:p>
        </w:tc>
        <w:tc>
          <w:tcPr>
            <w:tcW w:w="1520" w:type="dxa"/>
            <w:vAlign w:val="bottom"/>
            <w:gridSpan w:val="2"/>
            <w:vMerge w:val="restart"/>
          </w:tcPr>
          <w:p>
            <w:pPr>
              <w:jc w:val="right"/>
              <w:spacing w:after="0"/>
              <w:rPr>
                <w:sz w:val="20"/>
                <w:szCs w:val="20"/>
                <w:color w:val="auto"/>
              </w:rPr>
            </w:pPr>
            <w:r>
              <w:rPr>
                <w:rFonts w:ascii="Arial" w:cs="Arial" w:eastAsia="Arial" w:hAnsi="Arial"/>
                <w:sz w:val="16"/>
                <w:szCs w:val="16"/>
                <w:color w:val="auto"/>
              </w:rPr>
              <w:t>371,439</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12"/>
                <w:szCs w:val="12"/>
                <w:color w:val="auto"/>
              </w:rPr>
            </w:pPr>
          </w:p>
        </w:tc>
        <w:tc>
          <w:tcPr>
            <w:tcW w:w="1920" w:type="dxa"/>
            <w:vAlign w:val="bottom"/>
            <w:vMerge w:val="restart"/>
          </w:tcPr>
          <w:p>
            <w:pPr>
              <w:jc w:val="right"/>
              <w:ind w:right="7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7"/>
        </w:trPr>
        <w:tc>
          <w:tcPr>
            <w:tcW w:w="2200" w:type="dxa"/>
            <w:vAlign w:val="bottom"/>
          </w:tcPr>
          <w:p>
            <w:pPr>
              <w:spacing w:after="0"/>
              <w:rPr>
                <w:sz w:val="9"/>
                <w:szCs w:val="9"/>
                <w:color w:val="auto"/>
              </w:rPr>
            </w:pPr>
          </w:p>
        </w:tc>
        <w:tc>
          <w:tcPr>
            <w:tcW w:w="208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20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Brent C.</w:t>
            </w:r>
          </w:p>
        </w:tc>
        <w:tc>
          <w:tcPr>
            <w:tcW w:w="200" w:type="dxa"/>
            <w:vAlign w:val="bottom"/>
            <w:shd w:val="clear" w:color="auto" w:fill="DBDBDB"/>
          </w:tcPr>
          <w:p>
            <w:pPr>
              <w:spacing w:after="0"/>
              <w:rPr>
                <w:sz w:val="12"/>
                <w:szCs w:val="12"/>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vMerge w:val="restart"/>
            <w:shd w:val="clear" w:color="auto" w:fill="DBDBDB"/>
          </w:tcPr>
          <w:p>
            <w:pPr>
              <w:jc w:val="center"/>
              <w:ind w:left="339"/>
              <w:spacing w:after="0"/>
              <w:rPr>
                <w:sz w:val="20"/>
                <w:szCs w:val="20"/>
                <w:color w:val="auto"/>
              </w:rPr>
            </w:pPr>
            <w:r>
              <w:rPr>
                <w:rFonts w:ascii="Arial" w:cs="Arial" w:eastAsia="Arial" w:hAnsi="Arial"/>
                <w:sz w:val="16"/>
                <w:szCs w:val="16"/>
                <w:color w:val="auto"/>
                <w:w w:val="99"/>
              </w:rPr>
              <w:t>—</w:t>
            </w:r>
          </w:p>
        </w:tc>
        <w:tc>
          <w:tcPr>
            <w:tcW w:w="2620" w:type="dxa"/>
            <w:vAlign w:val="bottom"/>
            <w:gridSpan w:val="3"/>
            <w:vMerge w:val="restart"/>
            <w:shd w:val="clear" w:color="auto" w:fill="DBDBDB"/>
          </w:tcPr>
          <w:p>
            <w:pPr>
              <w:ind w:left="1160"/>
              <w:spacing w:after="0"/>
              <w:rPr>
                <w:sz w:val="20"/>
                <w:szCs w:val="20"/>
                <w:color w:val="auto"/>
              </w:rPr>
            </w:pPr>
            <w:r>
              <w:rPr>
                <w:rFonts w:ascii="Arial" w:cs="Arial" w:eastAsia="Arial" w:hAnsi="Arial"/>
                <w:sz w:val="16"/>
                <w:szCs w:val="16"/>
                <w:color w:val="auto"/>
              </w:rPr>
              <w:t>5,206</w:t>
            </w:r>
          </w:p>
        </w:tc>
        <w:tc>
          <w:tcPr>
            <w:tcW w:w="3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w:t>
            </w:r>
          </w:p>
        </w:tc>
        <w:tc>
          <w:tcPr>
            <w:tcW w:w="1920" w:type="dxa"/>
            <w:vAlign w:val="bottom"/>
            <w:vMerge w:val="restart"/>
            <w:shd w:val="clear" w:color="auto" w:fill="DBDBDB"/>
          </w:tcPr>
          <w:p>
            <w:pPr>
              <w:jc w:val="right"/>
              <w:ind w:right="259"/>
              <w:spacing w:after="0"/>
              <w:rPr>
                <w:sz w:val="20"/>
                <w:szCs w:val="20"/>
                <w:color w:val="auto"/>
              </w:rPr>
            </w:pPr>
            <w:r>
              <w:rPr>
                <w:rFonts w:ascii="Arial" w:cs="Arial" w:eastAsia="Arial" w:hAnsi="Arial"/>
                <w:sz w:val="16"/>
                <w:szCs w:val="16"/>
                <w:color w:val="auto"/>
              </w:rPr>
              <w:t>249,576</w:t>
            </w:r>
          </w:p>
        </w:tc>
        <w:tc>
          <w:tcPr>
            <w:tcW w:w="0" w:type="dxa"/>
            <w:vAlign w:val="bottom"/>
          </w:tcPr>
          <w:p>
            <w:pPr>
              <w:spacing w:after="0"/>
              <w:rPr>
                <w:sz w:val="1"/>
                <w:szCs w:val="1"/>
                <w:color w:val="auto"/>
              </w:rPr>
            </w:pPr>
          </w:p>
        </w:tc>
      </w:tr>
      <w:tr>
        <w:trPr>
          <w:trHeight w:val="63"/>
        </w:trPr>
        <w:tc>
          <w:tcPr>
            <w:tcW w:w="2200" w:type="dxa"/>
            <w:vAlign w:val="bottom"/>
            <w:vMerge w:val="continue"/>
            <w:shd w:val="clear" w:color="auto" w:fill="DBDBDB"/>
          </w:tcPr>
          <w:p>
            <w:pPr>
              <w:spacing w:after="0"/>
              <w:rPr>
                <w:sz w:val="5"/>
                <w:szCs w:val="5"/>
                <w:color w:val="auto"/>
              </w:rPr>
            </w:pPr>
          </w:p>
        </w:tc>
        <w:tc>
          <w:tcPr>
            <w:tcW w:w="200" w:type="dxa"/>
            <w:vAlign w:val="bottom"/>
            <w:shd w:val="clear" w:color="auto" w:fill="DBDBDB"/>
          </w:tcPr>
          <w:p>
            <w:pPr>
              <w:spacing w:after="0"/>
              <w:rPr>
                <w:sz w:val="5"/>
                <w:szCs w:val="5"/>
                <w:color w:val="auto"/>
              </w:rPr>
            </w:pPr>
          </w:p>
        </w:tc>
        <w:tc>
          <w:tcPr>
            <w:tcW w:w="1880" w:type="dxa"/>
            <w:vAlign w:val="bottom"/>
            <w:vMerge w:val="continue"/>
            <w:shd w:val="clear" w:color="auto" w:fill="DBDBDB"/>
          </w:tcPr>
          <w:p>
            <w:pPr>
              <w:spacing w:after="0"/>
              <w:rPr>
                <w:sz w:val="5"/>
                <w:szCs w:val="5"/>
                <w:color w:val="auto"/>
              </w:rPr>
            </w:pPr>
          </w:p>
        </w:tc>
        <w:tc>
          <w:tcPr>
            <w:tcW w:w="380" w:type="dxa"/>
            <w:vAlign w:val="bottom"/>
            <w:shd w:val="clear" w:color="auto" w:fill="DBDBDB"/>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1420" w:type="dxa"/>
            <w:vAlign w:val="bottom"/>
            <w:vMerge w:val="continue"/>
            <w:shd w:val="clear" w:color="auto" w:fill="DBDBDB"/>
          </w:tcPr>
          <w:p>
            <w:pPr>
              <w:spacing w:after="0"/>
              <w:rPr>
                <w:sz w:val="5"/>
                <w:szCs w:val="5"/>
                <w:color w:val="auto"/>
              </w:rPr>
            </w:pPr>
          </w:p>
        </w:tc>
        <w:tc>
          <w:tcPr>
            <w:tcW w:w="2620" w:type="dxa"/>
            <w:vAlign w:val="bottom"/>
            <w:gridSpan w:val="3"/>
            <w:vMerge w:val="continue"/>
            <w:shd w:val="clear" w:color="auto" w:fill="DBDBDB"/>
          </w:tcPr>
          <w:p>
            <w:pPr>
              <w:spacing w:after="0"/>
              <w:rPr>
                <w:sz w:val="5"/>
                <w:szCs w:val="5"/>
                <w:color w:val="auto"/>
              </w:rPr>
            </w:pPr>
          </w:p>
        </w:tc>
        <w:tc>
          <w:tcPr>
            <w:tcW w:w="360" w:type="dxa"/>
            <w:vAlign w:val="bottom"/>
            <w:shd w:val="clear" w:color="auto" w:fill="DBDBDB"/>
          </w:tcPr>
          <w:p>
            <w:pPr>
              <w:spacing w:after="0"/>
              <w:rPr>
                <w:sz w:val="5"/>
                <w:szCs w:val="5"/>
                <w:color w:val="auto"/>
              </w:rPr>
            </w:pPr>
          </w:p>
        </w:tc>
        <w:tc>
          <w:tcPr>
            <w:tcW w:w="192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Jewell</w:t>
            </w:r>
          </w:p>
        </w:tc>
        <w:tc>
          <w:tcPr>
            <w:tcW w:w="200" w:type="dxa"/>
            <w:vAlign w:val="bottom"/>
            <w:shd w:val="clear" w:color="auto" w:fill="DBDBDB"/>
          </w:tcPr>
          <w:p>
            <w:pPr>
              <w:spacing w:after="0"/>
              <w:rPr>
                <w:sz w:val="18"/>
                <w:szCs w:val="18"/>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20" w:type="dxa"/>
            <w:vAlign w:val="bottom"/>
            <w:vMerge w:val="restart"/>
            <w:shd w:val="clear" w:color="auto" w:fill="DBDBDB"/>
          </w:tcPr>
          <w:p>
            <w:pPr>
              <w:jc w:val="center"/>
              <w:ind w:left="339"/>
              <w:spacing w:after="0"/>
              <w:rPr>
                <w:sz w:val="20"/>
                <w:szCs w:val="20"/>
                <w:color w:val="auto"/>
              </w:rPr>
            </w:pPr>
            <w:r>
              <w:rPr>
                <w:rFonts w:ascii="Arial" w:cs="Arial" w:eastAsia="Arial" w:hAnsi="Arial"/>
                <w:sz w:val="16"/>
                <w:szCs w:val="16"/>
                <w:color w:val="auto"/>
                <w:w w:val="99"/>
              </w:rPr>
              <w:t>—</w:t>
            </w:r>
          </w:p>
        </w:tc>
        <w:tc>
          <w:tcPr>
            <w:tcW w:w="2620" w:type="dxa"/>
            <w:vAlign w:val="bottom"/>
            <w:gridSpan w:val="3"/>
            <w:vMerge w:val="restart"/>
            <w:shd w:val="clear" w:color="auto" w:fill="DBDBDB"/>
          </w:tcPr>
          <w:p>
            <w:pPr>
              <w:ind w:left="1160"/>
              <w:spacing w:after="0"/>
              <w:rPr>
                <w:sz w:val="20"/>
                <w:szCs w:val="20"/>
                <w:color w:val="auto"/>
              </w:rPr>
            </w:pPr>
            <w:r>
              <w:rPr>
                <w:rFonts w:ascii="Arial" w:cs="Arial" w:eastAsia="Arial" w:hAnsi="Arial"/>
                <w:sz w:val="16"/>
                <w:szCs w:val="16"/>
                <w:color w:val="auto"/>
              </w:rPr>
              <w:t>6,038</w:t>
            </w:r>
          </w:p>
        </w:tc>
        <w:tc>
          <w:tcPr>
            <w:tcW w:w="3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w:t>
            </w:r>
          </w:p>
        </w:tc>
        <w:tc>
          <w:tcPr>
            <w:tcW w:w="1920" w:type="dxa"/>
            <w:vAlign w:val="bottom"/>
            <w:vMerge w:val="restart"/>
            <w:shd w:val="clear" w:color="auto" w:fill="DBDBDB"/>
          </w:tcPr>
          <w:p>
            <w:pPr>
              <w:jc w:val="right"/>
              <w:ind w:right="259"/>
              <w:spacing w:after="0"/>
              <w:rPr>
                <w:sz w:val="20"/>
                <w:szCs w:val="20"/>
                <w:color w:val="auto"/>
              </w:rPr>
            </w:pPr>
            <w:r>
              <w:rPr>
                <w:rFonts w:ascii="Arial" w:cs="Arial" w:eastAsia="Arial" w:hAnsi="Arial"/>
                <w:sz w:val="16"/>
                <w:szCs w:val="16"/>
                <w:color w:val="auto"/>
              </w:rPr>
              <w:t>289,462</w:t>
            </w:r>
          </w:p>
        </w:tc>
        <w:tc>
          <w:tcPr>
            <w:tcW w:w="0" w:type="dxa"/>
            <w:vAlign w:val="bottom"/>
          </w:tcPr>
          <w:p>
            <w:pPr>
              <w:spacing w:after="0"/>
              <w:rPr>
                <w:sz w:val="1"/>
                <w:szCs w:val="1"/>
                <w:color w:val="auto"/>
              </w:rPr>
            </w:pPr>
          </w:p>
        </w:tc>
      </w:tr>
      <w:tr>
        <w:trPr>
          <w:trHeight w:val="54"/>
        </w:trPr>
        <w:tc>
          <w:tcPr>
            <w:tcW w:w="2200" w:type="dxa"/>
            <w:vAlign w:val="bottom"/>
            <w:shd w:val="clear" w:color="auto" w:fill="DBDBDB"/>
          </w:tcPr>
          <w:p>
            <w:pPr>
              <w:spacing w:after="0"/>
              <w:rPr>
                <w:sz w:val="4"/>
                <w:szCs w:val="4"/>
                <w:color w:val="auto"/>
              </w:rPr>
            </w:pPr>
          </w:p>
        </w:tc>
        <w:tc>
          <w:tcPr>
            <w:tcW w:w="200" w:type="dxa"/>
            <w:vAlign w:val="bottom"/>
            <w:shd w:val="clear" w:color="auto" w:fill="DBDBDB"/>
          </w:tcPr>
          <w:p>
            <w:pPr>
              <w:spacing w:after="0"/>
              <w:rPr>
                <w:sz w:val="4"/>
                <w:szCs w:val="4"/>
                <w:color w:val="auto"/>
              </w:rPr>
            </w:pPr>
          </w:p>
        </w:tc>
        <w:tc>
          <w:tcPr>
            <w:tcW w:w="1880" w:type="dxa"/>
            <w:vAlign w:val="bottom"/>
            <w:vMerge w:val="continue"/>
            <w:shd w:val="clear" w:color="auto" w:fill="DBDBDB"/>
          </w:tcPr>
          <w:p>
            <w:pPr>
              <w:spacing w:after="0"/>
              <w:rPr>
                <w:sz w:val="4"/>
                <w:szCs w:val="4"/>
                <w:color w:val="auto"/>
              </w:rPr>
            </w:pPr>
          </w:p>
        </w:tc>
        <w:tc>
          <w:tcPr>
            <w:tcW w:w="380" w:type="dxa"/>
            <w:vAlign w:val="bottom"/>
            <w:shd w:val="clear" w:color="auto" w:fill="DBDBDB"/>
          </w:tcPr>
          <w:p>
            <w:pPr>
              <w:spacing w:after="0"/>
              <w:rPr>
                <w:sz w:val="4"/>
                <w:szCs w:val="4"/>
                <w:color w:val="auto"/>
              </w:rPr>
            </w:pPr>
          </w:p>
        </w:tc>
        <w:tc>
          <w:tcPr>
            <w:tcW w:w="100" w:type="dxa"/>
            <w:vAlign w:val="bottom"/>
            <w:shd w:val="clear" w:color="auto" w:fill="DBDBDB"/>
          </w:tcPr>
          <w:p>
            <w:pPr>
              <w:spacing w:after="0"/>
              <w:rPr>
                <w:sz w:val="4"/>
                <w:szCs w:val="4"/>
                <w:color w:val="auto"/>
              </w:rPr>
            </w:pPr>
          </w:p>
        </w:tc>
        <w:tc>
          <w:tcPr>
            <w:tcW w:w="1420" w:type="dxa"/>
            <w:vAlign w:val="bottom"/>
            <w:vMerge w:val="continue"/>
            <w:shd w:val="clear" w:color="auto" w:fill="DBDBDB"/>
          </w:tcPr>
          <w:p>
            <w:pPr>
              <w:spacing w:after="0"/>
              <w:rPr>
                <w:sz w:val="4"/>
                <w:szCs w:val="4"/>
                <w:color w:val="auto"/>
              </w:rPr>
            </w:pPr>
          </w:p>
        </w:tc>
        <w:tc>
          <w:tcPr>
            <w:tcW w:w="2620" w:type="dxa"/>
            <w:vAlign w:val="bottom"/>
            <w:gridSpan w:val="3"/>
            <w:vMerge w:val="continue"/>
            <w:shd w:val="clear" w:color="auto" w:fill="DBDBDB"/>
          </w:tcPr>
          <w:p>
            <w:pPr>
              <w:spacing w:after="0"/>
              <w:rPr>
                <w:sz w:val="4"/>
                <w:szCs w:val="4"/>
                <w:color w:val="auto"/>
              </w:rPr>
            </w:pPr>
          </w:p>
        </w:tc>
        <w:tc>
          <w:tcPr>
            <w:tcW w:w="360" w:type="dxa"/>
            <w:vAlign w:val="bottom"/>
            <w:shd w:val="clear" w:color="auto" w:fill="DBDBDB"/>
          </w:tcPr>
          <w:p>
            <w:pPr>
              <w:spacing w:after="0"/>
              <w:rPr>
                <w:sz w:val="4"/>
                <w:szCs w:val="4"/>
                <w:color w:val="auto"/>
              </w:rPr>
            </w:pPr>
          </w:p>
        </w:tc>
        <w:tc>
          <w:tcPr>
            <w:tcW w:w="192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3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420" w:type="dxa"/>
            <w:vAlign w:val="bottom"/>
            <w:vMerge w:val="restart"/>
            <w:shd w:val="clear" w:color="auto" w:fill="DBDBDB"/>
          </w:tcPr>
          <w:p>
            <w:pPr>
              <w:jc w:val="center"/>
              <w:ind w:left="339"/>
              <w:spacing w:after="0"/>
              <w:rPr>
                <w:sz w:val="20"/>
                <w:szCs w:val="20"/>
                <w:color w:val="auto"/>
              </w:rPr>
            </w:pPr>
            <w:r>
              <w:rPr>
                <w:rFonts w:ascii="Arial" w:cs="Arial" w:eastAsia="Arial" w:hAnsi="Arial"/>
                <w:sz w:val="16"/>
                <w:szCs w:val="16"/>
                <w:color w:val="auto"/>
                <w:w w:val="99"/>
              </w:rPr>
              <w:t>—</w:t>
            </w:r>
          </w:p>
        </w:tc>
        <w:tc>
          <w:tcPr>
            <w:tcW w:w="2620" w:type="dxa"/>
            <w:vAlign w:val="bottom"/>
            <w:gridSpan w:val="3"/>
            <w:vMerge w:val="restart"/>
            <w:shd w:val="clear" w:color="auto" w:fill="DBDBDB"/>
          </w:tcPr>
          <w:p>
            <w:pPr>
              <w:ind w:left="1160"/>
              <w:spacing w:after="0"/>
              <w:rPr>
                <w:sz w:val="20"/>
                <w:szCs w:val="20"/>
                <w:color w:val="auto"/>
              </w:rPr>
            </w:pPr>
            <w:r>
              <w:rPr>
                <w:rFonts w:ascii="Arial" w:cs="Arial" w:eastAsia="Arial" w:hAnsi="Arial"/>
                <w:sz w:val="16"/>
                <w:szCs w:val="16"/>
                <w:color w:val="auto"/>
              </w:rPr>
              <w:t>2,183</w:t>
            </w:r>
          </w:p>
        </w:tc>
        <w:tc>
          <w:tcPr>
            <w:tcW w:w="3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w:t>
            </w:r>
          </w:p>
        </w:tc>
        <w:tc>
          <w:tcPr>
            <w:tcW w:w="1920" w:type="dxa"/>
            <w:vAlign w:val="bottom"/>
            <w:vMerge w:val="restart"/>
            <w:shd w:val="clear" w:color="auto" w:fill="DBDBDB"/>
          </w:tcPr>
          <w:p>
            <w:pPr>
              <w:jc w:val="right"/>
              <w:ind w:right="259"/>
              <w:spacing w:after="0"/>
              <w:rPr>
                <w:sz w:val="20"/>
                <w:szCs w:val="20"/>
                <w:color w:val="auto"/>
              </w:rPr>
            </w:pPr>
            <w:r>
              <w:rPr>
                <w:rFonts w:ascii="Arial" w:cs="Arial" w:eastAsia="Arial" w:hAnsi="Arial"/>
                <w:sz w:val="16"/>
                <w:szCs w:val="16"/>
                <w:color w:val="auto"/>
              </w:rPr>
              <w:t>104,653</w:t>
            </w:r>
          </w:p>
        </w:tc>
        <w:tc>
          <w:tcPr>
            <w:tcW w:w="0" w:type="dxa"/>
            <w:vAlign w:val="bottom"/>
          </w:tcPr>
          <w:p>
            <w:pPr>
              <w:spacing w:after="0"/>
              <w:rPr>
                <w:sz w:val="1"/>
                <w:szCs w:val="1"/>
                <w:color w:val="auto"/>
              </w:rPr>
            </w:pPr>
          </w:p>
        </w:tc>
      </w:tr>
      <w:tr>
        <w:trPr>
          <w:trHeight w:val="99"/>
        </w:trPr>
        <w:tc>
          <w:tcPr>
            <w:tcW w:w="2200" w:type="dxa"/>
            <w:vAlign w:val="bottom"/>
            <w:shd w:val="clear" w:color="auto" w:fill="DBDBDB"/>
          </w:tcPr>
          <w:p>
            <w:pPr>
              <w:spacing w:after="0"/>
              <w:rPr>
                <w:sz w:val="8"/>
                <w:szCs w:val="8"/>
                <w:color w:val="auto"/>
              </w:rPr>
            </w:pPr>
          </w:p>
        </w:tc>
        <w:tc>
          <w:tcPr>
            <w:tcW w:w="200" w:type="dxa"/>
            <w:vAlign w:val="bottom"/>
            <w:shd w:val="clear" w:color="auto" w:fill="DBDBDB"/>
          </w:tcPr>
          <w:p>
            <w:pPr>
              <w:spacing w:after="0"/>
              <w:rPr>
                <w:sz w:val="8"/>
                <w:szCs w:val="8"/>
                <w:color w:val="auto"/>
              </w:rPr>
            </w:pPr>
          </w:p>
        </w:tc>
        <w:tc>
          <w:tcPr>
            <w:tcW w:w="1880" w:type="dxa"/>
            <w:vAlign w:val="bottom"/>
            <w:vMerge w:val="continue"/>
            <w:shd w:val="clear" w:color="auto" w:fill="DBDBDB"/>
          </w:tcPr>
          <w:p>
            <w:pPr>
              <w:spacing w:after="0"/>
              <w:rPr>
                <w:sz w:val="8"/>
                <w:szCs w:val="8"/>
                <w:color w:val="auto"/>
              </w:rPr>
            </w:pPr>
          </w:p>
        </w:tc>
        <w:tc>
          <w:tcPr>
            <w:tcW w:w="38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420" w:type="dxa"/>
            <w:vAlign w:val="bottom"/>
            <w:vMerge w:val="continue"/>
            <w:shd w:val="clear" w:color="auto" w:fill="DBDBDB"/>
          </w:tcPr>
          <w:p>
            <w:pPr>
              <w:spacing w:after="0"/>
              <w:rPr>
                <w:sz w:val="8"/>
                <w:szCs w:val="8"/>
                <w:color w:val="auto"/>
              </w:rPr>
            </w:pPr>
          </w:p>
        </w:tc>
        <w:tc>
          <w:tcPr>
            <w:tcW w:w="2620" w:type="dxa"/>
            <w:vAlign w:val="bottom"/>
            <w:gridSpan w:val="3"/>
            <w:vMerge w:val="continue"/>
            <w:shd w:val="clear" w:color="auto" w:fill="DBDBDB"/>
          </w:tcPr>
          <w:p>
            <w:pPr>
              <w:spacing w:after="0"/>
              <w:rPr>
                <w:sz w:val="8"/>
                <w:szCs w:val="8"/>
                <w:color w:val="auto"/>
              </w:rPr>
            </w:pPr>
          </w:p>
        </w:tc>
        <w:tc>
          <w:tcPr>
            <w:tcW w:w="360" w:type="dxa"/>
            <w:vAlign w:val="bottom"/>
            <w:shd w:val="clear" w:color="auto" w:fill="DBDBDB"/>
          </w:tcPr>
          <w:p>
            <w:pPr>
              <w:spacing w:after="0"/>
              <w:rPr>
                <w:sz w:val="8"/>
                <w:szCs w:val="8"/>
                <w:color w:val="auto"/>
              </w:rPr>
            </w:pPr>
          </w:p>
        </w:tc>
        <w:tc>
          <w:tcPr>
            <w:tcW w:w="192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1,562</w:t>
            </w:r>
          </w:p>
        </w:tc>
        <w:tc>
          <w:tcPr>
            <w:tcW w:w="3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w:t>
            </w:r>
          </w:p>
        </w:tc>
        <w:tc>
          <w:tcPr>
            <w:tcW w:w="1520" w:type="dxa"/>
            <w:vAlign w:val="bottom"/>
            <w:gridSpan w:val="2"/>
            <w:vMerge w:val="restart"/>
            <w:shd w:val="clear" w:color="auto" w:fill="DBDBDB"/>
          </w:tcPr>
          <w:p>
            <w:pPr>
              <w:jc w:val="right"/>
              <w:spacing w:after="0"/>
              <w:rPr>
                <w:sz w:val="20"/>
                <w:szCs w:val="20"/>
                <w:color w:val="auto"/>
              </w:rPr>
            </w:pPr>
            <w:r>
              <w:rPr>
                <w:rFonts w:ascii="Arial" w:cs="Arial" w:eastAsia="Arial" w:hAnsi="Arial"/>
                <w:sz w:val="16"/>
                <w:szCs w:val="16"/>
                <w:color w:val="auto"/>
              </w:rPr>
              <w:t>74,882</w:t>
            </w:r>
          </w:p>
        </w:tc>
        <w:tc>
          <w:tcPr>
            <w:tcW w:w="5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shd w:val="clear" w:color="auto" w:fill="DBDBDB"/>
          </w:tcPr>
          <w:p>
            <w:pPr>
              <w:spacing w:after="0"/>
              <w:rPr>
                <w:sz w:val="12"/>
                <w:szCs w:val="12"/>
                <w:color w:val="auto"/>
              </w:rPr>
            </w:pPr>
          </w:p>
        </w:tc>
        <w:tc>
          <w:tcPr>
            <w:tcW w:w="1920" w:type="dxa"/>
            <w:vAlign w:val="bottom"/>
            <w:vMerge w:val="restart"/>
            <w:shd w:val="clear" w:color="auto" w:fill="DBDBDB"/>
          </w:tcPr>
          <w:p>
            <w:pPr>
              <w:jc w:val="right"/>
              <w:ind w:right="7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200" w:type="dxa"/>
            <w:vAlign w:val="bottom"/>
            <w:shd w:val="clear" w:color="auto" w:fill="DBDBDB"/>
          </w:tcPr>
          <w:p>
            <w:pPr>
              <w:spacing w:after="0"/>
              <w:rPr>
                <w:sz w:val="8"/>
                <w:szCs w:val="8"/>
                <w:color w:val="auto"/>
              </w:rPr>
            </w:pPr>
          </w:p>
        </w:tc>
        <w:tc>
          <w:tcPr>
            <w:tcW w:w="200" w:type="dxa"/>
            <w:vAlign w:val="bottom"/>
            <w:shd w:val="clear" w:color="auto" w:fill="DBDBDB"/>
          </w:tcPr>
          <w:p>
            <w:pPr>
              <w:spacing w:after="0"/>
              <w:rPr>
                <w:sz w:val="8"/>
                <w:szCs w:val="8"/>
                <w:color w:val="auto"/>
              </w:rPr>
            </w:pPr>
          </w:p>
        </w:tc>
        <w:tc>
          <w:tcPr>
            <w:tcW w:w="1880" w:type="dxa"/>
            <w:vAlign w:val="bottom"/>
            <w:vMerge w:val="continue"/>
            <w:shd w:val="clear" w:color="auto" w:fill="DBDBDB"/>
          </w:tcPr>
          <w:p>
            <w:pPr>
              <w:spacing w:after="0"/>
              <w:rPr>
                <w:sz w:val="8"/>
                <w:szCs w:val="8"/>
                <w:color w:val="auto"/>
              </w:rPr>
            </w:pPr>
          </w:p>
        </w:tc>
        <w:tc>
          <w:tcPr>
            <w:tcW w:w="380" w:type="dxa"/>
            <w:vAlign w:val="bottom"/>
            <w:shd w:val="clear" w:color="auto" w:fill="DBDBDB"/>
          </w:tcPr>
          <w:p>
            <w:pPr>
              <w:spacing w:after="0"/>
              <w:rPr>
                <w:sz w:val="8"/>
                <w:szCs w:val="8"/>
                <w:color w:val="auto"/>
              </w:rPr>
            </w:pPr>
          </w:p>
        </w:tc>
        <w:tc>
          <w:tcPr>
            <w:tcW w:w="1520" w:type="dxa"/>
            <w:vAlign w:val="bottom"/>
            <w:gridSpan w:val="2"/>
            <w:vMerge w:val="continue"/>
            <w:shd w:val="clear" w:color="auto" w:fill="DBDBDB"/>
          </w:tcPr>
          <w:p>
            <w:pPr>
              <w:spacing w:after="0"/>
              <w:rPr>
                <w:sz w:val="8"/>
                <w:szCs w:val="8"/>
                <w:color w:val="auto"/>
              </w:rPr>
            </w:pPr>
          </w:p>
        </w:tc>
        <w:tc>
          <w:tcPr>
            <w:tcW w:w="52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020" w:type="dxa"/>
            <w:vAlign w:val="bottom"/>
            <w:vMerge w:val="continue"/>
            <w:shd w:val="clear" w:color="auto" w:fill="DBDBDB"/>
          </w:tcPr>
          <w:p>
            <w:pPr>
              <w:spacing w:after="0"/>
              <w:rPr>
                <w:sz w:val="8"/>
                <w:szCs w:val="8"/>
                <w:color w:val="auto"/>
              </w:rPr>
            </w:pPr>
          </w:p>
        </w:tc>
        <w:tc>
          <w:tcPr>
            <w:tcW w:w="360" w:type="dxa"/>
            <w:vAlign w:val="bottom"/>
            <w:shd w:val="clear" w:color="auto" w:fill="DBDBDB"/>
          </w:tcPr>
          <w:p>
            <w:pPr>
              <w:spacing w:after="0"/>
              <w:rPr>
                <w:sz w:val="8"/>
                <w:szCs w:val="8"/>
                <w:color w:val="auto"/>
              </w:rPr>
            </w:pPr>
          </w:p>
        </w:tc>
        <w:tc>
          <w:tcPr>
            <w:tcW w:w="192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4,428</w:t>
            </w:r>
          </w:p>
        </w:tc>
        <w:tc>
          <w:tcPr>
            <w:tcW w:w="3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w:t>
            </w:r>
          </w:p>
        </w:tc>
        <w:tc>
          <w:tcPr>
            <w:tcW w:w="1520" w:type="dxa"/>
            <w:vAlign w:val="bottom"/>
            <w:gridSpan w:val="2"/>
            <w:vMerge w:val="restart"/>
            <w:shd w:val="clear" w:color="auto" w:fill="DBDBDB"/>
          </w:tcPr>
          <w:p>
            <w:pPr>
              <w:jc w:val="right"/>
              <w:spacing w:after="0"/>
              <w:rPr>
                <w:sz w:val="20"/>
                <w:szCs w:val="20"/>
                <w:color w:val="auto"/>
              </w:rPr>
            </w:pPr>
            <w:r>
              <w:rPr>
                <w:rFonts w:ascii="Arial" w:cs="Arial" w:eastAsia="Arial" w:hAnsi="Arial"/>
                <w:sz w:val="16"/>
                <w:szCs w:val="16"/>
                <w:color w:val="auto"/>
              </w:rPr>
              <w:t>212,278</w:t>
            </w:r>
          </w:p>
        </w:tc>
        <w:tc>
          <w:tcPr>
            <w:tcW w:w="5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shd w:val="clear" w:color="auto" w:fill="DBDBDB"/>
          </w:tcPr>
          <w:p>
            <w:pPr>
              <w:spacing w:after="0"/>
              <w:rPr>
                <w:sz w:val="12"/>
                <w:szCs w:val="12"/>
                <w:color w:val="auto"/>
              </w:rPr>
            </w:pPr>
          </w:p>
        </w:tc>
        <w:tc>
          <w:tcPr>
            <w:tcW w:w="1920" w:type="dxa"/>
            <w:vAlign w:val="bottom"/>
            <w:vMerge w:val="restart"/>
            <w:shd w:val="clear" w:color="auto" w:fill="DBDBDB"/>
          </w:tcPr>
          <w:p>
            <w:pPr>
              <w:jc w:val="right"/>
              <w:ind w:right="7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200" w:type="dxa"/>
            <w:vAlign w:val="bottom"/>
            <w:shd w:val="clear" w:color="auto" w:fill="DBDBDB"/>
          </w:tcPr>
          <w:p>
            <w:pPr>
              <w:spacing w:after="0"/>
              <w:rPr>
                <w:sz w:val="8"/>
                <w:szCs w:val="8"/>
                <w:color w:val="auto"/>
              </w:rPr>
            </w:pPr>
          </w:p>
        </w:tc>
        <w:tc>
          <w:tcPr>
            <w:tcW w:w="200" w:type="dxa"/>
            <w:vAlign w:val="bottom"/>
            <w:shd w:val="clear" w:color="auto" w:fill="DBDBDB"/>
          </w:tcPr>
          <w:p>
            <w:pPr>
              <w:spacing w:after="0"/>
              <w:rPr>
                <w:sz w:val="8"/>
                <w:szCs w:val="8"/>
                <w:color w:val="auto"/>
              </w:rPr>
            </w:pPr>
          </w:p>
        </w:tc>
        <w:tc>
          <w:tcPr>
            <w:tcW w:w="1880" w:type="dxa"/>
            <w:vAlign w:val="bottom"/>
            <w:vMerge w:val="continue"/>
            <w:shd w:val="clear" w:color="auto" w:fill="DBDBDB"/>
          </w:tcPr>
          <w:p>
            <w:pPr>
              <w:spacing w:after="0"/>
              <w:rPr>
                <w:sz w:val="8"/>
                <w:szCs w:val="8"/>
                <w:color w:val="auto"/>
              </w:rPr>
            </w:pPr>
          </w:p>
        </w:tc>
        <w:tc>
          <w:tcPr>
            <w:tcW w:w="380" w:type="dxa"/>
            <w:vAlign w:val="bottom"/>
            <w:shd w:val="clear" w:color="auto" w:fill="DBDBDB"/>
          </w:tcPr>
          <w:p>
            <w:pPr>
              <w:spacing w:after="0"/>
              <w:rPr>
                <w:sz w:val="8"/>
                <w:szCs w:val="8"/>
                <w:color w:val="auto"/>
              </w:rPr>
            </w:pPr>
          </w:p>
        </w:tc>
        <w:tc>
          <w:tcPr>
            <w:tcW w:w="1520" w:type="dxa"/>
            <w:vAlign w:val="bottom"/>
            <w:gridSpan w:val="2"/>
            <w:vMerge w:val="continue"/>
            <w:shd w:val="clear" w:color="auto" w:fill="DBDBDB"/>
          </w:tcPr>
          <w:p>
            <w:pPr>
              <w:spacing w:after="0"/>
              <w:rPr>
                <w:sz w:val="8"/>
                <w:szCs w:val="8"/>
                <w:color w:val="auto"/>
              </w:rPr>
            </w:pPr>
          </w:p>
        </w:tc>
        <w:tc>
          <w:tcPr>
            <w:tcW w:w="52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020" w:type="dxa"/>
            <w:vAlign w:val="bottom"/>
            <w:vMerge w:val="continue"/>
            <w:shd w:val="clear" w:color="auto" w:fill="DBDBDB"/>
          </w:tcPr>
          <w:p>
            <w:pPr>
              <w:spacing w:after="0"/>
              <w:rPr>
                <w:sz w:val="8"/>
                <w:szCs w:val="8"/>
                <w:color w:val="auto"/>
              </w:rPr>
            </w:pPr>
          </w:p>
        </w:tc>
        <w:tc>
          <w:tcPr>
            <w:tcW w:w="360" w:type="dxa"/>
            <w:vAlign w:val="bottom"/>
            <w:shd w:val="clear" w:color="auto" w:fill="DBDBDB"/>
          </w:tcPr>
          <w:p>
            <w:pPr>
              <w:spacing w:after="0"/>
              <w:rPr>
                <w:sz w:val="8"/>
                <w:szCs w:val="8"/>
                <w:color w:val="auto"/>
              </w:rPr>
            </w:pPr>
          </w:p>
        </w:tc>
        <w:tc>
          <w:tcPr>
            <w:tcW w:w="192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1,100</w:t>
            </w:r>
          </w:p>
        </w:tc>
        <w:tc>
          <w:tcPr>
            <w:tcW w:w="3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w:t>
            </w:r>
          </w:p>
        </w:tc>
        <w:tc>
          <w:tcPr>
            <w:tcW w:w="1520" w:type="dxa"/>
            <w:vAlign w:val="bottom"/>
            <w:gridSpan w:val="2"/>
            <w:vMerge w:val="restart"/>
            <w:shd w:val="clear" w:color="auto" w:fill="DBDBDB"/>
          </w:tcPr>
          <w:p>
            <w:pPr>
              <w:jc w:val="right"/>
              <w:spacing w:after="0"/>
              <w:rPr>
                <w:sz w:val="20"/>
                <w:szCs w:val="20"/>
                <w:color w:val="auto"/>
              </w:rPr>
            </w:pPr>
            <w:r>
              <w:rPr>
                <w:rFonts w:ascii="Arial" w:cs="Arial" w:eastAsia="Arial" w:hAnsi="Arial"/>
                <w:sz w:val="16"/>
                <w:szCs w:val="16"/>
                <w:color w:val="auto"/>
              </w:rPr>
              <w:t>52,734</w:t>
            </w:r>
          </w:p>
        </w:tc>
        <w:tc>
          <w:tcPr>
            <w:tcW w:w="5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shd w:val="clear" w:color="auto" w:fill="DBDBDB"/>
          </w:tcPr>
          <w:p>
            <w:pPr>
              <w:spacing w:after="0"/>
              <w:rPr>
                <w:sz w:val="12"/>
                <w:szCs w:val="12"/>
                <w:color w:val="auto"/>
              </w:rPr>
            </w:pPr>
          </w:p>
        </w:tc>
        <w:tc>
          <w:tcPr>
            <w:tcW w:w="1920" w:type="dxa"/>
            <w:vAlign w:val="bottom"/>
            <w:vMerge w:val="restart"/>
            <w:shd w:val="clear" w:color="auto" w:fill="DBDBDB"/>
          </w:tcPr>
          <w:p>
            <w:pPr>
              <w:jc w:val="right"/>
              <w:ind w:right="7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200" w:type="dxa"/>
            <w:vAlign w:val="bottom"/>
            <w:shd w:val="clear" w:color="auto" w:fill="DBDBDB"/>
          </w:tcPr>
          <w:p>
            <w:pPr>
              <w:spacing w:after="0"/>
              <w:rPr>
                <w:sz w:val="8"/>
                <w:szCs w:val="8"/>
                <w:color w:val="auto"/>
              </w:rPr>
            </w:pPr>
          </w:p>
        </w:tc>
        <w:tc>
          <w:tcPr>
            <w:tcW w:w="200" w:type="dxa"/>
            <w:vAlign w:val="bottom"/>
            <w:shd w:val="clear" w:color="auto" w:fill="DBDBDB"/>
          </w:tcPr>
          <w:p>
            <w:pPr>
              <w:spacing w:after="0"/>
              <w:rPr>
                <w:sz w:val="8"/>
                <w:szCs w:val="8"/>
                <w:color w:val="auto"/>
              </w:rPr>
            </w:pPr>
          </w:p>
        </w:tc>
        <w:tc>
          <w:tcPr>
            <w:tcW w:w="1880" w:type="dxa"/>
            <w:vAlign w:val="bottom"/>
            <w:vMerge w:val="continue"/>
            <w:shd w:val="clear" w:color="auto" w:fill="DBDBDB"/>
          </w:tcPr>
          <w:p>
            <w:pPr>
              <w:spacing w:after="0"/>
              <w:rPr>
                <w:sz w:val="8"/>
                <w:szCs w:val="8"/>
                <w:color w:val="auto"/>
              </w:rPr>
            </w:pPr>
          </w:p>
        </w:tc>
        <w:tc>
          <w:tcPr>
            <w:tcW w:w="380" w:type="dxa"/>
            <w:vAlign w:val="bottom"/>
            <w:shd w:val="clear" w:color="auto" w:fill="DBDBDB"/>
          </w:tcPr>
          <w:p>
            <w:pPr>
              <w:spacing w:after="0"/>
              <w:rPr>
                <w:sz w:val="8"/>
                <w:szCs w:val="8"/>
                <w:color w:val="auto"/>
              </w:rPr>
            </w:pPr>
          </w:p>
        </w:tc>
        <w:tc>
          <w:tcPr>
            <w:tcW w:w="1520" w:type="dxa"/>
            <w:vAlign w:val="bottom"/>
            <w:gridSpan w:val="2"/>
            <w:vMerge w:val="continue"/>
            <w:shd w:val="clear" w:color="auto" w:fill="DBDBDB"/>
          </w:tcPr>
          <w:p>
            <w:pPr>
              <w:spacing w:after="0"/>
              <w:rPr>
                <w:sz w:val="8"/>
                <w:szCs w:val="8"/>
                <w:color w:val="auto"/>
              </w:rPr>
            </w:pPr>
          </w:p>
        </w:tc>
        <w:tc>
          <w:tcPr>
            <w:tcW w:w="52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020" w:type="dxa"/>
            <w:vAlign w:val="bottom"/>
            <w:vMerge w:val="continue"/>
            <w:shd w:val="clear" w:color="auto" w:fill="DBDBDB"/>
          </w:tcPr>
          <w:p>
            <w:pPr>
              <w:spacing w:after="0"/>
              <w:rPr>
                <w:sz w:val="8"/>
                <w:szCs w:val="8"/>
                <w:color w:val="auto"/>
              </w:rPr>
            </w:pPr>
          </w:p>
        </w:tc>
        <w:tc>
          <w:tcPr>
            <w:tcW w:w="360" w:type="dxa"/>
            <w:vAlign w:val="bottom"/>
            <w:shd w:val="clear" w:color="auto" w:fill="DBDBDB"/>
          </w:tcPr>
          <w:p>
            <w:pPr>
              <w:spacing w:after="0"/>
              <w:rPr>
                <w:sz w:val="8"/>
                <w:szCs w:val="8"/>
                <w:color w:val="auto"/>
              </w:rPr>
            </w:pPr>
          </w:p>
        </w:tc>
        <w:tc>
          <w:tcPr>
            <w:tcW w:w="192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88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4,366</w:t>
            </w:r>
          </w:p>
        </w:tc>
        <w:tc>
          <w:tcPr>
            <w:tcW w:w="3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w:t>
            </w:r>
          </w:p>
        </w:tc>
        <w:tc>
          <w:tcPr>
            <w:tcW w:w="1520" w:type="dxa"/>
            <w:vAlign w:val="bottom"/>
            <w:gridSpan w:val="2"/>
            <w:vMerge w:val="restart"/>
            <w:shd w:val="clear" w:color="auto" w:fill="DBDBDB"/>
          </w:tcPr>
          <w:p>
            <w:pPr>
              <w:jc w:val="right"/>
              <w:spacing w:after="0"/>
              <w:rPr>
                <w:sz w:val="20"/>
                <w:szCs w:val="20"/>
                <w:color w:val="auto"/>
              </w:rPr>
            </w:pPr>
            <w:r>
              <w:rPr>
                <w:rFonts w:ascii="Arial" w:cs="Arial" w:eastAsia="Arial" w:hAnsi="Arial"/>
                <w:sz w:val="16"/>
                <w:szCs w:val="16"/>
                <w:color w:val="auto"/>
              </w:rPr>
              <w:t>209,306</w:t>
            </w:r>
          </w:p>
        </w:tc>
        <w:tc>
          <w:tcPr>
            <w:tcW w:w="5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shd w:val="clear" w:color="auto" w:fill="DBDBDB"/>
          </w:tcPr>
          <w:p>
            <w:pPr>
              <w:spacing w:after="0"/>
              <w:rPr>
                <w:sz w:val="12"/>
                <w:szCs w:val="12"/>
                <w:color w:val="auto"/>
              </w:rPr>
            </w:pPr>
          </w:p>
        </w:tc>
        <w:tc>
          <w:tcPr>
            <w:tcW w:w="1920" w:type="dxa"/>
            <w:vAlign w:val="bottom"/>
            <w:vMerge w:val="restart"/>
            <w:shd w:val="clear" w:color="auto" w:fill="DBDBDB"/>
          </w:tcPr>
          <w:p>
            <w:pPr>
              <w:jc w:val="right"/>
              <w:ind w:right="7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5"/>
        </w:trPr>
        <w:tc>
          <w:tcPr>
            <w:tcW w:w="2200" w:type="dxa"/>
            <w:vAlign w:val="bottom"/>
            <w:shd w:val="clear" w:color="auto" w:fill="DBDBDB"/>
          </w:tcPr>
          <w:p>
            <w:pPr>
              <w:spacing w:after="0"/>
              <w:rPr>
                <w:sz w:val="9"/>
                <w:szCs w:val="9"/>
                <w:color w:val="auto"/>
              </w:rPr>
            </w:pPr>
          </w:p>
        </w:tc>
        <w:tc>
          <w:tcPr>
            <w:tcW w:w="200" w:type="dxa"/>
            <w:vAlign w:val="bottom"/>
            <w:shd w:val="clear" w:color="auto" w:fill="DBDBDB"/>
          </w:tcPr>
          <w:p>
            <w:pPr>
              <w:spacing w:after="0"/>
              <w:rPr>
                <w:sz w:val="9"/>
                <w:szCs w:val="9"/>
                <w:color w:val="auto"/>
              </w:rPr>
            </w:pPr>
          </w:p>
        </w:tc>
        <w:tc>
          <w:tcPr>
            <w:tcW w:w="1880" w:type="dxa"/>
            <w:vAlign w:val="bottom"/>
            <w:vMerge w:val="continue"/>
            <w:shd w:val="clear" w:color="auto" w:fill="DBDBDB"/>
          </w:tcPr>
          <w:p>
            <w:pPr>
              <w:spacing w:after="0"/>
              <w:rPr>
                <w:sz w:val="9"/>
                <w:szCs w:val="9"/>
                <w:color w:val="auto"/>
              </w:rPr>
            </w:pPr>
          </w:p>
        </w:tc>
        <w:tc>
          <w:tcPr>
            <w:tcW w:w="380" w:type="dxa"/>
            <w:vAlign w:val="bottom"/>
            <w:shd w:val="clear" w:color="auto" w:fill="DBDBDB"/>
          </w:tcPr>
          <w:p>
            <w:pPr>
              <w:spacing w:after="0"/>
              <w:rPr>
                <w:sz w:val="9"/>
                <w:szCs w:val="9"/>
                <w:color w:val="auto"/>
              </w:rPr>
            </w:pPr>
          </w:p>
        </w:tc>
        <w:tc>
          <w:tcPr>
            <w:tcW w:w="1520" w:type="dxa"/>
            <w:vAlign w:val="bottom"/>
            <w:gridSpan w:val="2"/>
            <w:vMerge w:val="continue"/>
            <w:shd w:val="clear" w:color="auto" w:fill="DBDBDB"/>
          </w:tcPr>
          <w:p>
            <w:pPr>
              <w:spacing w:after="0"/>
              <w:rPr>
                <w:sz w:val="9"/>
                <w:szCs w:val="9"/>
                <w:color w:val="auto"/>
              </w:rPr>
            </w:pPr>
          </w:p>
        </w:tc>
        <w:tc>
          <w:tcPr>
            <w:tcW w:w="52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2020" w:type="dxa"/>
            <w:vAlign w:val="bottom"/>
            <w:vMerge w:val="continue"/>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92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60" w:name="page61"/>
    <w:bookmarkEnd w:id="60"/>
    <w:p>
      <w:pPr>
        <w:jc w:val="center"/>
        <w:ind w:right="160"/>
        <w:spacing w:after="0"/>
        <w:rPr>
          <w:sz w:val="20"/>
          <w:szCs w:val="20"/>
          <w:color w:val="auto"/>
        </w:rPr>
      </w:pPr>
      <w:r>
        <w:rPr>
          <w:rFonts w:ascii="Arial" w:cs="Arial" w:eastAsia="Arial" w:hAnsi="Arial"/>
          <w:sz w:val="16"/>
          <w:szCs w:val="16"/>
          <w:b w:val="1"/>
          <w:bCs w:val="1"/>
          <w:color w:val="auto"/>
        </w:rPr>
        <w:t>Outstanding Equity Awards at Fiscal 2025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294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05445E"/>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29210</wp:posOffset>
            </wp:positionV>
            <wp:extent cx="55118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05445E"/>
              </w:rPr>
              <w:t>Number of</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05445E"/>
              </w:rPr>
              <w:t>Shares or</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05445E"/>
              </w:rPr>
              <w:t>Units of</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05445E"/>
              </w:rPr>
              <w:t>Stock That</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05445E"/>
              </w:rPr>
              <w:t>Have Not</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05445E"/>
              </w:rPr>
              <w:t>Vested</w:t>
            </w:r>
          </w:p>
        </w:tc>
        <w:tc>
          <w:tcPr>
            <w:tcW w:w="0" w:type="dxa"/>
            <w:vAlign w:val="bottom"/>
          </w:tcPr>
          <w:p>
            <w:pPr>
              <w:spacing w:after="0"/>
              <w:rPr>
                <w:sz w:val="1"/>
                <w:szCs w:val="1"/>
                <w:color w:val="auto"/>
              </w:rPr>
            </w:pPr>
          </w:p>
        </w:tc>
      </w:tr>
      <w:tr>
        <w:trPr>
          <w:trHeight w:val="240"/>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5445E"/>
              </w:rPr>
              <w:t>Name</w:t>
            </w:r>
          </w:p>
        </w:tc>
        <w:tc>
          <w:tcPr>
            <w:tcW w:w="20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5445E"/>
                <w:w w:val="91"/>
              </w:rPr>
              <w:t>(#)</w:t>
            </w:r>
          </w:p>
        </w:tc>
        <w:tc>
          <w:tcPr>
            <w:tcW w:w="0" w:type="dxa"/>
            <w:vAlign w:val="bottom"/>
          </w:tcPr>
          <w:p>
            <w:pPr>
              <w:spacing w:after="0"/>
              <w:rPr>
                <w:sz w:val="1"/>
                <w:szCs w:val="1"/>
                <w:color w:val="auto"/>
              </w:rPr>
            </w:pPr>
          </w:p>
        </w:tc>
      </w:tr>
      <w:tr>
        <w:trPr>
          <w:trHeight w:val="199"/>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Troy R.</w:t>
            </w:r>
          </w:p>
        </w:tc>
        <w:tc>
          <w:tcPr>
            <w:tcW w:w="190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Johnson</w:t>
            </w:r>
          </w:p>
        </w:tc>
        <w:tc>
          <w:tcPr>
            <w:tcW w:w="190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3,798</w:t>
            </w: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3,080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w w:val="98"/>
              </w:rPr>
              <w:t>Equity</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Incentive</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w w:val="98"/>
              </w:rPr>
              <w:t>Equity</w:t>
            </w: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Plan</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rPr>
              <w:t>Incentive</w:t>
            </w:r>
          </w:p>
        </w:tc>
        <w:tc>
          <w:tcPr>
            <w:tcW w:w="36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Awards:</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rPr>
              <w:t>Plan</w:t>
            </w: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w w:val="99"/>
              </w:rPr>
              <w:t>Market or</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rPr>
              <w:t>Awards:</w:t>
            </w: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Payout</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w w:val="99"/>
              </w:rPr>
              <w:t>Number of</w:t>
            </w:r>
          </w:p>
        </w:tc>
        <w:tc>
          <w:tcPr>
            <w:tcW w:w="36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Value of</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rPr>
              <w:t>Unearned</w:t>
            </w: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Unearned</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05445E"/>
              </w:rPr>
              <w:t>Market Value</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rPr>
              <w:t>Shares,</w:t>
            </w: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Shares,</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05445E"/>
              </w:rPr>
              <w:t>of Shares or</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w w:val="99"/>
              </w:rPr>
              <w:t>Units or</w:t>
            </w:r>
          </w:p>
        </w:tc>
        <w:tc>
          <w:tcPr>
            <w:tcW w:w="36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w w:val="99"/>
              </w:rPr>
              <w:t>Units or</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05445E"/>
              </w:rPr>
              <w:t>Units of</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rPr>
              <w:t>Other</w:t>
            </w: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Other</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05445E"/>
              </w:rPr>
              <w:t>Stock That</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w w:val="99"/>
              </w:rPr>
              <w:t>Rights That</w:t>
            </w:r>
          </w:p>
        </w:tc>
        <w:tc>
          <w:tcPr>
            <w:tcW w:w="36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Rights</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05445E"/>
              </w:rPr>
              <w:t>Have Not</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rPr>
              <w:t>Have Not</w:t>
            </w: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w w:val="99"/>
              </w:rPr>
              <w:t>That Have</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05445E"/>
                <w:w w:val="99"/>
              </w:rPr>
              <w:t>Vested</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05445E"/>
                <w:w w:val="99"/>
              </w:rPr>
              <w:t>Vested</w:t>
            </w:r>
          </w:p>
        </w:tc>
        <w:tc>
          <w:tcPr>
            <w:tcW w:w="3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05445E"/>
              </w:rPr>
              <w:t>Not Vested</w:t>
            </w:r>
          </w:p>
        </w:tc>
        <w:tc>
          <w:tcPr>
            <w:tcW w:w="0" w:type="dxa"/>
            <w:vAlign w:val="bottom"/>
          </w:tcPr>
          <w:p>
            <w:pPr>
              <w:spacing w:after="0"/>
              <w:rPr>
                <w:sz w:val="1"/>
                <w:szCs w:val="1"/>
                <w:color w:val="auto"/>
              </w:rPr>
            </w:pPr>
          </w:p>
        </w:tc>
      </w:tr>
      <w:tr>
        <w:trPr>
          <w:trHeight w:val="244"/>
        </w:trPr>
        <w:tc>
          <w:tcPr>
            <w:tcW w:w="200" w:type="dxa"/>
            <w:vAlign w:val="bottom"/>
          </w:tcPr>
          <w:p>
            <w:pPr>
              <w:spacing w:after="0"/>
              <w:rPr>
                <w:sz w:val="21"/>
                <w:szCs w:val="21"/>
                <w:color w:val="auto"/>
              </w:rPr>
            </w:pPr>
          </w:p>
        </w:tc>
        <w:tc>
          <w:tcPr>
            <w:tcW w:w="204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05445E"/>
                <w:w w:val="91"/>
                <w:vertAlign w:val="subscript"/>
              </w:rPr>
              <w:t>($)</w:t>
            </w:r>
            <w:r>
              <w:rPr>
                <w:rFonts w:ascii="Arial" w:cs="Arial" w:eastAsia="Arial" w:hAnsi="Arial"/>
                <w:sz w:val="10"/>
                <w:szCs w:val="10"/>
                <w:b w:val="1"/>
                <w:bCs w:val="1"/>
                <w:color w:val="05445E"/>
                <w:w w:val="91"/>
              </w:rPr>
              <w:t>(1)</w:t>
            </w:r>
          </w:p>
        </w:tc>
        <w:tc>
          <w:tcPr>
            <w:tcW w:w="80" w:type="dxa"/>
            <w:vAlign w:val="bottom"/>
          </w:tcPr>
          <w:p>
            <w:pPr>
              <w:spacing w:after="0"/>
              <w:rPr>
                <w:sz w:val="21"/>
                <w:szCs w:val="21"/>
                <w:color w:val="auto"/>
              </w:rPr>
            </w:pPr>
          </w:p>
        </w:tc>
        <w:tc>
          <w:tcPr>
            <w:tcW w:w="20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05445E"/>
                <w:w w:val="91"/>
                <w:vertAlign w:val="subscript"/>
              </w:rPr>
              <w:t>(#)</w:t>
            </w:r>
            <w:r>
              <w:rPr>
                <w:rFonts w:ascii="Arial" w:cs="Arial" w:eastAsia="Arial" w:hAnsi="Arial"/>
                <w:sz w:val="10"/>
                <w:szCs w:val="10"/>
                <w:b w:val="1"/>
                <w:bCs w:val="1"/>
                <w:color w:val="05445E"/>
                <w:w w:val="91"/>
              </w:rPr>
              <w:t>(2)</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19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05445E"/>
                <w:w w:val="91"/>
                <w:vertAlign w:val="subscript"/>
              </w:rPr>
              <w:t>($)</w:t>
            </w:r>
            <w:r>
              <w:rPr>
                <w:rFonts w:ascii="Arial" w:cs="Arial" w:eastAsia="Arial" w:hAnsi="Arial"/>
                <w:sz w:val="10"/>
                <w:szCs w:val="10"/>
                <w:b w:val="1"/>
                <w:bCs w:val="1"/>
                <w:color w:val="05445E"/>
                <w:w w:val="91"/>
              </w:rPr>
              <w:t>(1)</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212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w:t>
            </w:r>
          </w:p>
        </w:tc>
        <w:tc>
          <w:tcPr>
            <w:tcW w:w="2020" w:type="dxa"/>
            <w:vAlign w:val="bottom"/>
            <w:vMerge w:val="restart"/>
          </w:tcPr>
          <w:p>
            <w:pPr>
              <w:jc w:val="center"/>
              <w:spacing w:after="0"/>
              <w:rPr>
                <w:sz w:val="20"/>
                <w:szCs w:val="20"/>
                <w:color w:val="auto"/>
              </w:rPr>
            </w:pPr>
            <w:r>
              <w:rPr>
                <w:rFonts w:ascii="Arial" w:cs="Arial" w:eastAsia="Arial" w:hAnsi="Arial"/>
                <w:sz w:val="16"/>
                <w:szCs w:val="16"/>
                <w:color w:val="auto"/>
                <w:w w:val="99"/>
              </w:rPr>
              <w:t>4,950</w:t>
            </w:r>
          </w:p>
        </w:tc>
        <w:tc>
          <w:tcPr>
            <w:tcW w:w="360" w:type="dxa"/>
            <w:vAlign w:val="bottom"/>
            <w:vMerge w:val="continue"/>
          </w:tcPr>
          <w:p>
            <w:pPr>
              <w:spacing w:after="0"/>
              <w:rPr>
                <w:sz w:val="9"/>
                <w:szCs w:val="9"/>
                <w:color w:val="auto"/>
              </w:rPr>
            </w:pPr>
          </w:p>
        </w:tc>
        <w:tc>
          <w:tcPr>
            <w:tcW w:w="1920" w:type="dxa"/>
            <w:vAlign w:val="bottom"/>
            <w:vMerge w:val="restart"/>
          </w:tcPr>
          <w:p>
            <w:pPr>
              <w:ind w:left="880"/>
              <w:spacing w:after="0"/>
              <w:rPr>
                <w:sz w:val="20"/>
                <w:szCs w:val="20"/>
                <w:color w:val="auto"/>
              </w:rPr>
            </w:pPr>
            <w:r>
              <w:rPr>
                <w:rFonts w:ascii="Arial" w:cs="Arial" w:eastAsia="Arial" w:hAnsi="Arial"/>
                <w:sz w:val="16"/>
                <w:szCs w:val="16"/>
                <w:color w:val="auto"/>
              </w:rPr>
              <w:t>237,303</w:t>
            </w:r>
          </w:p>
        </w:tc>
        <w:tc>
          <w:tcPr>
            <w:tcW w:w="0" w:type="dxa"/>
            <w:vAlign w:val="bottom"/>
          </w:tcPr>
          <w:p>
            <w:pPr>
              <w:spacing w:after="0"/>
              <w:rPr>
                <w:sz w:val="1"/>
                <w:szCs w:val="1"/>
                <w:color w:val="auto"/>
              </w:rPr>
            </w:pPr>
          </w:p>
        </w:tc>
      </w:tr>
      <w:tr>
        <w:trPr>
          <w:trHeight w:val="113"/>
        </w:trPr>
        <w:tc>
          <w:tcPr>
            <w:tcW w:w="20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212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w:t>
            </w:r>
          </w:p>
        </w:tc>
        <w:tc>
          <w:tcPr>
            <w:tcW w:w="2020" w:type="dxa"/>
            <w:vAlign w:val="bottom"/>
            <w:vMerge w:val="restart"/>
          </w:tcPr>
          <w:p>
            <w:pPr>
              <w:jc w:val="center"/>
              <w:spacing w:after="0"/>
              <w:rPr>
                <w:sz w:val="20"/>
                <w:szCs w:val="20"/>
                <w:color w:val="auto"/>
              </w:rPr>
            </w:pPr>
            <w:r>
              <w:rPr>
                <w:rFonts w:ascii="Arial" w:cs="Arial" w:eastAsia="Arial" w:hAnsi="Arial"/>
                <w:sz w:val="16"/>
                <w:szCs w:val="16"/>
                <w:color w:val="auto"/>
                <w:w w:val="99"/>
              </w:rPr>
              <w:t>5,698</w:t>
            </w:r>
          </w:p>
        </w:tc>
        <w:tc>
          <w:tcPr>
            <w:tcW w:w="360" w:type="dxa"/>
            <w:vAlign w:val="bottom"/>
          </w:tcPr>
          <w:p>
            <w:pPr>
              <w:jc w:val="right"/>
              <w:spacing w:after="0"/>
              <w:rPr>
                <w:sz w:val="20"/>
                <w:szCs w:val="20"/>
                <w:color w:val="auto"/>
              </w:rPr>
            </w:pPr>
            <w:r>
              <w:rPr>
                <w:rFonts w:ascii="Arial" w:cs="Arial" w:eastAsia="Arial" w:hAnsi="Arial"/>
                <w:sz w:val="11"/>
                <w:szCs w:val="11"/>
                <w:color w:val="auto"/>
              </w:rPr>
              <w:t>(4)</w:t>
            </w:r>
          </w:p>
        </w:tc>
        <w:tc>
          <w:tcPr>
            <w:tcW w:w="1920" w:type="dxa"/>
            <w:vAlign w:val="bottom"/>
            <w:vMerge w:val="restart"/>
          </w:tcPr>
          <w:p>
            <w:pPr>
              <w:ind w:left="880"/>
              <w:spacing w:after="0"/>
              <w:rPr>
                <w:sz w:val="20"/>
                <w:szCs w:val="20"/>
                <w:color w:val="auto"/>
              </w:rPr>
            </w:pPr>
            <w:r>
              <w:rPr>
                <w:rFonts w:ascii="Arial" w:cs="Arial" w:eastAsia="Arial" w:hAnsi="Arial"/>
                <w:sz w:val="16"/>
                <w:szCs w:val="16"/>
                <w:color w:val="auto"/>
              </w:rPr>
              <w:t>273,162</w:t>
            </w:r>
          </w:p>
        </w:tc>
        <w:tc>
          <w:tcPr>
            <w:tcW w:w="0" w:type="dxa"/>
            <w:vAlign w:val="bottom"/>
          </w:tcPr>
          <w:p>
            <w:pPr>
              <w:spacing w:after="0"/>
              <w:rPr>
                <w:sz w:val="1"/>
                <w:szCs w:val="1"/>
                <w:color w:val="auto"/>
              </w:rPr>
            </w:pPr>
          </w:p>
        </w:tc>
      </w:tr>
      <w:tr>
        <w:trPr>
          <w:trHeight w:val="99"/>
        </w:trPr>
        <w:tc>
          <w:tcPr>
            <w:tcW w:w="200" w:type="dxa"/>
            <w:vAlign w:val="bottom"/>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212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w:t>
            </w:r>
          </w:p>
        </w:tc>
        <w:tc>
          <w:tcPr>
            <w:tcW w:w="2020" w:type="dxa"/>
            <w:vAlign w:val="bottom"/>
            <w:vMerge w:val="restart"/>
          </w:tcPr>
          <w:p>
            <w:pPr>
              <w:jc w:val="center"/>
              <w:spacing w:after="0"/>
              <w:rPr>
                <w:sz w:val="20"/>
                <w:szCs w:val="20"/>
                <w:color w:val="auto"/>
              </w:rPr>
            </w:pPr>
            <w:r>
              <w:rPr>
                <w:rFonts w:ascii="Arial" w:cs="Arial" w:eastAsia="Arial" w:hAnsi="Arial"/>
                <w:sz w:val="16"/>
                <w:szCs w:val="16"/>
                <w:color w:val="auto"/>
                <w:w w:val="99"/>
              </w:rPr>
              <w:t>2,053</w:t>
            </w:r>
          </w:p>
        </w:tc>
        <w:tc>
          <w:tcPr>
            <w:tcW w:w="360" w:type="dxa"/>
            <w:vAlign w:val="bottom"/>
          </w:tcPr>
          <w:p>
            <w:pPr>
              <w:jc w:val="right"/>
              <w:spacing w:after="0"/>
              <w:rPr>
                <w:sz w:val="20"/>
                <w:szCs w:val="20"/>
                <w:color w:val="auto"/>
              </w:rPr>
            </w:pPr>
            <w:r>
              <w:rPr>
                <w:rFonts w:ascii="Arial" w:cs="Arial" w:eastAsia="Arial" w:hAnsi="Arial"/>
                <w:sz w:val="11"/>
                <w:szCs w:val="11"/>
                <w:color w:val="auto"/>
              </w:rPr>
              <w:t>(5)</w:t>
            </w:r>
          </w:p>
        </w:tc>
        <w:tc>
          <w:tcPr>
            <w:tcW w:w="1920" w:type="dxa"/>
            <w:vAlign w:val="bottom"/>
            <w:vMerge w:val="restart"/>
          </w:tcPr>
          <w:p>
            <w:pPr>
              <w:ind w:left="980"/>
              <w:spacing w:after="0"/>
              <w:rPr>
                <w:sz w:val="20"/>
                <w:szCs w:val="20"/>
                <w:color w:val="auto"/>
              </w:rPr>
            </w:pPr>
            <w:r>
              <w:rPr>
                <w:rFonts w:ascii="Arial" w:cs="Arial" w:eastAsia="Arial" w:hAnsi="Arial"/>
                <w:sz w:val="16"/>
                <w:szCs w:val="16"/>
                <w:color w:val="auto"/>
              </w:rPr>
              <w:t>98,421</w:t>
            </w:r>
          </w:p>
        </w:tc>
        <w:tc>
          <w:tcPr>
            <w:tcW w:w="0" w:type="dxa"/>
            <w:vAlign w:val="bottom"/>
          </w:tcPr>
          <w:p>
            <w:pPr>
              <w:spacing w:after="0"/>
              <w:rPr>
                <w:sz w:val="1"/>
                <w:szCs w:val="1"/>
                <w:color w:val="auto"/>
              </w:rPr>
            </w:pPr>
          </w:p>
        </w:tc>
      </w:tr>
      <w:tr>
        <w:trPr>
          <w:trHeight w:val="99"/>
        </w:trPr>
        <w:tc>
          <w:tcPr>
            <w:tcW w:w="200" w:type="dxa"/>
            <w:vAlign w:val="bottom"/>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0" w:type="dxa"/>
            <w:vAlign w:val="bottom"/>
          </w:tcPr>
          <w:p>
            <w:pPr>
              <w:jc w:val="right"/>
              <w:spacing w:after="0"/>
              <w:rPr>
                <w:sz w:val="20"/>
                <w:szCs w:val="20"/>
                <w:color w:val="auto"/>
              </w:rPr>
            </w:pPr>
            <w:r>
              <w:rPr>
                <w:rFonts w:ascii="Arial" w:cs="Arial" w:eastAsia="Arial" w:hAnsi="Arial"/>
                <w:sz w:val="11"/>
                <w:szCs w:val="11"/>
                <w:color w:val="auto"/>
                <w:w w:val="81"/>
              </w:rPr>
              <w:t>(12)</w:t>
            </w:r>
          </w:p>
        </w:tc>
        <w:tc>
          <w:tcPr>
            <w:tcW w:w="2040" w:type="dxa"/>
            <w:vAlign w:val="bottom"/>
            <w:vMerge w:val="restart"/>
          </w:tcPr>
          <w:p>
            <w:pPr>
              <w:jc w:val="right"/>
              <w:ind w:right="481"/>
              <w:spacing w:after="0"/>
              <w:rPr>
                <w:sz w:val="20"/>
                <w:szCs w:val="20"/>
                <w:color w:val="auto"/>
              </w:rPr>
            </w:pPr>
            <w:r>
              <w:rPr>
                <w:rFonts w:ascii="Arial" w:cs="Arial" w:eastAsia="Arial" w:hAnsi="Arial"/>
                <w:sz w:val="16"/>
                <w:szCs w:val="16"/>
                <w:color w:val="auto"/>
              </w:rPr>
              <w:t>83,080</w:t>
            </w:r>
          </w:p>
        </w:tc>
        <w:tc>
          <w:tcPr>
            <w:tcW w:w="80" w:type="dxa"/>
            <w:vAlign w:val="bottom"/>
          </w:tcPr>
          <w:p>
            <w:pPr>
              <w:spacing w:after="0"/>
              <w:rPr>
                <w:sz w:val="12"/>
                <w:szCs w:val="12"/>
                <w:color w:val="auto"/>
              </w:rPr>
            </w:pPr>
          </w:p>
        </w:tc>
        <w:tc>
          <w:tcPr>
            <w:tcW w:w="20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12"/>
                <w:szCs w:val="12"/>
                <w:color w:val="auto"/>
              </w:rPr>
            </w:pPr>
          </w:p>
        </w:tc>
        <w:tc>
          <w:tcPr>
            <w:tcW w:w="192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0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0" w:type="dxa"/>
            <w:vAlign w:val="bottom"/>
          </w:tcPr>
          <w:p>
            <w:pPr>
              <w:jc w:val="right"/>
              <w:spacing w:after="0"/>
              <w:rPr>
                <w:sz w:val="20"/>
                <w:szCs w:val="20"/>
                <w:color w:val="auto"/>
              </w:rPr>
            </w:pPr>
            <w:r>
              <w:rPr>
                <w:rFonts w:ascii="Arial" w:cs="Arial" w:eastAsia="Arial" w:hAnsi="Arial"/>
                <w:sz w:val="11"/>
                <w:szCs w:val="11"/>
                <w:color w:val="auto"/>
              </w:rPr>
              <w:t>(8)</w:t>
            </w:r>
          </w:p>
        </w:tc>
        <w:tc>
          <w:tcPr>
            <w:tcW w:w="2040" w:type="dxa"/>
            <w:vAlign w:val="bottom"/>
            <w:vMerge w:val="restart"/>
          </w:tcPr>
          <w:p>
            <w:pPr>
              <w:jc w:val="right"/>
              <w:ind w:right="481"/>
              <w:spacing w:after="0"/>
              <w:rPr>
                <w:sz w:val="20"/>
                <w:szCs w:val="20"/>
                <w:color w:val="auto"/>
              </w:rPr>
            </w:pPr>
            <w:r>
              <w:rPr>
                <w:rFonts w:ascii="Arial" w:cs="Arial" w:eastAsia="Arial" w:hAnsi="Arial"/>
                <w:sz w:val="16"/>
                <w:szCs w:val="16"/>
                <w:color w:val="auto"/>
              </w:rPr>
              <w:t>182,076</w:t>
            </w:r>
          </w:p>
        </w:tc>
        <w:tc>
          <w:tcPr>
            <w:tcW w:w="80" w:type="dxa"/>
            <w:vAlign w:val="bottom"/>
          </w:tcPr>
          <w:p>
            <w:pPr>
              <w:spacing w:after="0"/>
              <w:rPr>
                <w:sz w:val="12"/>
                <w:szCs w:val="12"/>
                <w:color w:val="auto"/>
              </w:rPr>
            </w:pPr>
          </w:p>
        </w:tc>
        <w:tc>
          <w:tcPr>
            <w:tcW w:w="20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12"/>
                <w:szCs w:val="12"/>
                <w:color w:val="auto"/>
              </w:rPr>
            </w:pPr>
          </w:p>
        </w:tc>
        <w:tc>
          <w:tcPr>
            <w:tcW w:w="192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0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0" w:type="dxa"/>
            <w:vAlign w:val="bottom"/>
          </w:tcPr>
          <w:p>
            <w:pPr>
              <w:jc w:val="right"/>
              <w:spacing w:after="0"/>
              <w:rPr>
                <w:sz w:val="20"/>
                <w:szCs w:val="20"/>
                <w:color w:val="auto"/>
              </w:rPr>
            </w:pPr>
            <w:r>
              <w:rPr>
                <w:rFonts w:ascii="Arial" w:cs="Arial" w:eastAsia="Arial" w:hAnsi="Arial"/>
                <w:sz w:val="11"/>
                <w:szCs w:val="11"/>
                <w:color w:val="auto"/>
              </w:rPr>
              <w:t>(9)</w:t>
            </w:r>
          </w:p>
        </w:tc>
        <w:tc>
          <w:tcPr>
            <w:tcW w:w="2040" w:type="dxa"/>
            <w:vAlign w:val="bottom"/>
            <w:vMerge w:val="restart"/>
          </w:tcPr>
          <w:p>
            <w:pPr>
              <w:jc w:val="right"/>
              <w:ind w:right="481"/>
              <w:spacing w:after="0"/>
              <w:rPr>
                <w:sz w:val="20"/>
                <w:szCs w:val="20"/>
                <w:color w:val="auto"/>
              </w:rPr>
            </w:pPr>
            <w:r>
              <w:rPr>
                <w:rFonts w:ascii="Arial" w:cs="Arial" w:eastAsia="Arial" w:hAnsi="Arial"/>
                <w:sz w:val="16"/>
                <w:szCs w:val="16"/>
                <w:color w:val="auto"/>
              </w:rPr>
              <w:t>147,655</w:t>
            </w:r>
          </w:p>
        </w:tc>
        <w:tc>
          <w:tcPr>
            <w:tcW w:w="80" w:type="dxa"/>
            <w:vAlign w:val="bottom"/>
          </w:tcPr>
          <w:p>
            <w:pPr>
              <w:spacing w:after="0"/>
              <w:rPr>
                <w:sz w:val="12"/>
                <w:szCs w:val="12"/>
                <w:color w:val="auto"/>
              </w:rPr>
            </w:pPr>
          </w:p>
        </w:tc>
        <w:tc>
          <w:tcPr>
            <w:tcW w:w="20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tcPr>
          <w:p>
            <w:pPr>
              <w:spacing w:after="0"/>
              <w:rPr>
                <w:sz w:val="12"/>
                <w:szCs w:val="12"/>
                <w:color w:val="auto"/>
              </w:rPr>
            </w:pPr>
          </w:p>
        </w:tc>
        <w:tc>
          <w:tcPr>
            <w:tcW w:w="1920" w:type="dxa"/>
            <w:vAlign w:val="bottom"/>
            <w:vMerge w:val="restart"/>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0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4300" w:space="160"/>
            <w:col w:w="6780"/>
          </w:cols>
          <w:pgMar w:left="320" w:top="1421" w:right="339" w:bottom="1440" w:gutter="0" w:footer="0" w:header="0"/>
          <w:type w:val="continuous"/>
        </w:sectPr>
      </w:pPr>
    </w:p>
    <w:tbl>
      <w:tblPr>
        <w:tblLayout w:type="fixed"/>
        <w:tblInd w:w="0" w:type="dxa"/>
        <w:tblCellMar>
          <w:top w:w="0" w:type="dxa"/>
          <w:left w:w="0" w:type="dxa"/>
          <w:bottom w:w="0" w:type="dxa"/>
          <w:right w:w="0" w:type="dxa"/>
        </w:tblCellMar>
      </w:tblPr>
      <w:tr>
        <w:trPr>
          <w:trHeight w:val="140"/>
        </w:trPr>
        <w:tc>
          <w:tcPr>
            <w:tcW w:w="220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Raelyn A.</w:t>
            </w:r>
          </w:p>
        </w:tc>
        <w:tc>
          <w:tcPr>
            <w:tcW w:w="200" w:type="dxa"/>
            <w:vAlign w:val="bottom"/>
            <w:shd w:val="clear" w:color="auto" w:fill="DBDBDB"/>
          </w:tcPr>
          <w:p>
            <w:pPr>
              <w:spacing w:after="0"/>
              <w:rPr>
                <w:sz w:val="12"/>
                <w:szCs w:val="12"/>
                <w:color w:val="auto"/>
              </w:rPr>
            </w:pPr>
          </w:p>
        </w:tc>
        <w:tc>
          <w:tcPr>
            <w:tcW w:w="1540" w:type="dxa"/>
            <w:vAlign w:val="bottom"/>
            <w:vMerge w:val="restart"/>
            <w:shd w:val="clear" w:color="auto" w:fill="DBDBDB"/>
          </w:tcPr>
          <w:p>
            <w:pPr>
              <w:jc w:val="right"/>
              <w:ind w:right="4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BDBDB"/>
          </w:tcPr>
          <w:p>
            <w:pPr>
              <w:spacing w:after="0"/>
              <w:rPr>
                <w:sz w:val="12"/>
                <w:szCs w:val="12"/>
                <w:color w:val="auto"/>
              </w:rPr>
            </w:pPr>
          </w:p>
        </w:tc>
        <w:tc>
          <w:tcPr>
            <w:tcW w:w="1760" w:type="dxa"/>
            <w:vAlign w:val="bottom"/>
            <w:vMerge w:val="restart"/>
            <w:shd w:val="clear" w:color="auto" w:fill="DBDBDB"/>
          </w:tcPr>
          <w:p>
            <w:pPr>
              <w:jc w:val="right"/>
              <w:ind w:right="1019"/>
              <w:spacing w:after="0"/>
              <w:rPr>
                <w:sz w:val="20"/>
                <w:szCs w:val="20"/>
                <w:color w:val="auto"/>
              </w:rPr>
            </w:pPr>
            <w:r>
              <w:rPr>
                <w:rFonts w:ascii="Arial" w:cs="Arial" w:eastAsia="Arial" w:hAnsi="Arial"/>
                <w:sz w:val="16"/>
                <w:szCs w:val="16"/>
                <w:color w:val="auto"/>
              </w:rPr>
              <w:t>—</w:t>
            </w:r>
          </w:p>
        </w:tc>
        <w:tc>
          <w:tcPr>
            <w:tcW w:w="1640" w:type="dxa"/>
            <w:vAlign w:val="bottom"/>
            <w:vMerge w:val="restart"/>
            <w:shd w:val="clear" w:color="auto" w:fill="DBDBDB"/>
          </w:tcPr>
          <w:p>
            <w:pPr>
              <w:jc w:val="center"/>
              <w:ind w:left="159"/>
              <w:spacing w:after="0"/>
              <w:rPr>
                <w:sz w:val="20"/>
                <w:szCs w:val="20"/>
                <w:color w:val="auto"/>
              </w:rPr>
            </w:pPr>
            <w:r>
              <w:rPr>
                <w:rFonts w:ascii="Arial" w:cs="Arial" w:eastAsia="Arial" w:hAnsi="Arial"/>
                <w:sz w:val="16"/>
                <w:szCs w:val="16"/>
                <w:color w:val="auto"/>
                <w:w w:val="99"/>
              </w:rPr>
              <w:t>1,819</w:t>
            </w:r>
          </w:p>
        </w:tc>
        <w:tc>
          <w:tcPr>
            <w:tcW w:w="1100" w:type="dxa"/>
            <w:vAlign w:val="bottom"/>
            <w:shd w:val="clear" w:color="auto" w:fill="DBDBDB"/>
          </w:tcPr>
          <w:p>
            <w:pPr>
              <w:jc w:val="right"/>
              <w:ind w:right="407"/>
              <w:spacing w:after="0"/>
              <w:rPr>
                <w:sz w:val="20"/>
                <w:szCs w:val="20"/>
                <w:color w:val="auto"/>
              </w:rPr>
            </w:pPr>
            <w:r>
              <w:rPr>
                <w:rFonts w:ascii="Arial" w:cs="Arial" w:eastAsia="Arial" w:hAnsi="Arial"/>
                <w:sz w:val="11"/>
                <w:szCs w:val="11"/>
                <w:color w:val="auto"/>
              </w:rPr>
              <w:t>(5)</w:t>
            </w:r>
          </w:p>
        </w:tc>
        <w:tc>
          <w:tcPr>
            <w:tcW w:w="1480" w:type="dxa"/>
            <w:vAlign w:val="bottom"/>
            <w:vMerge w:val="restart"/>
            <w:shd w:val="clear" w:color="auto" w:fill="DBDBDB"/>
          </w:tcPr>
          <w:p>
            <w:pPr>
              <w:jc w:val="right"/>
              <w:ind w:right="379"/>
              <w:spacing w:after="0"/>
              <w:rPr>
                <w:sz w:val="20"/>
                <w:szCs w:val="20"/>
                <w:color w:val="auto"/>
              </w:rPr>
            </w:pPr>
            <w:r>
              <w:rPr>
                <w:rFonts w:ascii="Arial" w:cs="Arial" w:eastAsia="Arial" w:hAnsi="Arial"/>
                <w:sz w:val="16"/>
                <w:szCs w:val="16"/>
                <w:color w:val="auto"/>
              </w:rPr>
              <w:t>87,203</w:t>
            </w:r>
          </w:p>
        </w:tc>
        <w:tc>
          <w:tcPr>
            <w:tcW w:w="0" w:type="dxa"/>
            <w:vAlign w:val="bottom"/>
          </w:tcPr>
          <w:p>
            <w:pPr>
              <w:spacing w:after="0"/>
              <w:rPr>
                <w:sz w:val="1"/>
                <w:szCs w:val="1"/>
                <w:color w:val="auto"/>
              </w:rPr>
            </w:pPr>
          </w:p>
        </w:tc>
      </w:tr>
      <w:tr>
        <w:trPr>
          <w:trHeight w:val="63"/>
        </w:trPr>
        <w:tc>
          <w:tcPr>
            <w:tcW w:w="2200" w:type="dxa"/>
            <w:vAlign w:val="bottom"/>
            <w:vMerge w:val="continue"/>
            <w:shd w:val="clear" w:color="auto" w:fill="DBDBDB"/>
          </w:tcPr>
          <w:p>
            <w:pPr>
              <w:spacing w:after="0"/>
              <w:rPr>
                <w:sz w:val="5"/>
                <w:szCs w:val="5"/>
                <w:color w:val="auto"/>
              </w:rPr>
            </w:pPr>
          </w:p>
        </w:tc>
        <w:tc>
          <w:tcPr>
            <w:tcW w:w="200" w:type="dxa"/>
            <w:vAlign w:val="bottom"/>
            <w:shd w:val="clear" w:color="auto" w:fill="DBDBDB"/>
          </w:tcPr>
          <w:p>
            <w:pPr>
              <w:spacing w:after="0"/>
              <w:rPr>
                <w:sz w:val="5"/>
                <w:szCs w:val="5"/>
                <w:color w:val="auto"/>
              </w:rPr>
            </w:pPr>
          </w:p>
        </w:tc>
        <w:tc>
          <w:tcPr>
            <w:tcW w:w="1540" w:type="dxa"/>
            <w:vAlign w:val="bottom"/>
            <w:vMerge w:val="continue"/>
            <w:shd w:val="clear" w:color="auto" w:fill="DBDBDB"/>
          </w:tcPr>
          <w:p>
            <w:pPr>
              <w:spacing w:after="0"/>
              <w:rPr>
                <w:sz w:val="5"/>
                <w:szCs w:val="5"/>
                <w:color w:val="auto"/>
              </w:rPr>
            </w:pPr>
          </w:p>
        </w:tc>
        <w:tc>
          <w:tcPr>
            <w:tcW w:w="1160" w:type="dxa"/>
            <w:vAlign w:val="bottom"/>
            <w:shd w:val="clear" w:color="auto" w:fill="DBDBDB"/>
          </w:tcPr>
          <w:p>
            <w:pPr>
              <w:spacing w:after="0"/>
              <w:rPr>
                <w:sz w:val="5"/>
                <w:szCs w:val="5"/>
                <w:color w:val="auto"/>
              </w:rPr>
            </w:pPr>
          </w:p>
        </w:tc>
        <w:tc>
          <w:tcPr>
            <w:tcW w:w="1760" w:type="dxa"/>
            <w:vAlign w:val="bottom"/>
            <w:vMerge w:val="continue"/>
            <w:shd w:val="clear" w:color="auto" w:fill="DBDBDB"/>
          </w:tcPr>
          <w:p>
            <w:pPr>
              <w:spacing w:after="0"/>
              <w:rPr>
                <w:sz w:val="5"/>
                <w:szCs w:val="5"/>
                <w:color w:val="auto"/>
              </w:rPr>
            </w:pPr>
          </w:p>
        </w:tc>
        <w:tc>
          <w:tcPr>
            <w:tcW w:w="1640" w:type="dxa"/>
            <w:vAlign w:val="bottom"/>
            <w:vMerge w:val="continue"/>
            <w:shd w:val="clear" w:color="auto" w:fill="DBDBDB"/>
          </w:tcPr>
          <w:p>
            <w:pPr>
              <w:spacing w:after="0"/>
              <w:rPr>
                <w:sz w:val="5"/>
                <w:szCs w:val="5"/>
                <w:color w:val="auto"/>
              </w:rPr>
            </w:pPr>
          </w:p>
        </w:tc>
        <w:tc>
          <w:tcPr>
            <w:tcW w:w="1100" w:type="dxa"/>
            <w:vAlign w:val="bottom"/>
            <w:shd w:val="clear" w:color="auto" w:fill="DBDBDB"/>
          </w:tcPr>
          <w:p>
            <w:pPr>
              <w:spacing w:after="0"/>
              <w:rPr>
                <w:sz w:val="5"/>
                <w:szCs w:val="5"/>
                <w:color w:val="auto"/>
              </w:rPr>
            </w:pPr>
          </w:p>
        </w:tc>
        <w:tc>
          <w:tcPr>
            <w:tcW w:w="148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Trende</w:t>
            </w:r>
          </w:p>
        </w:tc>
        <w:tc>
          <w:tcPr>
            <w:tcW w:w="200" w:type="dxa"/>
            <w:vAlign w:val="bottom"/>
            <w:shd w:val="clear" w:color="auto" w:fill="DBDBDB"/>
          </w:tcPr>
          <w:p>
            <w:pPr>
              <w:spacing w:after="0"/>
              <w:rPr>
                <w:sz w:val="18"/>
                <w:szCs w:val="18"/>
                <w:color w:val="auto"/>
              </w:rPr>
            </w:pPr>
          </w:p>
        </w:tc>
        <w:tc>
          <w:tcPr>
            <w:tcW w:w="1540" w:type="dxa"/>
            <w:vAlign w:val="bottom"/>
            <w:vMerge w:val="restart"/>
            <w:shd w:val="clear" w:color="auto" w:fill="DBDBDB"/>
          </w:tcPr>
          <w:p>
            <w:pPr>
              <w:jc w:val="right"/>
              <w:ind w:right="639"/>
              <w:spacing w:after="0"/>
              <w:rPr>
                <w:sz w:val="20"/>
                <w:szCs w:val="20"/>
                <w:color w:val="auto"/>
              </w:rPr>
            </w:pPr>
            <w:r>
              <w:rPr>
                <w:rFonts w:ascii="Arial" w:cs="Arial" w:eastAsia="Arial" w:hAnsi="Arial"/>
                <w:sz w:val="16"/>
                <w:szCs w:val="16"/>
                <w:color w:val="auto"/>
              </w:rPr>
              <w:t>7,024</w:t>
            </w:r>
          </w:p>
        </w:tc>
        <w:tc>
          <w:tcPr>
            <w:tcW w:w="1160" w:type="dxa"/>
            <w:vAlign w:val="bottom"/>
            <w:shd w:val="clear" w:color="auto" w:fill="DBDBDB"/>
          </w:tcPr>
          <w:p>
            <w:pPr>
              <w:jc w:val="right"/>
              <w:ind w:right="407"/>
              <w:spacing w:after="0"/>
              <w:rPr>
                <w:sz w:val="20"/>
                <w:szCs w:val="20"/>
                <w:color w:val="auto"/>
              </w:rPr>
            </w:pPr>
            <w:r>
              <w:rPr>
                <w:rFonts w:ascii="Arial" w:cs="Arial" w:eastAsia="Arial" w:hAnsi="Arial"/>
                <w:sz w:val="11"/>
                <w:szCs w:val="11"/>
                <w:color w:val="auto"/>
              </w:rPr>
              <w:t>(14)</w:t>
            </w:r>
          </w:p>
        </w:tc>
        <w:tc>
          <w:tcPr>
            <w:tcW w:w="1760" w:type="dxa"/>
            <w:vAlign w:val="bottom"/>
            <w:vMerge w:val="restart"/>
            <w:shd w:val="clear" w:color="auto" w:fill="DBDBDB"/>
          </w:tcPr>
          <w:p>
            <w:pPr>
              <w:jc w:val="right"/>
              <w:ind w:right="639"/>
              <w:spacing w:after="0"/>
              <w:rPr>
                <w:sz w:val="20"/>
                <w:szCs w:val="20"/>
                <w:color w:val="auto"/>
              </w:rPr>
            </w:pPr>
            <w:r>
              <w:rPr>
                <w:rFonts w:ascii="Arial" w:cs="Arial" w:eastAsia="Arial" w:hAnsi="Arial"/>
                <w:sz w:val="16"/>
                <w:szCs w:val="16"/>
                <w:color w:val="auto"/>
              </w:rPr>
              <w:t>336,731</w:t>
            </w:r>
          </w:p>
        </w:tc>
        <w:tc>
          <w:tcPr>
            <w:tcW w:w="1640" w:type="dxa"/>
            <w:vAlign w:val="bottom"/>
            <w:vMerge w:val="restart"/>
            <w:shd w:val="clear" w:color="auto" w:fill="DBDBDB"/>
          </w:tcPr>
          <w:p>
            <w:pPr>
              <w:jc w:val="center"/>
              <w:ind w:left="159"/>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DBDBDB"/>
          </w:tcPr>
          <w:p>
            <w:pPr>
              <w:spacing w:after="0"/>
              <w:rPr>
                <w:sz w:val="18"/>
                <w:szCs w:val="18"/>
                <w:color w:val="auto"/>
              </w:rPr>
            </w:pPr>
          </w:p>
        </w:tc>
        <w:tc>
          <w:tcPr>
            <w:tcW w:w="1480" w:type="dxa"/>
            <w:vAlign w:val="bottom"/>
            <w:vMerge w:val="restart"/>
            <w:shd w:val="clear" w:color="auto" w:fill="DBDBDB"/>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2200" w:type="dxa"/>
            <w:vAlign w:val="bottom"/>
            <w:shd w:val="clear" w:color="auto" w:fill="DBDBDB"/>
          </w:tcPr>
          <w:p>
            <w:pPr>
              <w:spacing w:after="0"/>
              <w:rPr>
                <w:sz w:val="4"/>
                <w:szCs w:val="4"/>
                <w:color w:val="auto"/>
              </w:rPr>
            </w:pPr>
          </w:p>
        </w:tc>
        <w:tc>
          <w:tcPr>
            <w:tcW w:w="200" w:type="dxa"/>
            <w:vAlign w:val="bottom"/>
            <w:shd w:val="clear" w:color="auto" w:fill="DBDBDB"/>
          </w:tcPr>
          <w:p>
            <w:pPr>
              <w:spacing w:after="0"/>
              <w:rPr>
                <w:sz w:val="4"/>
                <w:szCs w:val="4"/>
                <w:color w:val="auto"/>
              </w:rPr>
            </w:pPr>
          </w:p>
        </w:tc>
        <w:tc>
          <w:tcPr>
            <w:tcW w:w="1540" w:type="dxa"/>
            <w:vAlign w:val="bottom"/>
            <w:vMerge w:val="continue"/>
            <w:shd w:val="clear" w:color="auto" w:fill="DBDBDB"/>
          </w:tcPr>
          <w:p>
            <w:pPr>
              <w:spacing w:after="0"/>
              <w:rPr>
                <w:sz w:val="4"/>
                <w:szCs w:val="4"/>
                <w:color w:val="auto"/>
              </w:rPr>
            </w:pPr>
          </w:p>
        </w:tc>
        <w:tc>
          <w:tcPr>
            <w:tcW w:w="1160" w:type="dxa"/>
            <w:vAlign w:val="bottom"/>
            <w:shd w:val="clear" w:color="auto" w:fill="DBDBDB"/>
          </w:tcPr>
          <w:p>
            <w:pPr>
              <w:spacing w:after="0"/>
              <w:rPr>
                <w:sz w:val="4"/>
                <w:szCs w:val="4"/>
                <w:color w:val="auto"/>
              </w:rPr>
            </w:pPr>
          </w:p>
        </w:tc>
        <w:tc>
          <w:tcPr>
            <w:tcW w:w="1760" w:type="dxa"/>
            <w:vAlign w:val="bottom"/>
            <w:vMerge w:val="continue"/>
            <w:shd w:val="clear" w:color="auto" w:fill="DBDBDB"/>
          </w:tcPr>
          <w:p>
            <w:pPr>
              <w:spacing w:after="0"/>
              <w:rPr>
                <w:sz w:val="4"/>
                <w:szCs w:val="4"/>
                <w:color w:val="auto"/>
              </w:rPr>
            </w:pPr>
          </w:p>
        </w:tc>
        <w:tc>
          <w:tcPr>
            <w:tcW w:w="1640" w:type="dxa"/>
            <w:vAlign w:val="bottom"/>
            <w:vMerge w:val="continue"/>
            <w:shd w:val="clear" w:color="auto" w:fill="DBDBDB"/>
          </w:tcPr>
          <w:p>
            <w:pPr>
              <w:spacing w:after="0"/>
              <w:rPr>
                <w:sz w:val="4"/>
                <w:szCs w:val="4"/>
                <w:color w:val="auto"/>
              </w:rPr>
            </w:pPr>
          </w:p>
        </w:tc>
        <w:tc>
          <w:tcPr>
            <w:tcW w:w="1100" w:type="dxa"/>
            <w:vAlign w:val="bottom"/>
            <w:shd w:val="clear" w:color="auto" w:fill="DBDBDB"/>
          </w:tcPr>
          <w:p>
            <w:pPr>
              <w:spacing w:after="0"/>
              <w:rPr>
                <w:sz w:val="4"/>
                <w:szCs w:val="4"/>
                <w:color w:val="auto"/>
              </w:rPr>
            </w:pPr>
          </w:p>
        </w:tc>
        <w:tc>
          <w:tcPr>
            <w:tcW w:w="1480" w:type="dxa"/>
            <w:vAlign w:val="bottom"/>
            <w:vMerge w:val="continue"/>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540" w:type="dxa"/>
            <w:vAlign w:val="bottom"/>
            <w:vMerge w:val="restart"/>
            <w:shd w:val="clear" w:color="auto" w:fill="DBDBDB"/>
          </w:tcPr>
          <w:p>
            <w:pPr>
              <w:jc w:val="right"/>
              <w:ind w:right="499"/>
              <w:spacing w:after="0"/>
              <w:rPr>
                <w:sz w:val="20"/>
                <w:szCs w:val="20"/>
                <w:color w:val="auto"/>
              </w:rPr>
            </w:pPr>
            <w:r>
              <w:rPr>
                <w:rFonts w:ascii="Arial" w:cs="Arial" w:eastAsia="Arial" w:hAnsi="Arial"/>
                <w:sz w:val="16"/>
                <w:szCs w:val="16"/>
                <w:color w:val="auto"/>
              </w:rPr>
              <w:t>3,637</w:t>
            </w:r>
          </w:p>
        </w:tc>
        <w:tc>
          <w:tcPr>
            <w:tcW w:w="1160" w:type="dxa"/>
            <w:vAlign w:val="bottom"/>
            <w:shd w:val="clear" w:color="auto" w:fill="DBDBDB"/>
          </w:tcPr>
          <w:p>
            <w:pPr>
              <w:jc w:val="right"/>
              <w:ind w:right="407"/>
              <w:spacing w:after="0"/>
              <w:rPr>
                <w:sz w:val="20"/>
                <w:szCs w:val="20"/>
                <w:color w:val="auto"/>
              </w:rPr>
            </w:pPr>
            <w:r>
              <w:rPr>
                <w:rFonts w:ascii="Arial" w:cs="Arial" w:eastAsia="Arial" w:hAnsi="Arial"/>
                <w:sz w:val="11"/>
                <w:szCs w:val="11"/>
                <w:color w:val="auto"/>
              </w:rPr>
              <w:t>(15)</w:t>
            </w:r>
          </w:p>
        </w:tc>
        <w:tc>
          <w:tcPr>
            <w:tcW w:w="1760" w:type="dxa"/>
            <w:vAlign w:val="bottom"/>
            <w:vMerge w:val="restart"/>
            <w:shd w:val="clear" w:color="auto" w:fill="DBDBDB"/>
          </w:tcPr>
          <w:p>
            <w:pPr>
              <w:jc w:val="right"/>
              <w:ind w:right="639"/>
              <w:spacing w:after="0"/>
              <w:rPr>
                <w:sz w:val="20"/>
                <w:szCs w:val="20"/>
                <w:color w:val="auto"/>
              </w:rPr>
            </w:pPr>
            <w:r>
              <w:rPr>
                <w:rFonts w:ascii="Arial" w:cs="Arial" w:eastAsia="Arial" w:hAnsi="Arial"/>
                <w:sz w:val="16"/>
                <w:szCs w:val="16"/>
                <w:color w:val="auto"/>
              </w:rPr>
              <w:t>174,358</w:t>
            </w:r>
          </w:p>
        </w:tc>
        <w:tc>
          <w:tcPr>
            <w:tcW w:w="1640" w:type="dxa"/>
            <w:vAlign w:val="bottom"/>
            <w:vMerge w:val="restart"/>
            <w:shd w:val="clear" w:color="auto" w:fill="DBDBDB"/>
          </w:tcPr>
          <w:p>
            <w:pPr>
              <w:jc w:val="center"/>
              <w:ind w:left="159"/>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DBDBDB"/>
          </w:tcPr>
          <w:p>
            <w:pPr>
              <w:spacing w:after="0"/>
              <w:rPr>
                <w:sz w:val="12"/>
                <w:szCs w:val="12"/>
                <w:color w:val="auto"/>
              </w:rPr>
            </w:pPr>
          </w:p>
        </w:tc>
        <w:tc>
          <w:tcPr>
            <w:tcW w:w="1480" w:type="dxa"/>
            <w:vAlign w:val="bottom"/>
            <w:vMerge w:val="restart"/>
            <w:shd w:val="clear" w:color="auto" w:fill="DBDBDB"/>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4"/>
        </w:trPr>
        <w:tc>
          <w:tcPr>
            <w:tcW w:w="2200" w:type="dxa"/>
            <w:vAlign w:val="bottom"/>
            <w:shd w:val="clear" w:color="auto" w:fill="DBDBDB"/>
          </w:tcPr>
          <w:p>
            <w:pPr>
              <w:spacing w:after="0"/>
              <w:rPr>
                <w:sz w:val="9"/>
                <w:szCs w:val="9"/>
                <w:color w:val="auto"/>
              </w:rPr>
            </w:pPr>
          </w:p>
        </w:tc>
        <w:tc>
          <w:tcPr>
            <w:tcW w:w="200" w:type="dxa"/>
            <w:vAlign w:val="bottom"/>
            <w:shd w:val="clear" w:color="auto" w:fill="DBDBDB"/>
          </w:tcPr>
          <w:p>
            <w:pPr>
              <w:spacing w:after="0"/>
              <w:rPr>
                <w:sz w:val="9"/>
                <w:szCs w:val="9"/>
                <w:color w:val="auto"/>
              </w:rPr>
            </w:pPr>
          </w:p>
        </w:tc>
        <w:tc>
          <w:tcPr>
            <w:tcW w:w="1540" w:type="dxa"/>
            <w:vAlign w:val="bottom"/>
            <w:vMerge w:val="continue"/>
            <w:shd w:val="clear" w:color="auto" w:fill="DBDBDB"/>
          </w:tcPr>
          <w:p>
            <w:pPr>
              <w:spacing w:after="0"/>
              <w:rPr>
                <w:sz w:val="9"/>
                <w:szCs w:val="9"/>
                <w:color w:val="auto"/>
              </w:rPr>
            </w:pPr>
          </w:p>
        </w:tc>
        <w:tc>
          <w:tcPr>
            <w:tcW w:w="1160" w:type="dxa"/>
            <w:vAlign w:val="bottom"/>
            <w:shd w:val="clear" w:color="auto" w:fill="DBDBDB"/>
          </w:tcPr>
          <w:p>
            <w:pPr>
              <w:spacing w:after="0"/>
              <w:rPr>
                <w:sz w:val="9"/>
                <w:szCs w:val="9"/>
                <w:color w:val="auto"/>
              </w:rPr>
            </w:pPr>
          </w:p>
        </w:tc>
        <w:tc>
          <w:tcPr>
            <w:tcW w:w="1760" w:type="dxa"/>
            <w:vAlign w:val="bottom"/>
            <w:vMerge w:val="continue"/>
            <w:shd w:val="clear" w:color="auto" w:fill="DBDBDB"/>
          </w:tcPr>
          <w:p>
            <w:pPr>
              <w:spacing w:after="0"/>
              <w:rPr>
                <w:sz w:val="9"/>
                <w:szCs w:val="9"/>
                <w:color w:val="auto"/>
              </w:rPr>
            </w:pPr>
          </w:p>
        </w:tc>
        <w:tc>
          <w:tcPr>
            <w:tcW w:w="1640" w:type="dxa"/>
            <w:vAlign w:val="bottom"/>
            <w:vMerge w:val="continue"/>
            <w:shd w:val="clear" w:color="auto" w:fill="DBDBDB"/>
          </w:tcPr>
          <w:p>
            <w:pPr>
              <w:spacing w:after="0"/>
              <w:rPr>
                <w:sz w:val="9"/>
                <w:szCs w:val="9"/>
                <w:color w:val="auto"/>
              </w:rPr>
            </w:pPr>
          </w:p>
        </w:tc>
        <w:tc>
          <w:tcPr>
            <w:tcW w:w="1100" w:type="dxa"/>
            <w:vAlign w:val="bottom"/>
            <w:shd w:val="clear" w:color="auto" w:fill="DBDBDB"/>
          </w:tcPr>
          <w:p>
            <w:pPr>
              <w:spacing w:after="0"/>
              <w:rPr>
                <w:sz w:val="9"/>
                <w:szCs w:val="9"/>
                <w:color w:val="auto"/>
              </w:rPr>
            </w:pPr>
          </w:p>
        </w:tc>
        <w:tc>
          <w:tcPr>
            <w:tcW w:w="148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97" w:lineRule="exact"/>
        <w:rPr>
          <w:sz w:val="20"/>
          <w:szCs w:val="20"/>
          <w:color w:val="auto"/>
        </w:rPr>
      </w:pPr>
    </w:p>
    <w:p>
      <w:pPr>
        <w:jc w:val="both"/>
        <w:ind w:left="500" w:hanging="492"/>
        <w:spacing w:after="0" w:line="268" w:lineRule="auto"/>
        <w:tabs>
          <w:tab w:leader="none" w:pos="4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market value is calculated by multiplying $47.94, the closing price of our common stock on the Nasdaq Global Select Market on February 28, 2025, the last trading day of fiscal 2025, by the number of shares of restricted stock that had not vested or the number of unearned performance share unit portion of the performance awards as of March 1, 2025, the last day of fiscal 2025.</w:t>
      </w:r>
    </w:p>
    <w:p>
      <w:pPr>
        <w:spacing w:after="0" w:line="62" w:lineRule="exact"/>
        <w:rPr>
          <w:rFonts w:ascii="Arial" w:cs="Arial" w:eastAsia="Arial" w:hAnsi="Arial"/>
          <w:sz w:val="18"/>
          <w:szCs w:val="18"/>
          <w:color w:val="auto"/>
        </w:rPr>
      </w:pPr>
    </w:p>
    <w:p>
      <w:pPr>
        <w:jc w:val="both"/>
        <w:ind w:left="500" w:hanging="492"/>
        <w:spacing w:after="0" w:line="268" w:lineRule="auto"/>
        <w:tabs>
          <w:tab w:leader="none" w:pos="4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Includes the performance share unit portion of the performance awards with three-year performance periods until payout. At the beginning of each performance period, the threshold, target and maximum award levels are set. Our performance award program is described under the heading “Performance Awards” beginning on page </w:t>
      </w:r>
      <w:r>
        <w:rPr>
          <w:rFonts w:ascii="Arial" w:cs="Arial" w:eastAsia="Arial" w:hAnsi="Arial"/>
          <w:sz w:val="18"/>
          <w:szCs w:val="18"/>
          <w:u w:val="single" w:color="auto"/>
          <w:color w:val="0000FF"/>
        </w:rPr>
        <w:t>47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500" w:hanging="492"/>
        <w:spacing w:after="0" w:line="262" w:lineRule="auto"/>
        <w:tabs>
          <w:tab w:leader="none" w:pos="4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the performance share unit portion of performance awards made on April 21, 2022 for Mr. Silberhorn, and on April 20, 2022 for Messrs. Jewell and T. Johnson, for the three-year performance period beginning on the first day of fiscal 2023 and ending on the last day of fiscal 2025, which will only be earned if the predetermined goal for the performance period is met. The number of shares is equal to the maximum number of performance share units.</w:t>
      </w:r>
    </w:p>
    <w:p>
      <w:pPr>
        <w:spacing w:after="0" w:line="68" w:lineRule="exact"/>
        <w:rPr>
          <w:rFonts w:ascii="Arial" w:cs="Arial" w:eastAsia="Arial" w:hAnsi="Arial"/>
          <w:sz w:val="18"/>
          <w:szCs w:val="18"/>
          <w:color w:val="auto"/>
        </w:rPr>
      </w:pPr>
    </w:p>
    <w:p>
      <w:pPr>
        <w:ind w:left="500"/>
        <w:spacing w:after="0" w:line="287" w:lineRule="auto"/>
        <w:rPr>
          <w:rFonts w:ascii="Arial" w:cs="Arial" w:eastAsia="Arial" w:hAnsi="Arial"/>
          <w:sz w:val="18"/>
          <w:szCs w:val="18"/>
          <w:color w:val="auto"/>
        </w:rPr>
      </w:pPr>
      <w:r>
        <w:rPr>
          <w:rFonts w:ascii="Arial" w:cs="Arial" w:eastAsia="Arial" w:hAnsi="Arial"/>
          <w:sz w:val="18"/>
          <w:szCs w:val="18"/>
          <w:color w:val="auto"/>
        </w:rPr>
        <w:t>For each of our Named Executive Officers, the number of shares of our common stock that may be earned as a payout based on threshold, target and maximum of performance levels during the three-year performance period is set forth below.</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5"/>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80" w:type="dxa"/>
            <w:vAlign w:val="bottom"/>
            <w:gridSpan w:val="7"/>
          </w:tcPr>
          <w:p>
            <w:pPr>
              <w:jc w:val="center"/>
              <w:spacing w:after="0"/>
              <w:rPr>
                <w:sz w:val="20"/>
                <w:szCs w:val="20"/>
                <w:color w:val="auto"/>
              </w:rPr>
            </w:pPr>
            <w:r>
              <w:rPr>
                <w:rFonts w:ascii="Arial" w:cs="Arial" w:eastAsia="Arial" w:hAnsi="Arial"/>
                <w:sz w:val="14"/>
                <w:szCs w:val="14"/>
                <w:b w:val="1"/>
                <w:bCs w:val="1"/>
                <w:color w:val="05445E"/>
              </w:rPr>
              <w:t>Estimated Future Payouts Based</w:t>
            </w:r>
          </w:p>
        </w:tc>
      </w:tr>
      <w:tr>
        <w:trPr>
          <w:trHeight w:val="205"/>
        </w:trPr>
        <w:tc>
          <w:tcPr>
            <w:tcW w:w="2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05445E"/>
              </w:rPr>
              <w:t>On Performance Level</w:t>
            </w:r>
          </w:p>
        </w:tc>
        <w:tc>
          <w:tcPr>
            <w:tcW w:w="1120" w:type="dxa"/>
            <w:vAlign w:val="bottom"/>
            <w:tcBorders>
              <w:bottom w:val="single" w:sz="8" w:color="auto"/>
            </w:tcBorders>
          </w:tcPr>
          <w:p>
            <w:pPr>
              <w:spacing w:after="0"/>
              <w:rPr>
                <w:sz w:val="17"/>
                <w:szCs w:val="17"/>
                <w:color w:val="auto"/>
              </w:rPr>
            </w:pPr>
          </w:p>
        </w:tc>
      </w:tr>
      <w:tr>
        <w:trPr>
          <w:trHeight w:val="193"/>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5445E"/>
              </w:rPr>
              <w:t>Performance</w:t>
            </w:r>
          </w:p>
        </w:tc>
        <w:tc>
          <w:tcPr>
            <w:tcW w:w="1140" w:type="dxa"/>
            <w:vAlign w:val="bottom"/>
          </w:tcPr>
          <w:p>
            <w:pPr>
              <w:ind w:left="300"/>
              <w:spacing w:after="0"/>
              <w:rPr>
                <w:sz w:val="20"/>
                <w:szCs w:val="20"/>
                <w:color w:val="auto"/>
              </w:rPr>
            </w:pPr>
            <w:r>
              <w:rPr>
                <w:rFonts w:ascii="Arial" w:cs="Arial" w:eastAsia="Arial" w:hAnsi="Arial"/>
                <w:sz w:val="14"/>
                <w:szCs w:val="14"/>
                <w:b w:val="1"/>
                <w:bCs w:val="1"/>
                <w:color w:val="05445E"/>
              </w:rPr>
              <w:t>Threshold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05445E"/>
              </w:rPr>
              <w:t>Target</w:t>
            </w: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05445E"/>
              </w:rPr>
              <w:t>Maximum</w:t>
            </w:r>
          </w:p>
        </w:tc>
      </w:tr>
      <w:tr>
        <w:trPr>
          <w:trHeight w:val="205"/>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5445E"/>
              </w:rPr>
              <w:t>Name</w:t>
            </w:r>
          </w:p>
        </w:tc>
        <w:tc>
          <w:tcPr>
            <w:tcW w:w="100" w:type="dxa"/>
            <w:vAlign w:val="bottom"/>
            <w:tcBorders>
              <w:bottom w:val="single" w:sz="8" w:color="D9D9D9"/>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445E"/>
              </w:rPr>
              <w:t>Period</w:t>
            </w:r>
          </w:p>
        </w:tc>
        <w:tc>
          <w:tcPr>
            <w:tcW w:w="80" w:type="dxa"/>
            <w:vAlign w:val="bottom"/>
            <w:tcBorders>
              <w:bottom w:val="single" w:sz="8" w:color="D9D9D9"/>
            </w:tcBorders>
          </w:tcPr>
          <w:p>
            <w:pPr>
              <w:spacing w:after="0"/>
              <w:rPr>
                <w:sz w:val="17"/>
                <w:szCs w:val="17"/>
                <w:color w:val="auto"/>
              </w:rPr>
            </w:pPr>
          </w:p>
        </w:tc>
        <w:tc>
          <w:tcPr>
            <w:tcW w:w="11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05445E"/>
              </w:rPr>
              <w:t>(#)</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D9D9D9"/>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445E"/>
              </w:rPr>
              <w:t>(#)</w:t>
            </w:r>
          </w:p>
        </w:tc>
        <w:tc>
          <w:tcPr>
            <w:tcW w:w="80" w:type="dxa"/>
            <w:vAlign w:val="bottom"/>
            <w:tcBorders>
              <w:bottom w:val="single" w:sz="8" w:color="D9D9D9"/>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05445E"/>
              </w:rPr>
              <w:t>(#)</w:t>
            </w:r>
          </w:p>
        </w:tc>
      </w:tr>
      <w:tr>
        <w:trPr>
          <w:trHeight w:val="209"/>
        </w:trPr>
        <w:tc>
          <w:tcPr>
            <w:tcW w:w="2720" w:type="dxa"/>
            <w:vAlign w:val="bottom"/>
            <w:tcBorders>
              <w:bottom w:val="single" w:sz="8" w:color="D9D9D9"/>
            </w:tcBorders>
            <w:gridSpan w:val="2"/>
            <w:shd w:val="clear" w:color="auto" w:fill="D9D9D9"/>
          </w:tcPr>
          <w:p>
            <w:pPr>
              <w:ind w:left="100"/>
              <w:spacing w:after="0"/>
              <w:rPr>
                <w:sz w:val="20"/>
                <w:szCs w:val="20"/>
                <w:color w:val="auto"/>
              </w:rPr>
            </w:pPr>
            <w:r>
              <w:rPr>
                <w:rFonts w:ascii="Arial" w:cs="Arial" w:eastAsia="Arial" w:hAnsi="Arial"/>
                <w:sz w:val="14"/>
                <w:szCs w:val="14"/>
                <w:color w:val="auto"/>
              </w:rPr>
              <w:t>Ty R. Silberhorn</w:t>
            </w:r>
          </w:p>
        </w:tc>
        <w:tc>
          <w:tcPr>
            <w:tcW w:w="1680" w:type="dxa"/>
            <w:vAlign w:val="bottom"/>
            <w:tcBorders>
              <w:bottom w:val="single" w:sz="8" w:color="D9D9D9"/>
            </w:tcBorders>
            <w:gridSpan w:val="2"/>
            <w:shd w:val="clear" w:color="auto" w:fill="D9D9D9"/>
          </w:tcPr>
          <w:p>
            <w:pPr>
              <w:jc w:val="center"/>
              <w:ind w:right="100"/>
              <w:spacing w:after="0"/>
              <w:rPr>
                <w:sz w:val="20"/>
                <w:szCs w:val="20"/>
                <w:color w:val="auto"/>
              </w:rPr>
            </w:pPr>
            <w:r>
              <w:rPr>
                <w:rFonts w:ascii="Arial" w:cs="Arial" w:eastAsia="Arial" w:hAnsi="Arial"/>
                <w:sz w:val="14"/>
                <w:szCs w:val="14"/>
                <w:color w:val="auto"/>
              </w:rPr>
              <w:t>Fiscal 2023 - 2025</w:t>
            </w:r>
          </w:p>
        </w:tc>
        <w:tc>
          <w:tcPr>
            <w:tcW w:w="1140" w:type="dxa"/>
            <w:vAlign w:val="bottom"/>
            <w:tcBorders>
              <w:bottom w:val="single" w:sz="8" w:color="D9D9D9"/>
            </w:tcBorders>
            <w:shd w:val="clear" w:color="auto" w:fill="D9D9D9"/>
          </w:tcPr>
          <w:p>
            <w:pPr>
              <w:jc w:val="center"/>
              <w:ind w:left="108"/>
              <w:spacing w:after="0"/>
              <w:rPr>
                <w:sz w:val="20"/>
                <w:szCs w:val="20"/>
                <w:color w:val="auto"/>
              </w:rPr>
            </w:pPr>
            <w:r>
              <w:rPr>
                <w:rFonts w:ascii="Arial" w:cs="Arial" w:eastAsia="Arial" w:hAnsi="Arial"/>
                <w:sz w:val="14"/>
                <w:szCs w:val="14"/>
                <w:color w:val="auto"/>
              </w:rPr>
              <w:t>6,578</w:t>
            </w:r>
          </w:p>
        </w:tc>
        <w:tc>
          <w:tcPr>
            <w:tcW w:w="1560" w:type="dxa"/>
            <w:vAlign w:val="bottom"/>
            <w:tcBorders>
              <w:bottom w:val="single" w:sz="8" w:color="D9D9D9"/>
            </w:tcBorders>
            <w:gridSpan w:val="3"/>
            <w:shd w:val="clear" w:color="auto" w:fill="D9D9D9"/>
          </w:tcPr>
          <w:p>
            <w:pPr>
              <w:jc w:val="center"/>
              <w:ind w:left="168"/>
              <w:spacing w:after="0"/>
              <w:rPr>
                <w:sz w:val="20"/>
                <w:szCs w:val="20"/>
                <w:color w:val="auto"/>
              </w:rPr>
            </w:pPr>
            <w:r>
              <w:rPr>
                <w:rFonts w:ascii="Arial" w:cs="Arial" w:eastAsia="Arial" w:hAnsi="Arial"/>
                <w:sz w:val="14"/>
                <w:szCs w:val="14"/>
                <w:color w:val="auto"/>
              </w:rPr>
              <w:t>13,155</w:t>
            </w:r>
          </w:p>
        </w:tc>
        <w:tc>
          <w:tcPr>
            <w:tcW w:w="80" w:type="dxa"/>
            <w:vAlign w:val="bottom"/>
            <w:tcBorders>
              <w:bottom w:val="single" w:sz="8" w:color="D9D9D9"/>
            </w:tcBorders>
            <w:shd w:val="clear" w:color="auto" w:fill="D9D9D9"/>
          </w:tcPr>
          <w:p>
            <w:pPr>
              <w:spacing w:after="0"/>
              <w:rPr>
                <w:sz w:val="18"/>
                <w:szCs w:val="18"/>
                <w:color w:val="auto"/>
              </w:rPr>
            </w:pPr>
          </w:p>
        </w:tc>
        <w:tc>
          <w:tcPr>
            <w:tcW w:w="180" w:type="dxa"/>
            <w:vAlign w:val="bottom"/>
            <w:tcBorders>
              <w:bottom w:val="single" w:sz="8" w:color="D9D9D9"/>
            </w:tcBorders>
            <w:shd w:val="clear" w:color="auto" w:fill="D9D9D9"/>
          </w:tcPr>
          <w:p>
            <w:pPr>
              <w:spacing w:after="0"/>
              <w:rPr>
                <w:sz w:val="18"/>
                <w:szCs w:val="18"/>
                <w:color w:val="auto"/>
              </w:rPr>
            </w:pPr>
          </w:p>
        </w:tc>
        <w:tc>
          <w:tcPr>
            <w:tcW w:w="1120" w:type="dxa"/>
            <w:vAlign w:val="bottom"/>
            <w:tcBorders>
              <w:bottom w:val="single" w:sz="8" w:color="D9D9D9"/>
            </w:tcBorders>
            <w:shd w:val="clear" w:color="auto" w:fill="D9D9D9"/>
          </w:tcPr>
          <w:p>
            <w:pPr>
              <w:jc w:val="center"/>
              <w:ind w:right="88"/>
              <w:spacing w:after="0"/>
              <w:rPr>
                <w:sz w:val="20"/>
                <w:szCs w:val="20"/>
                <w:color w:val="auto"/>
              </w:rPr>
            </w:pPr>
            <w:r>
              <w:rPr>
                <w:rFonts w:ascii="Arial" w:cs="Arial" w:eastAsia="Arial" w:hAnsi="Arial"/>
                <w:sz w:val="14"/>
                <w:szCs w:val="14"/>
                <w:color w:val="auto"/>
              </w:rPr>
              <w:t>26,310</w:t>
            </w:r>
          </w:p>
        </w:tc>
      </w:tr>
      <w:tr>
        <w:trPr>
          <w:trHeight w:val="208"/>
        </w:trPr>
        <w:tc>
          <w:tcPr>
            <w:tcW w:w="2720" w:type="dxa"/>
            <w:vAlign w:val="bottom"/>
            <w:gridSpan w:val="2"/>
          </w:tcPr>
          <w:p>
            <w:pPr>
              <w:ind w:left="100"/>
              <w:spacing w:after="0"/>
              <w:rPr>
                <w:sz w:val="20"/>
                <w:szCs w:val="20"/>
                <w:color w:val="auto"/>
              </w:rPr>
            </w:pPr>
            <w:r>
              <w:rPr>
                <w:rFonts w:ascii="Arial" w:cs="Arial" w:eastAsia="Arial" w:hAnsi="Arial"/>
                <w:sz w:val="14"/>
                <w:szCs w:val="14"/>
                <w:color w:val="auto"/>
              </w:rPr>
              <w:t>Matthew J. Osberg</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rPr>
              <w:t>Fiscal 2023 - 2025</w:t>
            </w:r>
          </w:p>
        </w:tc>
        <w:tc>
          <w:tcPr>
            <w:tcW w:w="1140" w:type="dxa"/>
            <w:vAlign w:val="bottom"/>
          </w:tcPr>
          <w:p>
            <w:pPr>
              <w:jc w:val="center"/>
              <w:ind w:left="8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ind w:right="108"/>
              <w:spacing w:after="0"/>
              <w:rPr>
                <w:sz w:val="20"/>
                <w:szCs w:val="20"/>
                <w:color w:val="auto"/>
              </w:rPr>
            </w:pPr>
            <w:r>
              <w:rPr>
                <w:rFonts w:ascii="Arial" w:cs="Arial" w:eastAsia="Arial" w:hAnsi="Arial"/>
                <w:sz w:val="14"/>
                <w:szCs w:val="14"/>
                <w:color w:val="auto"/>
                <w:w w:val="99"/>
              </w:rPr>
              <w:t>—</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2720" w:type="dxa"/>
            <w:vAlign w:val="bottom"/>
            <w:tcBorders>
              <w:bottom w:val="single" w:sz="8" w:color="D9D9D9"/>
            </w:tcBorders>
            <w:gridSpan w:val="2"/>
            <w:shd w:val="clear" w:color="auto" w:fill="D9D9D9"/>
          </w:tcPr>
          <w:p>
            <w:pPr>
              <w:ind w:left="100"/>
              <w:spacing w:after="0"/>
              <w:rPr>
                <w:sz w:val="20"/>
                <w:szCs w:val="20"/>
                <w:color w:val="auto"/>
              </w:rPr>
            </w:pPr>
            <w:r>
              <w:rPr>
                <w:rFonts w:ascii="Arial" w:cs="Arial" w:eastAsia="Arial" w:hAnsi="Arial"/>
                <w:sz w:val="14"/>
                <w:szCs w:val="14"/>
                <w:color w:val="auto"/>
              </w:rPr>
              <w:t>Brent C. Jewell</w:t>
            </w:r>
          </w:p>
        </w:tc>
        <w:tc>
          <w:tcPr>
            <w:tcW w:w="1680" w:type="dxa"/>
            <w:vAlign w:val="bottom"/>
            <w:tcBorders>
              <w:bottom w:val="single" w:sz="8" w:color="D9D9D9"/>
            </w:tcBorders>
            <w:gridSpan w:val="2"/>
            <w:shd w:val="clear" w:color="auto" w:fill="D9D9D9"/>
          </w:tcPr>
          <w:p>
            <w:pPr>
              <w:jc w:val="center"/>
              <w:ind w:right="100"/>
              <w:spacing w:after="0"/>
              <w:rPr>
                <w:sz w:val="20"/>
                <w:szCs w:val="20"/>
                <w:color w:val="auto"/>
              </w:rPr>
            </w:pPr>
            <w:r>
              <w:rPr>
                <w:rFonts w:ascii="Arial" w:cs="Arial" w:eastAsia="Arial" w:hAnsi="Arial"/>
                <w:sz w:val="14"/>
                <w:szCs w:val="14"/>
                <w:color w:val="auto"/>
              </w:rPr>
              <w:t>Fiscal 2023 - 2025</w:t>
            </w:r>
          </w:p>
        </w:tc>
        <w:tc>
          <w:tcPr>
            <w:tcW w:w="1140" w:type="dxa"/>
            <w:vAlign w:val="bottom"/>
            <w:tcBorders>
              <w:bottom w:val="single" w:sz="8" w:color="D9D9D9"/>
            </w:tcBorders>
            <w:shd w:val="clear" w:color="auto" w:fill="D9D9D9"/>
          </w:tcPr>
          <w:p>
            <w:pPr>
              <w:jc w:val="center"/>
              <w:ind w:left="108"/>
              <w:spacing w:after="0"/>
              <w:rPr>
                <w:sz w:val="20"/>
                <w:szCs w:val="20"/>
                <w:color w:val="auto"/>
              </w:rPr>
            </w:pPr>
            <w:r>
              <w:rPr>
                <w:rFonts w:ascii="Arial" w:cs="Arial" w:eastAsia="Arial" w:hAnsi="Arial"/>
                <w:sz w:val="14"/>
                <w:szCs w:val="14"/>
                <w:color w:val="auto"/>
              </w:rPr>
              <w:t>1,302</w:t>
            </w:r>
          </w:p>
        </w:tc>
        <w:tc>
          <w:tcPr>
            <w:tcW w:w="1560" w:type="dxa"/>
            <w:vAlign w:val="bottom"/>
            <w:tcBorders>
              <w:bottom w:val="single" w:sz="8" w:color="D9D9D9"/>
            </w:tcBorders>
            <w:gridSpan w:val="3"/>
            <w:shd w:val="clear" w:color="auto" w:fill="D9D9D9"/>
          </w:tcPr>
          <w:p>
            <w:pPr>
              <w:jc w:val="right"/>
              <w:ind w:right="288"/>
              <w:spacing w:after="0"/>
              <w:rPr>
                <w:sz w:val="20"/>
                <w:szCs w:val="20"/>
                <w:color w:val="auto"/>
              </w:rPr>
            </w:pPr>
            <w:r>
              <w:rPr>
                <w:rFonts w:ascii="Arial" w:cs="Arial" w:eastAsia="Arial" w:hAnsi="Arial"/>
                <w:sz w:val="14"/>
                <w:szCs w:val="14"/>
                <w:color w:val="auto"/>
              </w:rPr>
              <w:t>2,603</w:t>
            </w:r>
          </w:p>
        </w:tc>
        <w:tc>
          <w:tcPr>
            <w:tcW w:w="80" w:type="dxa"/>
            <w:vAlign w:val="bottom"/>
            <w:tcBorders>
              <w:bottom w:val="single" w:sz="8" w:color="D9D9D9"/>
            </w:tcBorders>
            <w:shd w:val="clear" w:color="auto" w:fill="D9D9D9"/>
          </w:tcPr>
          <w:p>
            <w:pPr>
              <w:spacing w:after="0"/>
              <w:rPr>
                <w:sz w:val="18"/>
                <w:szCs w:val="18"/>
                <w:color w:val="auto"/>
              </w:rPr>
            </w:pPr>
          </w:p>
        </w:tc>
        <w:tc>
          <w:tcPr>
            <w:tcW w:w="180" w:type="dxa"/>
            <w:vAlign w:val="bottom"/>
            <w:tcBorders>
              <w:bottom w:val="single" w:sz="8" w:color="D9D9D9"/>
            </w:tcBorders>
            <w:shd w:val="clear" w:color="auto" w:fill="D9D9D9"/>
          </w:tcPr>
          <w:p>
            <w:pPr>
              <w:spacing w:after="0"/>
              <w:rPr>
                <w:sz w:val="18"/>
                <w:szCs w:val="18"/>
                <w:color w:val="auto"/>
              </w:rPr>
            </w:pPr>
          </w:p>
        </w:tc>
        <w:tc>
          <w:tcPr>
            <w:tcW w:w="1120" w:type="dxa"/>
            <w:vAlign w:val="bottom"/>
            <w:tcBorders>
              <w:bottom w:val="single" w:sz="8" w:color="D9D9D9"/>
            </w:tcBorders>
            <w:shd w:val="clear" w:color="auto" w:fill="D9D9D9"/>
          </w:tcPr>
          <w:p>
            <w:pPr>
              <w:jc w:val="right"/>
              <w:ind w:right="268"/>
              <w:spacing w:after="0"/>
              <w:rPr>
                <w:sz w:val="20"/>
                <w:szCs w:val="20"/>
                <w:color w:val="auto"/>
              </w:rPr>
            </w:pPr>
            <w:r>
              <w:rPr>
                <w:rFonts w:ascii="Arial" w:cs="Arial" w:eastAsia="Arial" w:hAnsi="Arial"/>
                <w:sz w:val="14"/>
                <w:szCs w:val="14"/>
                <w:color w:val="auto"/>
              </w:rPr>
              <w:t>5,206</w:t>
            </w:r>
          </w:p>
        </w:tc>
      </w:tr>
      <w:tr>
        <w:trPr>
          <w:trHeight w:val="208"/>
        </w:trPr>
        <w:tc>
          <w:tcPr>
            <w:tcW w:w="2720" w:type="dxa"/>
            <w:vAlign w:val="bottom"/>
            <w:gridSpan w:val="2"/>
          </w:tcPr>
          <w:p>
            <w:pPr>
              <w:ind w:left="100"/>
              <w:spacing w:after="0"/>
              <w:rPr>
                <w:sz w:val="20"/>
                <w:szCs w:val="20"/>
                <w:color w:val="auto"/>
              </w:rPr>
            </w:pPr>
            <w:r>
              <w:rPr>
                <w:rFonts w:ascii="Arial" w:cs="Arial" w:eastAsia="Arial" w:hAnsi="Arial"/>
                <w:sz w:val="14"/>
                <w:szCs w:val="14"/>
                <w:color w:val="auto"/>
              </w:rPr>
              <w:t>Troy R. Johnson</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rPr>
              <w:t>Fiscal 2023 - 2025</w:t>
            </w:r>
          </w:p>
        </w:tc>
        <w:tc>
          <w:tcPr>
            <w:tcW w:w="1140" w:type="dxa"/>
            <w:vAlign w:val="bottom"/>
          </w:tcPr>
          <w:p>
            <w:pPr>
              <w:jc w:val="center"/>
              <w:ind w:left="108"/>
              <w:spacing w:after="0"/>
              <w:rPr>
                <w:sz w:val="20"/>
                <w:szCs w:val="20"/>
                <w:color w:val="auto"/>
              </w:rPr>
            </w:pPr>
            <w:r>
              <w:rPr>
                <w:rFonts w:ascii="Arial" w:cs="Arial" w:eastAsia="Arial" w:hAnsi="Arial"/>
                <w:sz w:val="14"/>
                <w:szCs w:val="14"/>
                <w:color w:val="auto"/>
              </w:rPr>
              <w:t>1,238</w:t>
            </w:r>
          </w:p>
        </w:tc>
        <w:tc>
          <w:tcPr>
            <w:tcW w:w="1560" w:type="dxa"/>
            <w:vAlign w:val="bottom"/>
            <w:gridSpan w:val="3"/>
          </w:tcPr>
          <w:p>
            <w:pPr>
              <w:jc w:val="right"/>
              <w:ind w:right="288"/>
              <w:spacing w:after="0"/>
              <w:rPr>
                <w:sz w:val="20"/>
                <w:szCs w:val="20"/>
                <w:color w:val="auto"/>
              </w:rPr>
            </w:pPr>
            <w:r>
              <w:rPr>
                <w:rFonts w:ascii="Arial" w:cs="Arial" w:eastAsia="Arial" w:hAnsi="Arial"/>
                <w:sz w:val="14"/>
                <w:szCs w:val="14"/>
                <w:color w:val="auto"/>
              </w:rPr>
              <w:t>2,475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4,950</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720" w:type="dxa"/>
            <w:vAlign w:val="bottom"/>
            <w:gridSpan w:val="2"/>
            <w:shd w:val="clear" w:color="auto" w:fill="D9D9D9"/>
          </w:tcPr>
          <w:p>
            <w:pPr>
              <w:ind w:left="100"/>
              <w:spacing w:after="0"/>
              <w:rPr>
                <w:sz w:val="20"/>
                <w:szCs w:val="20"/>
                <w:color w:val="auto"/>
              </w:rPr>
            </w:pPr>
            <w:r>
              <w:rPr>
                <w:rFonts w:ascii="Arial" w:cs="Arial" w:eastAsia="Arial" w:hAnsi="Arial"/>
                <w:sz w:val="14"/>
                <w:szCs w:val="14"/>
                <w:color w:val="auto"/>
              </w:rPr>
              <w:t>Raelyn A. Trende</w:t>
            </w:r>
          </w:p>
        </w:tc>
        <w:tc>
          <w:tcPr>
            <w:tcW w:w="1680" w:type="dxa"/>
            <w:vAlign w:val="bottom"/>
            <w:gridSpan w:val="2"/>
            <w:shd w:val="clear" w:color="auto" w:fill="D9D9D9"/>
          </w:tcPr>
          <w:p>
            <w:pPr>
              <w:jc w:val="center"/>
              <w:ind w:right="100"/>
              <w:spacing w:after="0"/>
              <w:rPr>
                <w:sz w:val="20"/>
                <w:szCs w:val="20"/>
                <w:color w:val="auto"/>
              </w:rPr>
            </w:pPr>
            <w:r>
              <w:rPr>
                <w:rFonts w:ascii="Arial" w:cs="Arial" w:eastAsia="Arial" w:hAnsi="Arial"/>
                <w:sz w:val="14"/>
                <w:szCs w:val="14"/>
                <w:color w:val="auto"/>
              </w:rPr>
              <w:t>Fiscal 2023 - 2025</w:t>
            </w:r>
          </w:p>
        </w:tc>
        <w:tc>
          <w:tcPr>
            <w:tcW w:w="114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560" w:type="dxa"/>
            <w:vAlign w:val="bottom"/>
            <w:gridSpan w:val="3"/>
            <w:shd w:val="clear" w:color="auto" w:fill="D9D9D9"/>
          </w:tcPr>
          <w:p>
            <w:pPr>
              <w:jc w:val="center"/>
              <w:ind w:right="26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D9D9D9"/>
          </w:tcPr>
          <w:p>
            <w:pPr>
              <w:jc w:val="center"/>
              <w:ind w:right="108"/>
              <w:spacing w:after="0"/>
              <w:rPr>
                <w:sz w:val="20"/>
                <w:szCs w:val="20"/>
                <w:color w:val="auto"/>
              </w:rPr>
            </w:pPr>
            <w:r>
              <w:rPr>
                <w:rFonts w:ascii="Arial" w:cs="Arial" w:eastAsia="Arial" w:hAnsi="Arial"/>
                <w:sz w:val="14"/>
                <w:szCs w:val="14"/>
                <w:color w:val="auto"/>
                <w:w w:val="99"/>
              </w:rPr>
              <w:t>—</w:t>
            </w:r>
          </w:p>
        </w:tc>
      </w:tr>
      <w:tr>
        <w:trPr>
          <w:trHeight w:val="21"/>
        </w:trPr>
        <w:tc>
          <w:tcPr>
            <w:tcW w:w="262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60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140" w:type="dxa"/>
            <w:vAlign w:val="bottom"/>
            <w:shd w:val="clear" w:color="auto" w:fill="D9D9D9"/>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30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1120" w:type="dxa"/>
            <w:vAlign w:val="bottom"/>
            <w:shd w:val="clear" w:color="auto" w:fill="D9D9D9"/>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61" w:name="page62"/>
    <w:bookmarkEnd w:id="61"/>
    <w:p>
      <w:pPr>
        <w:jc w:val="both"/>
        <w:ind w:left="492" w:hanging="492"/>
        <w:spacing w:after="0" w:line="262" w:lineRule="auto"/>
        <w:tabs>
          <w:tab w:leader="none" w:pos="482"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performance share unit portion of performance awards made on April 19, 2023 for Messrs. Silberhorn, Jewell, and T. Johnson; and April 28, 2023 for Mr. Osberg, for the three-year performance period beginning on the first day of fiscal 2024 and ending on the last day of fiscal 2026, which will only be earned if the predetermined goal for the performance period is met. The number of shares is equal to the maximum number of performance share units.</w:t>
      </w:r>
    </w:p>
    <w:p>
      <w:pPr>
        <w:spacing w:after="0" w:line="68" w:lineRule="exact"/>
        <w:rPr>
          <w:rFonts w:ascii="Arial" w:cs="Arial" w:eastAsia="Arial" w:hAnsi="Arial"/>
          <w:sz w:val="18"/>
          <w:szCs w:val="18"/>
          <w:color w:val="auto"/>
        </w:rPr>
      </w:pPr>
    </w:p>
    <w:p>
      <w:pPr>
        <w:ind w:left="492"/>
        <w:spacing w:after="0" w:line="287" w:lineRule="auto"/>
        <w:rPr>
          <w:rFonts w:ascii="Arial" w:cs="Arial" w:eastAsia="Arial" w:hAnsi="Arial"/>
          <w:sz w:val="18"/>
          <w:szCs w:val="18"/>
          <w:color w:val="auto"/>
        </w:rPr>
      </w:pPr>
      <w:r>
        <w:rPr>
          <w:rFonts w:ascii="Arial" w:cs="Arial" w:eastAsia="Arial" w:hAnsi="Arial"/>
          <w:sz w:val="18"/>
          <w:szCs w:val="18"/>
          <w:color w:val="auto"/>
        </w:rPr>
        <w:t>For each of our Named Executive Officers, the number of shares of our common stock that may be earned as a payout based on threshold, target and maximum of performance levels during the three-year performance period is set forth below.</w:t>
      </w:r>
    </w:p>
    <w:p>
      <w:pPr>
        <w:spacing w:after="0" w:line="217" w:lineRule="exact"/>
        <w:rPr>
          <w:sz w:val="20"/>
          <w:szCs w:val="20"/>
          <w:color w:val="auto"/>
        </w:rPr>
      </w:pPr>
    </w:p>
    <w:tbl>
      <w:tblPr>
        <w:tblLayout w:type="fixed"/>
        <w:tblInd w:w="1292" w:type="dxa"/>
        <w:tblCellMar>
          <w:top w:w="0" w:type="dxa"/>
          <w:left w:w="0" w:type="dxa"/>
          <w:bottom w:w="0" w:type="dxa"/>
          <w:right w:w="0" w:type="dxa"/>
        </w:tblCellMar>
      </w:tblPr>
      <w:tr>
        <w:trPr>
          <w:trHeight w:val="175"/>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gridSpan w:val="7"/>
          </w:tcPr>
          <w:p>
            <w:pPr>
              <w:jc w:val="center"/>
              <w:spacing w:after="0"/>
              <w:rPr>
                <w:sz w:val="20"/>
                <w:szCs w:val="20"/>
                <w:color w:val="auto"/>
              </w:rPr>
            </w:pPr>
            <w:r>
              <w:rPr>
                <w:rFonts w:ascii="Arial" w:cs="Arial" w:eastAsia="Arial" w:hAnsi="Arial"/>
                <w:sz w:val="14"/>
                <w:szCs w:val="14"/>
                <w:b w:val="1"/>
                <w:bCs w:val="1"/>
                <w:color w:val="05445E"/>
              </w:rPr>
              <w:t>Estimated Future Payouts Based</w:t>
            </w:r>
          </w:p>
        </w:tc>
      </w:tr>
      <w:tr>
        <w:trPr>
          <w:trHeight w:val="205"/>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05445E"/>
              </w:rPr>
              <w:t>On Performance Level</w:t>
            </w:r>
          </w:p>
        </w:tc>
        <w:tc>
          <w:tcPr>
            <w:tcW w:w="1120" w:type="dxa"/>
            <w:vAlign w:val="bottom"/>
            <w:tcBorders>
              <w:bottom w:val="single" w:sz="8" w:color="auto"/>
            </w:tcBorders>
          </w:tcPr>
          <w:p>
            <w:pPr>
              <w:spacing w:after="0"/>
              <w:rPr>
                <w:sz w:val="17"/>
                <w:szCs w:val="17"/>
                <w:color w:val="auto"/>
              </w:rPr>
            </w:pPr>
          </w:p>
        </w:tc>
      </w:tr>
      <w:tr>
        <w:trPr>
          <w:trHeight w:val="193"/>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5445E"/>
              </w:rPr>
              <w:t>Performance</w:t>
            </w:r>
          </w:p>
        </w:tc>
        <w:tc>
          <w:tcPr>
            <w:tcW w:w="1140" w:type="dxa"/>
            <w:vAlign w:val="bottom"/>
          </w:tcPr>
          <w:p>
            <w:pPr>
              <w:ind w:left="300"/>
              <w:spacing w:after="0"/>
              <w:rPr>
                <w:sz w:val="20"/>
                <w:szCs w:val="20"/>
                <w:color w:val="auto"/>
              </w:rPr>
            </w:pPr>
            <w:r>
              <w:rPr>
                <w:rFonts w:ascii="Arial" w:cs="Arial" w:eastAsia="Arial" w:hAnsi="Arial"/>
                <w:sz w:val="14"/>
                <w:szCs w:val="14"/>
                <w:b w:val="1"/>
                <w:bCs w:val="1"/>
                <w:color w:val="05445E"/>
              </w:rPr>
              <w:t>Threshold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05445E"/>
                <w:w w:val="98"/>
              </w:rPr>
              <w:t>Target</w:t>
            </w:r>
          </w:p>
        </w:tc>
        <w:tc>
          <w:tcPr>
            <w:tcW w:w="1120" w:type="dxa"/>
            <w:vAlign w:val="bottom"/>
          </w:tcPr>
          <w:p>
            <w:pPr>
              <w:ind w:left="140"/>
              <w:spacing w:after="0"/>
              <w:rPr>
                <w:sz w:val="20"/>
                <w:szCs w:val="20"/>
                <w:color w:val="auto"/>
              </w:rPr>
            </w:pPr>
            <w:r>
              <w:rPr>
                <w:rFonts w:ascii="Arial" w:cs="Arial" w:eastAsia="Arial" w:hAnsi="Arial"/>
                <w:sz w:val="14"/>
                <w:szCs w:val="14"/>
                <w:b w:val="1"/>
                <w:bCs w:val="1"/>
                <w:color w:val="05445E"/>
              </w:rPr>
              <w:t>Maximum</w:t>
            </w:r>
          </w:p>
        </w:tc>
      </w:tr>
      <w:tr>
        <w:trPr>
          <w:trHeight w:val="205"/>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5445E"/>
              </w:rPr>
              <w:t>Name</w:t>
            </w:r>
          </w:p>
        </w:tc>
        <w:tc>
          <w:tcPr>
            <w:tcW w:w="100" w:type="dxa"/>
            <w:vAlign w:val="bottom"/>
            <w:tcBorders>
              <w:bottom w:val="single" w:sz="8" w:color="D9D9D9"/>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445E"/>
              </w:rPr>
              <w:t>Period</w:t>
            </w:r>
          </w:p>
        </w:tc>
        <w:tc>
          <w:tcPr>
            <w:tcW w:w="100" w:type="dxa"/>
            <w:vAlign w:val="bottom"/>
            <w:tcBorders>
              <w:bottom w:val="single" w:sz="8" w:color="D9D9D9"/>
            </w:tcBorders>
          </w:tcPr>
          <w:p>
            <w:pPr>
              <w:spacing w:after="0"/>
              <w:rPr>
                <w:sz w:val="17"/>
                <w:szCs w:val="17"/>
                <w:color w:val="auto"/>
              </w:rPr>
            </w:pPr>
          </w:p>
        </w:tc>
        <w:tc>
          <w:tcPr>
            <w:tcW w:w="11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05445E"/>
              </w:rPr>
              <w:t>(#)</w:t>
            </w: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D9D9D9"/>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445E"/>
              </w:rPr>
              <w:t>(#)</w:t>
            </w:r>
          </w:p>
        </w:tc>
        <w:tc>
          <w:tcPr>
            <w:tcW w:w="80" w:type="dxa"/>
            <w:vAlign w:val="bottom"/>
            <w:tcBorders>
              <w:bottom w:val="single" w:sz="8" w:color="D9D9D9"/>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05445E"/>
              </w:rPr>
              <w:t>(#)</w:t>
            </w:r>
          </w:p>
        </w:tc>
      </w:tr>
      <w:tr>
        <w:trPr>
          <w:trHeight w:val="209"/>
        </w:trPr>
        <w:tc>
          <w:tcPr>
            <w:tcW w:w="2720" w:type="dxa"/>
            <w:vAlign w:val="bottom"/>
            <w:tcBorders>
              <w:bottom w:val="single" w:sz="8" w:color="D9D9D9"/>
            </w:tcBorders>
            <w:gridSpan w:val="2"/>
            <w:shd w:val="clear" w:color="auto" w:fill="D9D9D9"/>
          </w:tcPr>
          <w:p>
            <w:pPr>
              <w:ind w:left="100"/>
              <w:spacing w:after="0"/>
              <w:rPr>
                <w:sz w:val="20"/>
                <w:szCs w:val="20"/>
                <w:color w:val="auto"/>
              </w:rPr>
            </w:pPr>
            <w:r>
              <w:rPr>
                <w:rFonts w:ascii="Arial" w:cs="Arial" w:eastAsia="Arial" w:hAnsi="Arial"/>
                <w:sz w:val="14"/>
                <w:szCs w:val="14"/>
                <w:color w:val="auto"/>
              </w:rPr>
              <w:t>Ty R. Silberhorn</w:t>
            </w:r>
          </w:p>
        </w:tc>
        <w:tc>
          <w:tcPr>
            <w:tcW w:w="1700" w:type="dxa"/>
            <w:vAlign w:val="bottom"/>
            <w:tcBorders>
              <w:bottom w:val="single" w:sz="8" w:color="D9D9D9"/>
            </w:tcBorders>
            <w:gridSpan w:val="2"/>
            <w:shd w:val="clear" w:color="auto" w:fill="D9D9D9"/>
          </w:tcPr>
          <w:p>
            <w:pPr>
              <w:jc w:val="center"/>
              <w:ind w:right="100"/>
              <w:spacing w:after="0"/>
              <w:rPr>
                <w:sz w:val="20"/>
                <w:szCs w:val="20"/>
                <w:color w:val="auto"/>
              </w:rPr>
            </w:pPr>
            <w:r>
              <w:rPr>
                <w:rFonts w:ascii="Arial" w:cs="Arial" w:eastAsia="Arial" w:hAnsi="Arial"/>
                <w:sz w:val="14"/>
                <w:szCs w:val="14"/>
                <w:color w:val="auto"/>
              </w:rPr>
              <w:t>Fiscal 2024 - 2026</w:t>
            </w:r>
          </w:p>
        </w:tc>
        <w:tc>
          <w:tcPr>
            <w:tcW w:w="1140" w:type="dxa"/>
            <w:vAlign w:val="bottom"/>
            <w:tcBorders>
              <w:bottom w:val="single" w:sz="8" w:color="D9D9D9"/>
            </w:tcBorders>
            <w:shd w:val="clear" w:color="auto" w:fill="D9D9D9"/>
          </w:tcPr>
          <w:p>
            <w:pPr>
              <w:jc w:val="center"/>
              <w:ind w:left="68"/>
              <w:spacing w:after="0"/>
              <w:rPr>
                <w:sz w:val="20"/>
                <w:szCs w:val="20"/>
                <w:color w:val="auto"/>
              </w:rPr>
            </w:pPr>
            <w:r>
              <w:rPr>
                <w:rFonts w:ascii="Arial" w:cs="Arial" w:eastAsia="Arial" w:hAnsi="Arial"/>
                <w:sz w:val="14"/>
                <w:szCs w:val="14"/>
                <w:color w:val="auto"/>
              </w:rPr>
              <w:t>8,434</w:t>
            </w:r>
          </w:p>
        </w:tc>
        <w:tc>
          <w:tcPr>
            <w:tcW w:w="1540" w:type="dxa"/>
            <w:vAlign w:val="bottom"/>
            <w:tcBorders>
              <w:bottom w:val="single" w:sz="8" w:color="D9D9D9"/>
            </w:tcBorders>
            <w:gridSpan w:val="3"/>
            <w:shd w:val="clear" w:color="auto" w:fill="D9D9D9"/>
          </w:tcPr>
          <w:p>
            <w:pPr>
              <w:jc w:val="center"/>
              <w:ind w:left="188"/>
              <w:spacing w:after="0"/>
              <w:rPr>
                <w:sz w:val="20"/>
                <w:szCs w:val="20"/>
                <w:color w:val="auto"/>
              </w:rPr>
            </w:pPr>
            <w:r>
              <w:rPr>
                <w:rFonts w:ascii="Arial" w:cs="Arial" w:eastAsia="Arial" w:hAnsi="Arial"/>
                <w:sz w:val="14"/>
                <w:szCs w:val="14"/>
                <w:color w:val="auto"/>
              </w:rPr>
              <w:t>16,867</w:t>
            </w:r>
          </w:p>
        </w:tc>
        <w:tc>
          <w:tcPr>
            <w:tcW w:w="80" w:type="dxa"/>
            <w:vAlign w:val="bottom"/>
            <w:tcBorders>
              <w:bottom w:val="single" w:sz="8" w:color="D9D9D9"/>
            </w:tcBorders>
            <w:shd w:val="clear" w:color="auto" w:fill="D9D9D9"/>
          </w:tcPr>
          <w:p>
            <w:pPr>
              <w:spacing w:after="0"/>
              <w:rPr>
                <w:sz w:val="18"/>
                <w:szCs w:val="18"/>
                <w:color w:val="auto"/>
              </w:rPr>
            </w:pPr>
          </w:p>
        </w:tc>
        <w:tc>
          <w:tcPr>
            <w:tcW w:w="180" w:type="dxa"/>
            <w:vAlign w:val="bottom"/>
            <w:tcBorders>
              <w:bottom w:val="single" w:sz="8" w:color="D9D9D9"/>
            </w:tcBorders>
            <w:shd w:val="clear" w:color="auto" w:fill="D9D9D9"/>
          </w:tcPr>
          <w:p>
            <w:pPr>
              <w:spacing w:after="0"/>
              <w:rPr>
                <w:sz w:val="18"/>
                <w:szCs w:val="18"/>
                <w:color w:val="auto"/>
              </w:rPr>
            </w:pPr>
          </w:p>
        </w:tc>
        <w:tc>
          <w:tcPr>
            <w:tcW w:w="1120" w:type="dxa"/>
            <w:vAlign w:val="bottom"/>
            <w:tcBorders>
              <w:bottom w:val="single" w:sz="8" w:color="D9D9D9"/>
            </w:tcBorders>
            <w:shd w:val="clear" w:color="auto" w:fill="D9D9D9"/>
          </w:tcPr>
          <w:p>
            <w:pPr>
              <w:jc w:val="center"/>
              <w:ind w:right="88"/>
              <w:spacing w:after="0"/>
              <w:rPr>
                <w:sz w:val="20"/>
                <w:szCs w:val="20"/>
                <w:color w:val="auto"/>
              </w:rPr>
            </w:pPr>
            <w:r>
              <w:rPr>
                <w:rFonts w:ascii="Arial" w:cs="Arial" w:eastAsia="Arial" w:hAnsi="Arial"/>
                <w:sz w:val="14"/>
                <w:szCs w:val="14"/>
                <w:color w:val="auto"/>
              </w:rPr>
              <w:t>33,734</w:t>
            </w:r>
          </w:p>
        </w:tc>
      </w:tr>
      <w:tr>
        <w:trPr>
          <w:trHeight w:val="208"/>
        </w:trPr>
        <w:tc>
          <w:tcPr>
            <w:tcW w:w="2720" w:type="dxa"/>
            <w:vAlign w:val="bottom"/>
            <w:gridSpan w:val="2"/>
          </w:tcPr>
          <w:p>
            <w:pPr>
              <w:ind w:left="100"/>
              <w:spacing w:after="0"/>
              <w:rPr>
                <w:sz w:val="20"/>
                <w:szCs w:val="20"/>
                <w:color w:val="auto"/>
              </w:rPr>
            </w:pPr>
            <w:r>
              <w:rPr>
                <w:rFonts w:ascii="Arial" w:cs="Arial" w:eastAsia="Arial" w:hAnsi="Arial"/>
                <w:sz w:val="14"/>
                <w:szCs w:val="14"/>
                <w:color w:val="auto"/>
              </w:rPr>
              <w:t>Matthew J. Osberg</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rPr>
              <w:t>Fiscal 2024 - 2026</w:t>
            </w:r>
          </w:p>
        </w:tc>
        <w:tc>
          <w:tcPr>
            <w:tcW w:w="1140" w:type="dxa"/>
            <w:vAlign w:val="bottom"/>
          </w:tcPr>
          <w:p>
            <w:pPr>
              <w:jc w:val="center"/>
              <w:ind w:left="68"/>
              <w:spacing w:after="0"/>
              <w:rPr>
                <w:sz w:val="20"/>
                <w:szCs w:val="20"/>
                <w:color w:val="auto"/>
              </w:rPr>
            </w:pPr>
            <w:r>
              <w:rPr>
                <w:rFonts w:ascii="Arial" w:cs="Arial" w:eastAsia="Arial" w:hAnsi="Arial"/>
                <w:sz w:val="14"/>
                <w:szCs w:val="14"/>
                <w:color w:val="auto"/>
              </w:rPr>
              <w:t>2,776</w:t>
            </w:r>
          </w:p>
        </w:tc>
        <w:tc>
          <w:tcPr>
            <w:tcW w:w="1540" w:type="dxa"/>
            <w:vAlign w:val="bottom"/>
            <w:gridSpan w:val="3"/>
          </w:tcPr>
          <w:p>
            <w:pPr>
              <w:jc w:val="center"/>
              <w:ind w:left="188"/>
              <w:spacing w:after="0"/>
              <w:rPr>
                <w:sz w:val="20"/>
                <w:szCs w:val="20"/>
                <w:color w:val="auto"/>
              </w:rPr>
            </w:pPr>
            <w:r>
              <w:rPr>
                <w:rFonts w:ascii="Arial" w:cs="Arial" w:eastAsia="Arial" w:hAnsi="Arial"/>
                <w:sz w:val="14"/>
                <w:szCs w:val="14"/>
                <w:color w:val="auto"/>
              </w:rPr>
              <w:t>5,551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08"/>
              <w:spacing w:after="0"/>
              <w:rPr>
                <w:sz w:val="20"/>
                <w:szCs w:val="20"/>
                <w:color w:val="auto"/>
              </w:rPr>
            </w:pPr>
            <w:r>
              <w:rPr>
                <w:rFonts w:ascii="Arial" w:cs="Arial" w:eastAsia="Arial" w:hAnsi="Arial"/>
                <w:sz w:val="14"/>
                <w:szCs w:val="14"/>
                <w:color w:val="auto"/>
                <w:w w:val="97"/>
              </w:rPr>
              <w:t>11,102</w:t>
            </w:r>
          </w:p>
        </w:tc>
      </w:tr>
      <w:tr>
        <w:trPr>
          <w:trHeight w:val="22"/>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2720" w:type="dxa"/>
            <w:vAlign w:val="bottom"/>
            <w:tcBorders>
              <w:bottom w:val="single" w:sz="8" w:color="D9D9D9"/>
            </w:tcBorders>
            <w:gridSpan w:val="2"/>
            <w:shd w:val="clear" w:color="auto" w:fill="D9D9D9"/>
          </w:tcPr>
          <w:p>
            <w:pPr>
              <w:ind w:left="100"/>
              <w:spacing w:after="0"/>
              <w:rPr>
                <w:sz w:val="20"/>
                <w:szCs w:val="20"/>
                <w:color w:val="auto"/>
              </w:rPr>
            </w:pPr>
            <w:r>
              <w:rPr>
                <w:rFonts w:ascii="Arial" w:cs="Arial" w:eastAsia="Arial" w:hAnsi="Arial"/>
                <w:sz w:val="14"/>
                <w:szCs w:val="14"/>
                <w:color w:val="auto"/>
              </w:rPr>
              <w:t>Brent C. Jewell</w:t>
            </w:r>
          </w:p>
        </w:tc>
        <w:tc>
          <w:tcPr>
            <w:tcW w:w="1700" w:type="dxa"/>
            <w:vAlign w:val="bottom"/>
            <w:tcBorders>
              <w:bottom w:val="single" w:sz="8" w:color="D9D9D9"/>
            </w:tcBorders>
            <w:gridSpan w:val="2"/>
            <w:shd w:val="clear" w:color="auto" w:fill="D9D9D9"/>
          </w:tcPr>
          <w:p>
            <w:pPr>
              <w:jc w:val="center"/>
              <w:ind w:right="100"/>
              <w:spacing w:after="0"/>
              <w:rPr>
                <w:sz w:val="20"/>
                <w:szCs w:val="20"/>
                <w:color w:val="auto"/>
              </w:rPr>
            </w:pPr>
            <w:r>
              <w:rPr>
                <w:rFonts w:ascii="Arial" w:cs="Arial" w:eastAsia="Arial" w:hAnsi="Arial"/>
                <w:sz w:val="14"/>
                <w:szCs w:val="14"/>
                <w:color w:val="auto"/>
              </w:rPr>
              <w:t>Fiscal 2024 - 2026</w:t>
            </w:r>
          </w:p>
        </w:tc>
        <w:tc>
          <w:tcPr>
            <w:tcW w:w="1140" w:type="dxa"/>
            <w:vAlign w:val="bottom"/>
            <w:tcBorders>
              <w:bottom w:val="single" w:sz="8" w:color="D9D9D9"/>
            </w:tcBorders>
            <w:shd w:val="clear" w:color="auto" w:fill="D9D9D9"/>
          </w:tcPr>
          <w:p>
            <w:pPr>
              <w:jc w:val="center"/>
              <w:ind w:left="68"/>
              <w:spacing w:after="0"/>
              <w:rPr>
                <w:sz w:val="20"/>
                <w:szCs w:val="20"/>
                <w:color w:val="auto"/>
              </w:rPr>
            </w:pPr>
            <w:r>
              <w:rPr>
                <w:rFonts w:ascii="Arial" w:cs="Arial" w:eastAsia="Arial" w:hAnsi="Arial"/>
                <w:sz w:val="14"/>
                <w:szCs w:val="14"/>
                <w:color w:val="auto"/>
              </w:rPr>
              <w:t>1,510</w:t>
            </w:r>
          </w:p>
        </w:tc>
        <w:tc>
          <w:tcPr>
            <w:tcW w:w="1540" w:type="dxa"/>
            <w:vAlign w:val="bottom"/>
            <w:tcBorders>
              <w:bottom w:val="single" w:sz="8" w:color="D9D9D9"/>
            </w:tcBorders>
            <w:gridSpan w:val="3"/>
            <w:shd w:val="clear" w:color="auto" w:fill="D9D9D9"/>
          </w:tcPr>
          <w:p>
            <w:pPr>
              <w:jc w:val="center"/>
              <w:ind w:left="188"/>
              <w:spacing w:after="0"/>
              <w:rPr>
                <w:sz w:val="20"/>
                <w:szCs w:val="20"/>
                <w:color w:val="auto"/>
              </w:rPr>
            </w:pPr>
            <w:r>
              <w:rPr>
                <w:rFonts w:ascii="Arial" w:cs="Arial" w:eastAsia="Arial" w:hAnsi="Arial"/>
                <w:sz w:val="14"/>
                <w:szCs w:val="14"/>
                <w:color w:val="auto"/>
              </w:rPr>
              <w:t>3,019</w:t>
            </w:r>
          </w:p>
        </w:tc>
        <w:tc>
          <w:tcPr>
            <w:tcW w:w="80" w:type="dxa"/>
            <w:vAlign w:val="bottom"/>
            <w:tcBorders>
              <w:bottom w:val="single" w:sz="8" w:color="D9D9D9"/>
            </w:tcBorders>
            <w:shd w:val="clear" w:color="auto" w:fill="D9D9D9"/>
          </w:tcPr>
          <w:p>
            <w:pPr>
              <w:spacing w:after="0"/>
              <w:rPr>
                <w:sz w:val="18"/>
                <w:szCs w:val="18"/>
                <w:color w:val="auto"/>
              </w:rPr>
            </w:pPr>
          </w:p>
        </w:tc>
        <w:tc>
          <w:tcPr>
            <w:tcW w:w="180" w:type="dxa"/>
            <w:vAlign w:val="bottom"/>
            <w:tcBorders>
              <w:bottom w:val="single" w:sz="8" w:color="D9D9D9"/>
            </w:tcBorders>
            <w:shd w:val="clear" w:color="auto" w:fill="D9D9D9"/>
          </w:tcPr>
          <w:p>
            <w:pPr>
              <w:spacing w:after="0"/>
              <w:rPr>
                <w:sz w:val="18"/>
                <w:szCs w:val="18"/>
                <w:color w:val="auto"/>
              </w:rPr>
            </w:pPr>
          </w:p>
        </w:tc>
        <w:tc>
          <w:tcPr>
            <w:tcW w:w="1120" w:type="dxa"/>
            <w:vAlign w:val="bottom"/>
            <w:tcBorders>
              <w:bottom w:val="single" w:sz="8" w:color="D9D9D9"/>
            </w:tcBorders>
            <w:shd w:val="clear" w:color="auto" w:fill="D9D9D9"/>
          </w:tcPr>
          <w:p>
            <w:pPr>
              <w:jc w:val="center"/>
              <w:ind w:right="88"/>
              <w:spacing w:after="0"/>
              <w:rPr>
                <w:sz w:val="20"/>
                <w:szCs w:val="20"/>
                <w:color w:val="auto"/>
              </w:rPr>
            </w:pPr>
            <w:r>
              <w:rPr>
                <w:rFonts w:ascii="Arial" w:cs="Arial" w:eastAsia="Arial" w:hAnsi="Arial"/>
                <w:sz w:val="14"/>
                <w:szCs w:val="14"/>
                <w:color w:val="auto"/>
              </w:rPr>
              <w:t>6,038</w:t>
            </w:r>
          </w:p>
        </w:tc>
      </w:tr>
      <w:tr>
        <w:trPr>
          <w:trHeight w:val="208"/>
        </w:trPr>
        <w:tc>
          <w:tcPr>
            <w:tcW w:w="2720" w:type="dxa"/>
            <w:vAlign w:val="bottom"/>
            <w:gridSpan w:val="2"/>
          </w:tcPr>
          <w:p>
            <w:pPr>
              <w:ind w:left="100"/>
              <w:spacing w:after="0"/>
              <w:rPr>
                <w:sz w:val="20"/>
                <w:szCs w:val="20"/>
                <w:color w:val="auto"/>
              </w:rPr>
            </w:pPr>
            <w:r>
              <w:rPr>
                <w:rFonts w:ascii="Arial" w:cs="Arial" w:eastAsia="Arial" w:hAnsi="Arial"/>
                <w:sz w:val="14"/>
                <w:szCs w:val="14"/>
                <w:color w:val="auto"/>
              </w:rPr>
              <w:t>Troy R. Johnson</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rPr>
              <w:t>Fiscal 2024 - 2026</w:t>
            </w:r>
          </w:p>
        </w:tc>
        <w:tc>
          <w:tcPr>
            <w:tcW w:w="1140" w:type="dxa"/>
            <w:vAlign w:val="bottom"/>
          </w:tcPr>
          <w:p>
            <w:pPr>
              <w:jc w:val="center"/>
              <w:ind w:left="68"/>
              <w:spacing w:after="0"/>
              <w:rPr>
                <w:sz w:val="20"/>
                <w:szCs w:val="20"/>
                <w:color w:val="auto"/>
              </w:rPr>
            </w:pPr>
            <w:r>
              <w:rPr>
                <w:rFonts w:ascii="Arial" w:cs="Arial" w:eastAsia="Arial" w:hAnsi="Arial"/>
                <w:sz w:val="14"/>
                <w:szCs w:val="14"/>
                <w:color w:val="auto"/>
              </w:rPr>
              <w:t>1,425</w:t>
            </w:r>
          </w:p>
        </w:tc>
        <w:tc>
          <w:tcPr>
            <w:tcW w:w="1540" w:type="dxa"/>
            <w:vAlign w:val="bottom"/>
            <w:gridSpan w:val="3"/>
          </w:tcPr>
          <w:p>
            <w:pPr>
              <w:jc w:val="center"/>
              <w:ind w:left="188"/>
              <w:spacing w:after="0"/>
              <w:rPr>
                <w:sz w:val="20"/>
                <w:szCs w:val="20"/>
                <w:color w:val="auto"/>
              </w:rPr>
            </w:pPr>
            <w:r>
              <w:rPr>
                <w:rFonts w:ascii="Arial" w:cs="Arial" w:eastAsia="Arial" w:hAnsi="Arial"/>
                <w:sz w:val="14"/>
                <w:szCs w:val="14"/>
                <w:color w:val="auto"/>
              </w:rPr>
              <w:t>2,849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color w:val="auto"/>
              </w:rPr>
              <w:t>5,698</w:t>
            </w:r>
          </w:p>
        </w:tc>
      </w:tr>
      <w:tr>
        <w:trPr>
          <w:trHeight w:val="22"/>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720" w:type="dxa"/>
            <w:vAlign w:val="bottom"/>
            <w:gridSpan w:val="2"/>
            <w:shd w:val="clear" w:color="auto" w:fill="D9D9D9"/>
          </w:tcPr>
          <w:p>
            <w:pPr>
              <w:ind w:left="100"/>
              <w:spacing w:after="0"/>
              <w:rPr>
                <w:sz w:val="20"/>
                <w:szCs w:val="20"/>
                <w:color w:val="auto"/>
              </w:rPr>
            </w:pPr>
            <w:r>
              <w:rPr>
                <w:rFonts w:ascii="Arial" w:cs="Arial" w:eastAsia="Arial" w:hAnsi="Arial"/>
                <w:sz w:val="14"/>
                <w:szCs w:val="14"/>
                <w:color w:val="auto"/>
              </w:rPr>
              <w:t>Raelyn A.Trende</w:t>
            </w:r>
          </w:p>
        </w:tc>
        <w:tc>
          <w:tcPr>
            <w:tcW w:w="1700" w:type="dxa"/>
            <w:vAlign w:val="bottom"/>
            <w:gridSpan w:val="2"/>
            <w:shd w:val="clear" w:color="auto" w:fill="D9D9D9"/>
          </w:tcPr>
          <w:p>
            <w:pPr>
              <w:jc w:val="center"/>
              <w:ind w:right="100"/>
              <w:spacing w:after="0"/>
              <w:rPr>
                <w:sz w:val="20"/>
                <w:szCs w:val="20"/>
                <w:color w:val="auto"/>
              </w:rPr>
            </w:pPr>
            <w:r>
              <w:rPr>
                <w:rFonts w:ascii="Arial" w:cs="Arial" w:eastAsia="Arial" w:hAnsi="Arial"/>
                <w:sz w:val="14"/>
                <w:szCs w:val="14"/>
                <w:color w:val="auto"/>
              </w:rPr>
              <w:t>Fiscal 2024 - 2026</w:t>
            </w:r>
          </w:p>
        </w:tc>
        <w:tc>
          <w:tcPr>
            <w:tcW w:w="1140" w:type="dxa"/>
            <w:vAlign w:val="bottom"/>
            <w:shd w:val="clear" w:color="auto" w:fill="D9D9D9"/>
          </w:tcPr>
          <w:p>
            <w:pPr>
              <w:jc w:val="center"/>
              <w:ind w:left="8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560" w:type="dxa"/>
            <w:vAlign w:val="bottom"/>
            <w:gridSpan w:val="3"/>
            <w:shd w:val="clear" w:color="auto" w:fill="D9D9D9"/>
          </w:tcPr>
          <w:p>
            <w:pPr>
              <w:jc w:val="center"/>
              <w:ind w:right="260"/>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D9D9D9"/>
          </w:tcPr>
          <w:p>
            <w:pPr>
              <w:jc w:val="center"/>
              <w:ind w:right="108"/>
              <w:spacing w:after="0"/>
              <w:rPr>
                <w:sz w:val="20"/>
                <w:szCs w:val="20"/>
                <w:color w:val="auto"/>
              </w:rPr>
            </w:pPr>
            <w:r>
              <w:rPr>
                <w:rFonts w:ascii="Arial" w:cs="Arial" w:eastAsia="Arial" w:hAnsi="Arial"/>
                <w:sz w:val="14"/>
                <w:szCs w:val="14"/>
                <w:color w:val="auto"/>
                <w:w w:val="99"/>
              </w:rPr>
              <w:t>—</w:t>
            </w:r>
          </w:p>
        </w:tc>
      </w:tr>
      <w:tr>
        <w:trPr>
          <w:trHeight w:val="22"/>
        </w:trPr>
        <w:tc>
          <w:tcPr>
            <w:tcW w:w="262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60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140" w:type="dxa"/>
            <w:vAlign w:val="bottom"/>
            <w:shd w:val="clear" w:color="auto" w:fill="D9D9D9"/>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30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1120" w:type="dxa"/>
            <w:vAlign w:val="bottom"/>
            <w:shd w:val="clear" w:color="auto" w:fill="D9D9D9"/>
          </w:tcPr>
          <w:p>
            <w:pPr>
              <w:spacing w:after="0" w:line="20" w:lineRule="exact"/>
              <w:rPr>
                <w:sz w:val="1"/>
                <w:szCs w:val="1"/>
                <w:color w:val="auto"/>
              </w:rPr>
            </w:pPr>
          </w:p>
        </w:tc>
      </w:tr>
    </w:tbl>
    <w:p>
      <w:pPr>
        <w:spacing w:after="0" w:line="184" w:lineRule="exact"/>
        <w:rPr>
          <w:sz w:val="20"/>
          <w:szCs w:val="20"/>
          <w:color w:val="auto"/>
        </w:rPr>
      </w:pPr>
    </w:p>
    <w:p>
      <w:pPr>
        <w:jc w:val="both"/>
        <w:ind w:left="492" w:hanging="492"/>
        <w:spacing w:after="0" w:line="262" w:lineRule="auto"/>
        <w:tabs>
          <w:tab w:leader="none" w:pos="4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performance share unit portion of performance awards made on May 1, 2024 for Messrs. Silberhorn, Osberg, Jewell, and T. Johnson; and July 29, 2024 for Ms. Trende, for the three-year performance period beginning on the first day of fiscal 2025 and ending on the last day of fiscal 2027, which will only be earned if the predetermined goal for the performance period is met. Ms. Trende joined the Company during fiscal 2025. The number of shares is equal to the target number of performance share units.</w:t>
      </w:r>
    </w:p>
    <w:p>
      <w:pPr>
        <w:spacing w:after="0" w:line="68" w:lineRule="exact"/>
        <w:rPr>
          <w:rFonts w:ascii="Arial" w:cs="Arial" w:eastAsia="Arial" w:hAnsi="Arial"/>
          <w:sz w:val="18"/>
          <w:szCs w:val="18"/>
          <w:color w:val="auto"/>
        </w:rPr>
      </w:pPr>
    </w:p>
    <w:p>
      <w:pPr>
        <w:ind w:left="492"/>
        <w:spacing w:after="0" w:line="287" w:lineRule="auto"/>
        <w:rPr>
          <w:rFonts w:ascii="Arial" w:cs="Arial" w:eastAsia="Arial" w:hAnsi="Arial"/>
          <w:sz w:val="18"/>
          <w:szCs w:val="18"/>
          <w:color w:val="auto"/>
        </w:rPr>
      </w:pPr>
      <w:r>
        <w:rPr>
          <w:rFonts w:ascii="Arial" w:cs="Arial" w:eastAsia="Arial" w:hAnsi="Arial"/>
          <w:sz w:val="18"/>
          <w:szCs w:val="18"/>
          <w:color w:val="auto"/>
        </w:rPr>
        <w:t>For each of our Named Executive Officers, the number of shares of our common stock that may be earned as a payout based on threshold, target and maximum of performance levels during the three-year performance period is set forth below.</w:t>
      </w:r>
    </w:p>
    <w:p>
      <w:pPr>
        <w:spacing w:after="0" w:line="109" w:lineRule="exact"/>
        <w:rPr>
          <w:sz w:val="20"/>
          <w:szCs w:val="20"/>
          <w:color w:val="auto"/>
        </w:rPr>
      </w:pPr>
    </w:p>
    <w:tbl>
      <w:tblPr>
        <w:tblLayout w:type="fixed"/>
        <w:tblInd w:w="1292"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60" w:type="dxa"/>
            <w:vAlign w:val="bottom"/>
            <w:gridSpan w:val="3"/>
          </w:tcPr>
          <w:p>
            <w:pPr>
              <w:jc w:val="center"/>
              <w:spacing w:after="0"/>
              <w:rPr>
                <w:sz w:val="20"/>
                <w:szCs w:val="20"/>
                <w:color w:val="auto"/>
              </w:rPr>
            </w:pPr>
            <w:r>
              <w:rPr>
                <w:rFonts w:ascii="Arial" w:cs="Arial" w:eastAsia="Arial" w:hAnsi="Arial"/>
                <w:sz w:val="14"/>
                <w:szCs w:val="14"/>
                <w:b w:val="1"/>
                <w:bCs w:val="1"/>
                <w:color w:val="05445E"/>
              </w:rPr>
              <w:t>Estimated Future Payouts Based</w:t>
            </w:r>
          </w:p>
        </w:tc>
      </w:tr>
      <w:tr>
        <w:trPr>
          <w:trHeight w:val="196"/>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05445E"/>
              </w:rPr>
              <w:t>On Performance Level</w:t>
            </w:r>
          </w:p>
        </w:tc>
        <w:tc>
          <w:tcPr>
            <w:tcW w:w="1120" w:type="dxa"/>
            <w:vAlign w:val="bottom"/>
          </w:tcPr>
          <w:p>
            <w:pPr>
              <w:spacing w:after="0"/>
              <w:rPr>
                <w:sz w:val="17"/>
                <w:szCs w:val="17"/>
                <w:color w:val="auto"/>
              </w:rPr>
            </w:pPr>
          </w:p>
        </w:tc>
      </w:tr>
      <w:tr>
        <w:trPr>
          <w:trHeight w:val="29"/>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3"/>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5445E"/>
              </w:rPr>
              <w:t>Performance</w:t>
            </w: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05445E"/>
              </w:rPr>
              <w:t>Threshold</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05445E"/>
                <w:w w:val="98"/>
              </w:rPr>
              <w:t>Target</w:t>
            </w:r>
          </w:p>
        </w:tc>
        <w:tc>
          <w:tcPr>
            <w:tcW w:w="1120" w:type="dxa"/>
            <w:vAlign w:val="bottom"/>
          </w:tcPr>
          <w:p>
            <w:pPr>
              <w:jc w:val="center"/>
              <w:ind w:right="108"/>
              <w:spacing w:after="0"/>
              <w:rPr>
                <w:sz w:val="20"/>
                <w:szCs w:val="20"/>
                <w:color w:val="auto"/>
              </w:rPr>
            </w:pPr>
            <w:r>
              <w:rPr>
                <w:rFonts w:ascii="Arial" w:cs="Arial" w:eastAsia="Arial" w:hAnsi="Arial"/>
                <w:sz w:val="14"/>
                <w:szCs w:val="14"/>
                <w:b w:val="1"/>
                <w:bCs w:val="1"/>
                <w:color w:val="05445E"/>
              </w:rPr>
              <w:t>Maximum</w:t>
            </w:r>
          </w:p>
        </w:tc>
      </w:tr>
      <w:tr>
        <w:trPr>
          <w:trHeight w:val="219"/>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5445E"/>
              </w:rPr>
              <w:t>Name</w:t>
            </w:r>
          </w:p>
        </w:tc>
        <w:tc>
          <w:tcPr>
            <w:tcW w:w="100" w:type="dxa"/>
            <w:vAlign w:val="bottom"/>
            <w:tcBorders>
              <w:bottom w:val="single" w:sz="8" w:color="D9D9D9"/>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445E"/>
              </w:rPr>
              <w:t>Period</w:t>
            </w:r>
          </w:p>
        </w:tc>
        <w:tc>
          <w:tcPr>
            <w:tcW w:w="100" w:type="dxa"/>
            <w:vAlign w:val="bottom"/>
            <w:tcBorders>
              <w:bottom w:val="single" w:sz="8" w:color="D9D9D9"/>
            </w:tcBorders>
          </w:tcPr>
          <w:p>
            <w:pPr>
              <w:spacing w:after="0"/>
              <w:rPr>
                <w:sz w:val="19"/>
                <w:szCs w:val="19"/>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05445E"/>
              </w:rPr>
              <w:t>(#)</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445E"/>
              </w:rPr>
              <w:t>(#)</w:t>
            </w:r>
          </w:p>
        </w:tc>
        <w:tc>
          <w:tcPr>
            <w:tcW w:w="11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05445E"/>
              </w:rPr>
              <w:t>(#)</w:t>
            </w:r>
          </w:p>
        </w:tc>
      </w:tr>
      <w:tr>
        <w:trPr>
          <w:trHeight w:val="209"/>
        </w:trPr>
        <w:tc>
          <w:tcPr>
            <w:tcW w:w="2720" w:type="dxa"/>
            <w:vAlign w:val="bottom"/>
            <w:tcBorders>
              <w:bottom w:val="single" w:sz="8" w:color="D9D9D9"/>
            </w:tcBorders>
            <w:gridSpan w:val="2"/>
            <w:shd w:val="clear" w:color="auto" w:fill="D9D9D9"/>
          </w:tcPr>
          <w:p>
            <w:pPr>
              <w:ind w:left="100"/>
              <w:spacing w:after="0"/>
              <w:rPr>
                <w:sz w:val="20"/>
                <w:szCs w:val="20"/>
                <w:color w:val="auto"/>
              </w:rPr>
            </w:pPr>
            <w:r>
              <w:rPr>
                <w:rFonts w:ascii="Arial" w:cs="Arial" w:eastAsia="Arial" w:hAnsi="Arial"/>
                <w:sz w:val="14"/>
                <w:szCs w:val="14"/>
                <w:color w:val="auto"/>
              </w:rPr>
              <w:t>Ty R. Silberhorn</w:t>
            </w:r>
          </w:p>
        </w:tc>
        <w:tc>
          <w:tcPr>
            <w:tcW w:w="1700" w:type="dxa"/>
            <w:vAlign w:val="bottom"/>
            <w:tcBorders>
              <w:bottom w:val="single" w:sz="8" w:color="D9D9D9"/>
            </w:tcBorders>
            <w:gridSpan w:val="2"/>
            <w:shd w:val="clear" w:color="auto" w:fill="D9D9D9"/>
          </w:tcPr>
          <w:p>
            <w:pPr>
              <w:jc w:val="center"/>
              <w:ind w:right="100"/>
              <w:spacing w:after="0"/>
              <w:rPr>
                <w:sz w:val="20"/>
                <w:szCs w:val="20"/>
                <w:color w:val="auto"/>
              </w:rPr>
            </w:pPr>
            <w:r>
              <w:rPr>
                <w:rFonts w:ascii="Arial" w:cs="Arial" w:eastAsia="Arial" w:hAnsi="Arial"/>
                <w:sz w:val="14"/>
                <w:szCs w:val="14"/>
                <w:color w:val="auto"/>
              </w:rPr>
              <w:t>Fiscal 2025 - 2027</w:t>
            </w:r>
          </w:p>
        </w:tc>
        <w:tc>
          <w:tcPr>
            <w:tcW w:w="1140" w:type="dxa"/>
            <w:vAlign w:val="bottom"/>
            <w:tcBorders>
              <w:bottom w:val="single" w:sz="8" w:color="D9D9D9"/>
            </w:tcBorders>
            <w:shd w:val="clear" w:color="auto" w:fill="D9D9D9"/>
          </w:tcPr>
          <w:p>
            <w:pPr>
              <w:jc w:val="right"/>
              <w:ind w:right="228"/>
              <w:spacing w:after="0"/>
              <w:rPr>
                <w:sz w:val="20"/>
                <w:szCs w:val="20"/>
                <w:color w:val="auto"/>
              </w:rPr>
            </w:pPr>
            <w:r>
              <w:rPr>
                <w:rFonts w:ascii="Arial" w:cs="Arial" w:eastAsia="Arial" w:hAnsi="Arial"/>
                <w:sz w:val="14"/>
                <w:szCs w:val="14"/>
                <w:color w:val="auto"/>
              </w:rPr>
              <w:t>7,266</w:t>
            </w:r>
          </w:p>
        </w:tc>
        <w:tc>
          <w:tcPr>
            <w:tcW w:w="18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14,532</w:t>
            </w:r>
          </w:p>
        </w:tc>
        <w:tc>
          <w:tcPr>
            <w:tcW w:w="1120" w:type="dxa"/>
            <w:vAlign w:val="bottom"/>
            <w:tcBorders>
              <w:bottom w:val="single" w:sz="8" w:color="D9D9D9"/>
            </w:tcBorders>
            <w:shd w:val="clear" w:color="auto" w:fill="D9D9D9"/>
          </w:tcPr>
          <w:p>
            <w:pPr>
              <w:jc w:val="center"/>
              <w:ind w:right="88"/>
              <w:spacing w:after="0"/>
              <w:rPr>
                <w:sz w:val="20"/>
                <w:szCs w:val="20"/>
                <w:color w:val="auto"/>
              </w:rPr>
            </w:pPr>
            <w:r>
              <w:rPr>
                <w:rFonts w:ascii="Arial" w:cs="Arial" w:eastAsia="Arial" w:hAnsi="Arial"/>
                <w:sz w:val="14"/>
                <w:szCs w:val="14"/>
                <w:color w:val="auto"/>
              </w:rPr>
              <w:t>29,064</w:t>
            </w:r>
          </w:p>
        </w:tc>
      </w:tr>
      <w:tr>
        <w:trPr>
          <w:trHeight w:val="208"/>
        </w:trPr>
        <w:tc>
          <w:tcPr>
            <w:tcW w:w="2720" w:type="dxa"/>
            <w:vAlign w:val="bottom"/>
            <w:gridSpan w:val="2"/>
          </w:tcPr>
          <w:p>
            <w:pPr>
              <w:ind w:left="100"/>
              <w:spacing w:after="0"/>
              <w:rPr>
                <w:sz w:val="20"/>
                <w:szCs w:val="20"/>
                <w:color w:val="auto"/>
              </w:rPr>
            </w:pPr>
            <w:r>
              <w:rPr>
                <w:rFonts w:ascii="Arial" w:cs="Arial" w:eastAsia="Arial" w:hAnsi="Arial"/>
                <w:sz w:val="14"/>
                <w:szCs w:val="14"/>
                <w:color w:val="auto"/>
              </w:rPr>
              <w:t>Matthew J. Osberg</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rPr>
              <w:t>Fiscal 2025 - 2027</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1,937</w:t>
            </w:r>
          </w:p>
        </w:tc>
        <w:tc>
          <w:tcPr>
            <w:tcW w:w="1800" w:type="dxa"/>
            <w:vAlign w:val="bottom"/>
          </w:tcPr>
          <w:p>
            <w:pPr>
              <w:jc w:val="center"/>
              <w:spacing w:after="0"/>
              <w:rPr>
                <w:sz w:val="20"/>
                <w:szCs w:val="20"/>
                <w:color w:val="auto"/>
              </w:rPr>
            </w:pPr>
            <w:r>
              <w:rPr>
                <w:rFonts w:ascii="Arial" w:cs="Arial" w:eastAsia="Arial" w:hAnsi="Arial"/>
                <w:sz w:val="14"/>
                <w:szCs w:val="14"/>
                <w:color w:val="auto"/>
              </w:rPr>
              <w:t>3,874</w:t>
            </w:r>
          </w:p>
        </w:tc>
        <w:tc>
          <w:tcPr>
            <w:tcW w:w="1120" w:type="dxa"/>
            <w:vAlign w:val="bottom"/>
          </w:tcPr>
          <w:p>
            <w:pPr>
              <w:jc w:val="right"/>
              <w:ind w:right="408"/>
              <w:spacing w:after="0"/>
              <w:rPr>
                <w:sz w:val="20"/>
                <w:szCs w:val="20"/>
                <w:color w:val="auto"/>
              </w:rPr>
            </w:pPr>
            <w:r>
              <w:rPr>
                <w:rFonts w:ascii="Arial" w:cs="Arial" w:eastAsia="Arial" w:hAnsi="Arial"/>
                <w:sz w:val="14"/>
                <w:szCs w:val="14"/>
                <w:color w:val="auto"/>
              </w:rPr>
              <w:t>7,748</w:t>
            </w:r>
          </w:p>
        </w:tc>
      </w:tr>
      <w:tr>
        <w:trPr>
          <w:trHeight w:val="22"/>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0"/>
        </w:trPr>
        <w:tc>
          <w:tcPr>
            <w:tcW w:w="2720" w:type="dxa"/>
            <w:vAlign w:val="bottom"/>
            <w:tcBorders>
              <w:bottom w:val="single" w:sz="8" w:color="D9D9D9"/>
            </w:tcBorders>
            <w:gridSpan w:val="2"/>
            <w:shd w:val="clear" w:color="auto" w:fill="D9D9D9"/>
          </w:tcPr>
          <w:p>
            <w:pPr>
              <w:ind w:left="100"/>
              <w:spacing w:after="0"/>
              <w:rPr>
                <w:sz w:val="20"/>
                <w:szCs w:val="20"/>
                <w:color w:val="auto"/>
              </w:rPr>
            </w:pPr>
            <w:r>
              <w:rPr>
                <w:rFonts w:ascii="Arial" w:cs="Arial" w:eastAsia="Arial" w:hAnsi="Arial"/>
                <w:sz w:val="14"/>
                <w:szCs w:val="14"/>
                <w:color w:val="auto"/>
              </w:rPr>
              <w:t>Brent C. Jewell</w:t>
            </w:r>
          </w:p>
        </w:tc>
        <w:tc>
          <w:tcPr>
            <w:tcW w:w="1700" w:type="dxa"/>
            <w:vAlign w:val="bottom"/>
            <w:tcBorders>
              <w:bottom w:val="single" w:sz="8" w:color="D9D9D9"/>
            </w:tcBorders>
            <w:gridSpan w:val="2"/>
            <w:shd w:val="clear" w:color="auto" w:fill="D9D9D9"/>
          </w:tcPr>
          <w:p>
            <w:pPr>
              <w:jc w:val="center"/>
              <w:ind w:right="100"/>
              <w:spacing w:after="0"/>
              <w:rPr>
                <w:sz w:val="20"/>
                <w:szCs w:val="20"/>
                <w:color w:val="auto"/>
              </w:rPr>
            </w:pPr>
            <w:r>
              <w:rPr>
                <w:rFonts w:ascii="Arial" w:cs="Arial" w:eastAsia="Arial" w:hAnsi="Arial"/>
                <w:sz w:val="14"/>
                <w:szCs w:val="14"/>
                <w:color w:val="auto"/>
              </w:rPr>
              <w:t>Fiscal 2025 - 2027</w:t>
            </w:r>
          </w:p>
        </w:tc>
        <w:tc>
          <w:tcPr>
            <w:tcW w:w="1140" w:type="dxa"/>
            <w:vAlign w:val="bottom"/>
            <w:tcBorders>
              <w:bottom w:val="single" w:sz="8" w:color="D9D9D9"/>
            </w:tcBorders>
            <w:shd w:val="clear" w:color="auto" w:fill="D9D9D9"/>
          </w:tcPr>
          <w:p>
            <w:pPr>
              <w:jc w:val="right"/>
              <w:ind w:right="228"/>
              <w:spacing w:after="0"/>
              <w:rPr>
                <w:sz w:val="20"/>
                <w:szCs w:val="20"/>
                <w:color w:val="auto"/>
              </w:rPr>
            </w:pPr>
            <w:r>
              <w:rPr>
                <w:rFonts w:ascii="Arial" w:cs="Arial" w:eastAsia="Arial" w:hAnsi="Arial"/>
                <w:sz w:val="14"/>
                <w:szCs w:val="14"/>
                <w:color w:val="auto"/>
              </w:rPr>
              <w:t>1,092</w:t>
            </w:r>
          </w:p>
        </w:tc>
        <w:tc>
          <w:tcPr>
            <w:tcW w:w="18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2,183</w:t>
            </w:r>
          </w:p>
        </w:tc>
        <w:tc>
          <w:tcPr>
            <w:tcW w:w="1120" w:type="dxa"/>
            <w:vAlign w:val="bottom"/>
            <w:tcBorders>
              <w:bottom w:val="single" w:sz="8" w:color="D9D9D9"/>
            </w:tcBorders>
            <w:shd w:val="clear" w:color="auto" w:fill="D9D9D9"/>
          </w:tcPr>
          <w:p>
            <w:pPr>
              <w:jc w:val="right"/>
              <w:ind w:right="528"/>
              <w:spacing w:after="0"/>
              <w:rPr>
                <w:sz w:val="20"/>
                <w:szCs w:val="20"/>
                <w:color w:val="auto"/>
              </w:rPr>
            </w:pPr>
            <w:r>
              <w:rPr>
                <w:rFonts w:ascii="Arial" w:cs="Arial" w:eastAsia="Arial" w:hAnsi="Arial"/>
                <w:sz w:val="14"/>
                <w:szCs w:val="14"/>
                <w:color w:val="auto"/>
              </w:rPr>
              <w:t>4,366</w:t>
            </w:r>
          </w:p>
        </w:tc>
      </w:tr>
      <w:tr>
        <w:trPr>
          <w:trHeight w:val="208"/>
        </w:trPr>
        <w:tc>
          <w:tcPr>
            <w:tcW w:w="2720" w:type="dxa"/>
            <w:vAlign w:val="bottom"/>
            <w:gridSpan w:val="2"/>
          </w:tcPr>
          <w:p>
            <w:pPr>
              <w:ind w:left="100"/>
              <w:spacing w:after="0"/>
              <w:rPr>
                <w:sz w:val="20"/>
                <w:szCs w:val="20"/>
                <w:color w:val="auto"/>
              </w:rPr>
            </w:pPr>
            <w:r>
              <w:rPr>
                <w:rFonts w:ascii="Arial" w:cs="Arial" w:eastAsia="Arial" w:hAnsi="Arial"/>
                <w:sz w:val="14"/>
                <w:szCs w:val="14"/>
                <w:color w:val="auto"/>
              </w:rPr>
              <w:t>Troy R. Johnson</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rPr>
              <w:t>Fiscal 2025 - 2027</w:t>
            </w: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1,027</w:t>
            </w:r>
          </w:p>
        </w:tc>
        <w:tc>
          <w:tcPr>
            <w:tcW w:w="1800" w:type="dxa"/>
            <w:vAlign w:val="bottom"/>
          </w:tcPr>
          <w:p>
            <w:pPr>
              <w:jc w:val="center"/>
              <w:spacing w:after="0"/>
              <w:rPr>
                <w:sz w:val="20"/>
                <w:szCs w:val="20"/>
                <w:color w:val="auto"/>
              </w:rPr>
            </w:pPr>
            <w:r>
              <w:rPr>
                <w:rFonts w:ascii="Arial" w:cs="Arial" w:eastAsia="Arial" w:hAnsi="Arial"/>
                <w:sz w:val="14"/>
                <w:szCs w:val="14"/>
                <w:color w:val="auto"/>
              </w:rPr>
              <w:t>2,053</w:t>
            </w:r>
          </w:p>
        </w:tc>
        <w:tc>
          <w:tcPr>
            <w:tcW w:w="1120" w:type="dxa"/>
            <w:vAlign w:val="bottom"/>
          </w:tcPr>
          <w:p>
            <w:pPr>
              <w:jc w:val="center"/>
              <w:ind w:right="88"/>
              <w:spacing w:after="0"/>
              <w:rPr>
                <w:sz w:val="20"/>
                <w:szCs w:val="20"/>
                <w:color w:val="auto"/>
              </w:rPr>
            </w:pPr>
            <w:r>
              <w:rPr>
                <w:rFonts w:ascii="Arial" w:cs="Arial" w:eastAsia="Arial" w:hAnsi="Arial"/>
                <w:sz w:val="14"/>
                <w:szCs w:val="14"/>
                <w:color w:val="auto"/>
              </w:rPr>
              <w:t>4,106</w:t>
            </w:r>
          </w:p>
        </w:tc>
      </w:tr>
      <w:tr>
        <w:trPr>
          <w:trHeight w:val="22"/>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8"/>
        </w:trPr>
        <w:tc>
          <w:tcPr>
            <w:tcW w:w="2720" w:type="dxa"/>
            <w:vAlign w:val="bottom"/>
            <w:gridSpan w:val="2"/>
            <w:shd w:val="clear" w:color="auto" w:fill="D9D9D9"/>
          </w:tcPr>
          <w:p>
            <w:pPr>
              <w:ind w:left="100"/>
              <w:spacing w:after="0"/>
              <w:rPr>
                <w:sz w:val="20"/>
                <w:szCs w:val="20"/>
                <w:color w:val="auto"/>
              </w:rPr>
            </w:pPr>
            <w:r>
              <w:rPr>
                <w:rFonts w:ascii="Arial" w:cs="Arial" w:eastAsia="Arial" w:hAnsi="Arial"/>
                <w:sz w:val="14"/>
                <w:szCs w:val="14"/>
                <w:color w:val="auto"/>
              </w:rPr>
              <w:t>Raelyn A. Trende</w:t>
            </w:r>
          </w:p>
        </w:tc>
        <w:tc>
          <w:tcPr>
            <w:tcW w:w="1700" w:type="dxa"/>
            <w:vAlign w:val="bottom"/>
            <w:gridSpan w:val="2"/>
            <w:shd w:val="clear" w:color="auto" w:fill="D9D9D9"/>
          </w:tcPr>
          <w:p>
            <w:pPr>
              <w:jc w:val="center"/>
              <w:ind w:right="100"/>
              <w:spacing w:after="0"/>
              <w:rPr>
                <w:sz w:val="20"/>
                <w:szCs w:val="20"/>
                <w:color w:val="auto"/>
              </w:rPr>
            </w:pPr>
            <w:r>
              <w:rPr>
                <w:rFonts w:ascii="Arial" w:cs="Arial" w:eastAsia="Arial" w:hAnsi="Arial"/>
                <w:sz w:val="14"/>
                <w:szCs w:val="14"/>
                <w:color w:val="auto"/>
              </w:rPr>
              <w:t>Fiscal 2025 - 2027</w:t>
            </w:r>
          </w:p>
        </w:tc>
        <w:tc>
          <w:tcPr>
            <w:tcW w:w="1140" w:type="dxa"/>
            <w:vAlign w:val="bottom"/>
            <w:shd w:val="clear" w:color="auto" w:fill="D9D9D9"/>
          </w:tcPr>
          <w:p>
            <w:pPr>
              <w:jc w:val="right"/>
              <w:ind w:right="228"/>
              <w:spacing w:after="0"/>
              <w:rPr>
                <w:sz w:val="20"/>
                <w:szCs w:val="20"/>
                <w:color w:val="auto"/>
              </w:rPr>
            </w:pPr>
            <w:r>
              <w:rPr>
                <w:rFonts w:ascii="Arial" w:cs="Arial" w:eastAsia="Arial" w:hAnsi="Arial"/>
                <w:sz w:val="14"/>
                <w:szCs w:val="14"/>
                <w:color w:val="auto"/>
              </w:rPr>
              <w:t>910</w:t>
            </w:r>
          </w:p>
        </w:tc>
        <w:tc>
          <w:tcPr>
            <w:tcW w:w="1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1,819</w:t>
            </w:r>
          </w:p>
        </w:tc>
        <w:tc>
          <w:tcPr>
            <w:tcW w:w="1120" w:type="dxa"/>
            <w:vAlign w:val="bottom"/>
            <w:shd w:val="clear" w:color="auto" w:fill="D9D9D9"/>
          </w:tcPr>
          <w:p>
            <w:pPr>
              <w:jc w:val="center"/>
              <w:ind w:right="88"/>
              <w:spacing w:after="0"/>
              <w:rPr>
                <w:sz w:val="20"/>
                <w:szCs w:val="20"/>
                <w:color w:val="auto"/>
              </w:rPr>
            </w:pPr>
            <w:r>
              <w:rPr>
                <w:rFonts w:ascii="Arial" w:cs="Arial" w:eastAsia="Arial" w:hAnsi="Arial"/>
                <w:sz w:val="14"/>
                <w:szCs w:val="14"/>
                <w:color w:val="auto"/>
              </w:rPr>
              <w:t>3,638</w:t>
            </w:r>
          </w:p>
        </w:tc>
      </w:tr>
      <w:tr>
        <w:trPr>
          <w:trHeight w:val="22"/>
        </w:trPr>
        <w:tc>
          <w:tcPr>
            <w:tcW w:w="262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60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140" w:type="dxa"/>
            <w:vAlign w:val="bottom"/>
            <w:shd w:val="clear" w:color="auto" w:fill="D9D9D9"/>
          </w:tcPr>
          <w:p>
            <w:pPr>
              <w:spacing w:after="0" w:line="20" w:lineRule="exact"/>
              <w:rPr>
                <w:sz w:val="1"/>
                <w:szCs w:val="1"/>
                <w:color w:val="auto"/>
              </w:rPr>
            </w:pPr>
          </w:p>
        </w:tc>
        <w:tc>
          <w:tcPr>
            <w:tcW w:w="1800" w:type="dxa"/>
            <w:vAlign w:val="bottom"/>
            <w:shd w:val="clear" w:color="auto" w:fill="D9D9D9"/>
          </w:tcPr>
          <w:p>
            <w:pPr>
              <w:spacing w:after="0" w:line="20" w:lineRule="exact"/>
              <w:rPr>
                <w:sz w:val="1"/>
                <w:szCs w:val="1"/>
                <w:color w:val="auto"/>
              </w:rPr>
            </w:pPr>
          </w:p>
        </w:tc>
        <w:tc>
          <w:tcPr>
            <w:tcW w:w="1120" w:type="dxa"/>
            <w:vAlign w:val="bottom"/>
            <w:shd w:val="clear" w:color="auto" w:fill="D9D9D9"/>
          </w:tcPr>
          <w:p>
            <w:pPr>
              <w:spacing w:after="0" w:line="20" w:lineRule="exact"/>
              <w:rPr>
                <w:sz w:val="1"/>
                <w:szCs w:val="1"/>
                <w:color w:val="auto"/>
              </w:rPr>
            </w:pPr>
          </w:p>
        </w:tc>
      </w:tr>
    </w:tbl>
    <w:p>
      <w:pPr>
        <w:spacing w:after="0" w:line="170" w:lineRule="exact"/>
        <w:rPr>
          <w:sz w:val="20"/>
          <w:szCs w:val="20"/>
          <w:color w:val="auto"/>
        </w:rPr>
      </w:pPr>
    </w:p>
    <w:p>
      <w:pPr>
        <w:ind w:left="472" w:hanging="472"/>
        <w:spacing w:after="0"/>
        <w:tabs>
          <w:tab w:leader="none" w:pos="472"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an unvested restricted stock award granted on January 4, 2021, which vests 29,354 shares on January 4, 2026.</w:t>
      </w:r>
    </w:p>
    <w:p>
      <w:pPr>
        <w:spacing w:after="0" w:line="117" w:lineRule="exact"/>
        <w:rPr>
          <w:rFonts w:ascii="Arial" w:cs="Arial" w:eastAsia="Arial" w:hAnsi="Arial"/>
          <w:sz w:val="18"/>
          <w:szCs w:val="18"/>
          <w:color w:val="auto"/>
        </w:rPr>
      </w:pPr>
    </w:p>
    <w:p>
      <w:pPr>
        <w:ind w:left="492" w:hanging="492"/>
        <w:spacing w:after="0" w:line="287" w:lineRule="auto"/>
        <w:tabs>
          <w:tab w:leader="none" w:pos="482"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an unvested restricted stock award granted on April 21, 2022, which vests in three annual installments commencing on April 30, 2023.</w:t>
      </w:r>
    </w:p>
    <w:p>
      <w:pPr>
        <w:spacing w:after="0" w:line="44" w:lineRule="exact"/>
        <w:rPr>
          <w:rFonts w:ascii="Arial" w:cs="Arial" w:eastAsia="Arial" w:hAnsi="Arial"/>
          <w:sz w:val="18"/>
          <w:szCs w:val="18"/>
          <w:color w:val="auto"/>
        </w:rPr>
      </w:pPr>
    </w:p>
    <w:p>
      <w:pPr>
        <w:ind w:left="492" w:hanging="492"/>
        <w:spacing w:after="0" w:line="287" w:lineRule="auto"/>
        <w:tabs>
          <w:tab w:leader="none" w:pos="482"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an unvested restricted stock award granted on April 19, 2023, which vests in three annual installments commencing on April 30, 2024.</w:t>
      </w:r>
    </w:p>
    <w:p>
      <w:pPr>
        <w:spacing w:after="0" w:line="44" w:lineRule="exact"/>
        <w:rPr>
          <w:rFonts w:ascii="Arial" w:cs="Arial" w:eastAsia="Arial" w:hAnsi="Arial"/>
          <w:sz w:val="18"/>
          <w:szCs w:val="18"/>
          <w:color w:val="auto"/>
        </w:rPr>
      </w:pPr>
    </w:p>
    <w:p>
      <w:pPr>
        <w:ind w:left="492" w:hanging="492"/>
        <w:spacing w:after="0" w:line="287" w:lineRule="auto"/>
        <w:tabs>
          <w:tab w:leader="none" w:pos="482"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an unvested restricted stock award granted on May 1, 2024, which vests in three installments on May 1, 2025; April 30, 2026; and April 30, 2027.</w:t>
      </w:r>
    </w:p>
    <w:p>
      <w:pPr>
        <w:spacing w:after="0" w:line="44" w:lineRule="exact"/>
        <w:rPr>
          <w:rFonts w:ascii="Arial" w:cs="Arial" w:eastAsia="Arial" w:hAnsi="Arial"/>
          <w:sz w:val="18"/>
          <w:szCs w:val="18"/>
          <w:color w:val="auto"/>
        </w:rPr>
      </w:pPr>
    </w:p>
    <w:p>
      <w:pPr>
        <w:ind w:left="492" w:hanging="492"/>
        <w:spacing w:after="0" w:line="287" w:lineRule="auto"/>
        <w:tabs>
          <w:tab w:leader="none" w:pos="4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an unvested restricted stock award granted on April 28, 2023, which vests in two annual installments commencing on April 28, 2024.</w:t>
      </w:r>
    </w:p>
    <w:p>
      <w:pPr>
        <w:spacing w:after="0" w:line="44" w:lineRule="exact"/>
        <w:rPr>
          <w:rFonts w:ascii="Arial" w:cs="Arial" w:eastAsia="Arial" w:hAnsi="Arial"/>
          <w:sz w:val="18"/>
          <w:szCs w:val="18"/>
          <w:color w:val="auto"/>
        </w:rPr>
      </w:pPr>
    </w:p>
    <w:p>
      <w:pPr>
        <w:ind w:left="492" w:hanging="492"/>
        <w:spacing w:after="0" w:line="287" w:lineRule="auto"/>
        <w:tabs>
          <w:tab w:leader="none" w:pos="474"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an unvested restricted stock award granted on April 28, 2023, which vests in three annual installments commencing on April 30, 2024.</w:t>
      </w:r>
    </w:p>
    <w:p>
      <w:pPr>
        <w:spacing w:after="0" w:line="44" w:lineRule="exact"/>
        <w:rPr>
          <w:rFonts w:ascii="Arial" w:cs="Arial" w:eastAsia="Arial" w:hAnsi="Arial"/>
          <w:sz w:val="18"/>
          <w:szCs w:val="18"/>
          <w:color w:val="auto"/>
        </w:rPr>
      </w:pPr>
    </w:p>
    <w:p>
      <w:pPr>
        <w:ind w:left="492" w:hanging="492"/>
        <w:spacing w:after="0" w:line="287" w:lineRule="auto"/>
        <w:tabs>
          <w:tab w:leader="none" w:pos="4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an unvested restricted stock award granted on April 20, 2022, which vests in three annual installments commencing on April 30, 2023.</w:t>
      </w:r>
    </w:p>
    <w:p>
      <w:pPr>
        <w:spacing w:after="0" w:line="44" w:lineRule="exact"/>
        <w:rPr>
          <w:rFonts w:ascii="Arial" w:cs="Arial" w:eastAsia="Arial" w:hAnsi="Arial"/>
          <w:sz w:val="18"/>
          <w:szCs w:val="18"/>
          <w:color w:val="auto"/>
        </w:rPr>
      </w:pPr>
    </w:p>
    <w:p>
      <w:pPr>
        <w:ind w:left="492" w:right="20" w:hanging="492"/>
        <w:spacing w:after="0" w:line="287" w:lineRule="auto"/>
        <w:tabs>
          <w:tab w:leader="none" w:pos="4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an unvested restricted stock award granted on October 18, 2023, which vests in two annual installments commencing on October 18, 2024.</w:t>
      </w:r>
    </w:p>
    <w:p>
      <w:pPr>
        <w:sectPr>
          <w:pgSz w:w="11900" w:h="16838" w:orient="portrait"/>
          <w:cols w:equalWidth="0" w:num="1">
            <w:col w:w="11232"/>
          </w:cols>
          <w:pgMar w:left="328"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39" w:right="339" w:bottom="1440" w:gutter="0" w:footer="0" w:header="0"/>
          <w:type w:val="continuous"/>
        </w:sectPr>
      </w:pPr>
    </w:p>
    <w:bookmarkStart w:id="62" w:name="page63"/>
    <w:bookmarkEnd w:id="62"/>
    <w:p>
      <w:pPr>
        <w:ind w:left="492" w:hanging="492"/>
        <w:spacing w:after="0" w:line="287" w:lineRule="auto"/>
        <w:tabs>
          <w:tab w:leader="none" w:pos="488"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an unvested restricted stock award granted on July 29, 2024, which vests in two annual installments commencing on July 29, 2025.</w:t>
      </w:r>
    </w:p>
    <w:p>
      <w:pPr>
        <w:spacing w:after="0" w:line="44" w:lineRule="exact"/>
        <w:rPr>
          <w:rFonts w:ascii="Arial" w:cs="Arial" w:eastAsia="Arial" w:hAnsi="Arial"/>
          <w:sz w:val="18"/>
          <w:szCs w:val="18"/>
          <w:color w:val="auto"/>
        </w:rPr>
      </w:pPr>
    </w:p>
    <w:p>
      <w:pPr>
        <w:ind w:left="492" w:hanging="492"/>
        <w:spacing w:after="0" w:line="287" w:lineRule="auto"/>
        <w:tabs>
          <w:tab w:leader="none" w:pos="488"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an unvested restricted stock award granted on July 29, 2024, which will vest in three installments on July 29, 2025; April 30, 2026; and April 30,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3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05445E"/>
        </w:rPr>
        <w:t>Option Exercises and Stock Vested</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sets forth information on options exercised and restricted stock awards vested during fiscal 2025 for each of our Named Executive Officers.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2025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60" w:type="dxa"/>
            <w:vAlign w:val="bottom"/>
            <w:gridSpan w:val="4"/>
          </w:tcPr>
          <w:p>
            <w:pPr>
              <w:ind w:left="1100"/>
              <w:spacing w:after="0"/>
              <w:rPr>
                <w:sz w:val="20"/>
                <w:szCs w:val="20"/>
                <w:color w:val="auto"/>
              </w:rPr>
            </w:pPr>
            <w:r>
              <w:rPr>
                <w:rFonts w:ascii="Arial" w:cs="Arial" w:eastAsia="Arial" w:hAnsi="Arial"/>
                <w:sz w:val="18"/>
                <w:szCs w:val="18"/>
                <w:b w:val="1"/>
                <w:bCs w:val="1"/>
                <w:color w:val="05445E"/>
              </w:rPr>
              <w:t>Option Awards</w:t>
            </w:r>
          </w:p>
        </w:tc>
        <w:tc>
          <w:tcPr>
            <w:tcW w:w="3500" w:type="dxa"/>
            <w:vAlign w:val="bottom"/>
            <w:gridSpan w:val="3"/>
          </w:tcPr>
          <w:p>
            <w:pPr>
              <w:jc w:val="right"/>
              <w:ind w:right="1070"/>
              <w:spacing w:after="0"/>
              <w:rPr>
                <w:sz w:val="20"/>
                <w:szCs w:val="20"/>
                <w:color w:val="auto"/>
              </w:rPr>
            </w:pPr>
            <w:r>
              <w:rPr>
                <w:rFonts w:ascii="Arial" w:cs="Arial" w:eastAsia="Arial" w:hAnsi="Arial"/>
                <w:sz w:val="18"/>
                <w:szCs w:val="18"/>
                <w:b w:val="1"/>
                <w:bCs w:val="1"/>
                <w:color w:val="05445E"/>
              </w:rPr>
              <w:t>Stock Awards</w:t>
            </w:r>
          </w:p>
        </w:tc>
      </w:tr>
      <w:tr>
        <w:trPr>
          <w:trHeight w:val="224"/>
        </w:trPr>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05445E"/>
                <w:w w:val="99"/>
              </w:rPr>
              <w:t>Number of</w:t>
            </w:r>
          </w:p>
        </w:tc>
        <w:tc>
          <w:tcPr>
            <w:tcW w:w="1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05445E"/>
                <w:w w:val="99"/>
              </w:rPr>
              <w:t>Number of</w:t>
            </w: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05445E"/>
                <w:w w:val="95"/>
              </w:rPr>
              <w:t>Value</w:t>
            </w:r>
          </w:p>
        </w:tc>
      </w:tr>
      <w:tr>
        <w:trPr>
          <w:trHeight w:val="216"/>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Shares</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5"/>
              </w:rPr>
              <w:t>Value</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Shares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05445E"/>
              </w:rPr>
              <w:t>Realized</w:t>
            </w:r>
          </w:p>
        </w:tc>
      </w:tr>
      <w:tr>
        <w:trPr>
          <w:trHeight w:val="216"/>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8"/>
              </w:rPr>
              <w:t>Acquired on</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w w:val="99"/>
              </w:rPr>
              <w:t>Realized on</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445E"/>
              </w:rPr>
              <w:t>Acquired on</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05445E"/>
                <w:w w:val="99"/>
              </w:rPr>
              <w:t>on</w:t>
            </w:r>
          </w:p>
        </w:tc>
      </w:tr>
      <w:tr>
        <w:trPr>
          <w:trHeight w:val="212"/>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Exercise</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9"/>
              </w:rPr>
              <w:t>Exercise</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5445E"/>
                <w:w w:val="98"/>
              </w:rPr>
              <w:t>Vesting</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05445E"/>
                <w:w w:val="98"/>
              </w:rPr>
              <w:t>Vesting</w:t>
            </w:r>
          </w:p>
        </w:tc>
      </w:tr>
      <w:tr>
        <w:trPr>
          <w:trHeight w:val="266"/>
        </w:trPr>
        <w:tc>
          <w:tcPr>
            <w:tcW w:w="4080" w:type="dxa"/>
            <w:vAlign w:val="bottom"/>
            <w:tcBorders>
              <w:bottom w:val="single" w:sz="8" w:color="05445E"/>
            </w:tcBorders>
          </w:tcPr>
          <w:p>
            <w:pPr>
              <w:ind w:left="20"/>
              <w:spacing w:after="0"/>
              <w:rPr>
                <w:sz w:val="20"/>
                <w:szCs w:val="20"/>
                <w:color w:val="auto"/>
              </w:rPr>
            </w:pPr>
            <w:r>
              <w:rPr>
                <w:rFonts w:ascii="Arial" w:cs="Arial" w:eastAsia="Arial" w:hAnsi="Arial"/>
                <w:sz w:val="18"/>
                <w:szCs w:val="18"/>
                <w:b w:val="1"/>
                <w:bCs w:val="1"/>
                <w:color w:val="05445E"/>
              </w:rPr>
              <w:t>Name</w:t>
            </w:r>
          </w:p>
        </w:tc>
        <w:tc>
          <w:tcPr>
            <w:tcW w:w="100" w:type="dxa"/>
            <w:vAlign w:val="bottom"/>
            <w:tcBorders>
              <w:bottom w:val="single" w:sz="8" w:color="D9D9D9"/>
            </w:tcBorders>
          </w:tcPr>
          <w:p>
            <w:pPr>
              <w:spacing w:after="0"/>
              <w:rPr>
                <w:sz w:val="23"/>
                <w:szCs w:val="23"/>
                <w:color w:val="auto"/>
              </w:rPr>
            </w:pPr>
          </w:p>
        </w:tc>
        <w:tc>
          <w:tcPr>
            <w:tcW w:w="1680" w:type="dxa"/>
            <w:vAlign w:val="bottom"/>
            <w:tcBorders>
              <w:bottom w:val="single" w:sz="8" w:color="05445E"/>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100" w:type="dxa"/>
            <w:vAlign w:val="bottom"/>
            <w:tcBorders>
              <w:bottom w:val="single" w:sz="8" w:color="D9D9D9"/>
            </w:tcBorders>
          </w:tcPr>
          <w:p>
            <w:pPr>
              <w:spacing w:after="0"/>
              <w:rPr>
                <w:sz w:val="23"/>
                <w:szCs w:val="23"/>
                <w:color w:val="auto"/>
              </w:rPr>
            </w:pPr>
          </w:p>
        </w:tc>
        <w:tc>
          <w:tcPr>
            <w:tcW w:w="1680" w:type="dxa"/>
            <w:vAlign w:val="bottom"/>
            <w:tcBorders>
              <w:bottom w:val="single" w:sz="8" w:color="05445E"/>
            </w:tcBorders>
          </w:tcPr>
          <w:p>
            <w:pPr>
              <w:jc w:val="center"/>
              <w:spacing w:after="0"/>
              <w:rPr>
                <w:sz w:val="20"/>
                <w:szCs w:val="20"/>
                <w:color w:val="auto"/>
              </w:rPr>
            </w:pPr>
            <w:r>
              <w:rPr>
                <w:rFonts w:ascii="Arial" w:cs="Arial" w:eastAsia="Arial" w:hAnsi="Arial"/>
                <w:sz w:val="18"/>
                <w:szCs w:val="18"/>
                <w:b w:val="1"/>
                <w:bCs w:val="1"/>
                <w:color w:val="05445E"/>
                <w:w w:val="99"/>
              </w:rPr>
              <w:t>($)</w:t>
            </w:r>
          </w:p>
        </w:tc>
        <w:tc>
          <w:tcPr>
            <w:tcW w:w="100" w:type="dxa"/>
            <w:vAlign w:val="bottom"/>
            <w:tcBorders>
              <w:bottom w:val="single" w:sz="8" w:color="D9D9D9"/>
            </w:tcBorders>
          </w:tcPr>
          <w:p>
            <w:pPr>
              <w:spacing w:after="0"/>
              <w:rPr>
                <w:sz w:val="23"/>
                <w:szCs w:val="23"/>
                <w:color w:val="auto"/>
              </w:rPr>
            </w:pPr>
          </w:p>
        </w:tc>
        <w:tc>
          <w:tcPr>
            <w:tcW w:w="1700" w:type="dxa"/>
            <w:vAlign w:val="bottom"/>
            <w:tcBorders>
              <w:bottom w:val="single" w:sz="8" w:color="05445E"/>
            </w:tcBorders>
          </w:tcPr>
          <w:p>
            <w:pPr>
              <w:jc w:val="center"/>
              <w:ind w:right="550"/>
              <w:spacing w:after="0"/>
              <w:rPr>
                <w:sz w:val="20"/>
                <w:szCs w:val="20"/>
                <w:color w:val="auto"/>
              </w:rPr>
            </w:pPr>
            <w:r>
              <w:rPr>
                <w:rFonts w:ascii="Arial" w:cs="Arial" w:eastAsia="Arial" w:hAnsi="Arial"/>
                <w:sz w:val="18"/>
                <w:szCs w:val="18"/>
                <w:b w:val="1"/>
                <w:bCs w:val="1"/>
                <w:color w:val="05445E"/>
              </w:rPr>
              <w:t>(#)</w:t>
            </w:r>
            <w:r>
              <w:rPr>
                <w:rFonts w:ascii="Arial" w:cs="Arial" w:eastAsia="Arial" w:hAnsi="Arial"/>
                <w:sz w:val="23"/>
                <w:szCs w:val="23"/>
                <w:b w:val="1"/>
                <w:bCs w:val="1"/>
                <w:color w:val="05445E"/>
                <w:vertAlign w:val="superscript"/>
              </w:rPr>
              <w:t>(1)</w:t>
            </w:r>
          </w:p>
        </w:tc>
        <w:tc>
          <w:tcPr>
            <w:tcW w:w="100" w:type="dxa"/>
            <w:vAlign w:val="bottom"/>
            <w:tcBorders>
              <w:bottom w:val="single" w:sz="8" w:color="D9D9D9"/>
            </w:tcBorders>
          </w:tcPr>
          <w:p>
            <w:pPr>
              <w:spacing w:after="0"/>
              <w:rPr>
                <w:sz w:val="23"/>
                <w:szCs w:val="23"/>
                <w:color w:val="auto"/>
              </w:rPr>
            </w:pPr>
          </w:p>
        </w:tc>
        <w:tc>
          <w:tcPr>
            <w:tcW w:w="1700" w:type="dxa"/>
            <w:vAlign w:val="bottom"/>
            <w:tcBorders>
              <w:bottom w:val="single" w:sz="8" w:color="05445E"/>
            </w:tcBorders>
          </w:tcPr>
          <w:p>
            <w:pPr>
              <w:jc w:val="center"/>
              <w:spacing w:after="0"/>
              <w:rPr>
                <w:sz w:val="20"/>
                <w:szCs w:val="20"/>
                <w:color w:val="auto"/>
              </w:rPr>
            </w:pPr>
            <w:r>
              <w:rPr>
                <w:rFonts w:ascii="Arial" w:cs="Arial" w:eastAsia="Arial" w:hAnsi="Arial"/>
                <w:sz w:val="18"/>
                <w:szCs w:val="18"/>
                <w:b w:val="1"/>
                <w:bCs w:val="1"/>
                <w:color w:val="05445E"/>
                <w:w w:val="93"/>
              </w:rPr>
              <w:t>($)</w:t>
            </w:r>
            <w:r>
              <w:rPr>
                <w:rFonts w:ascii="Arial" w:cs="Arial" w:eastAsia="Arial" w:hAnsi="Arial"/>
                <w:sz w:val="23"/>
                <w:szCs w:val="23"/>
                <w:b w:val="1"/>
                <w:bCs w:val="1"/>
                <w:color w:val="05445E"/>
                <w:w w:val="93"/>
                <w:vertAlign w:val="superscript"/>
              </w:rPr>
              <w:t>(2)</w:t>
            </w:r>
          </w:p>
        </w:tc>
      </w:tr>
      <w:tr>
        <w:trPr>
          <w:trHeight w:val="243"/>
        </w:trPr>
        <w:tc>
          <w:tcPr>
            <w:tcW w:w="418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Ty R. Silberhorn</w:t>
            </w:r>
          </w:p>
        </w:tc>
        <w:tc>
          <w:tcPr>
            <w:tcW w:w="1780" w:type="dxa"/>
            <w:vAlign w:val="bottom"/>
            <w:tcBorders>
              <w:bottom w:val="single" w:sz="8" w:color="D9D9D9"/>
            </w:tcBorders>
            <w:gridSpan w:val="2"/>
            <w:shd w:val="clear" w:color="auto" w:fill="D9D9D9"/>
          </w:tcPr>
          <w:p>
            <w:pPr>
              <w:jc w:val="center"/>
              <w:ind w:right="8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D9D9D9"/>
            </w:tcBorders>
            <w:gridSpan w:val="2"/>
            <w:shd w:val="clear" w:color="auto" w:fill="D9D9D9"/>
          </w:tcPr>
          <w:p>
            <w:pPr>
              <w:jc w:val="center"/>
              <w:ind w:right="8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D9D9D9"/>
            </w:tcBorders>
            <w:shd w:val="clear" w:color="auto" w:fill="D9D9D9"/>
          </w:tcPr>
          <w:p>
            <w:pPr>
              <w:jc w:val="right"/>
              <w:ind w:right="250"/>
              <w:spacing w:after="0"/>
              <w:rPr>
                <w:sz w:val="20"/>
                <w:szCs w:val="20"/>
                <w:color w:val="auto"/>
              </w:rPr>
            </w:pPr>
            <w:r>
              <w:rPr>
                <w:rFonts w:ascii="Arial" w:cs="Arial" w:eastAsia="Arial" w:hAnsi="Arial"/>
                <w:sz w:val="18"/>
                <w:szCs w:val="18"/>
                <w:color w:val="auto"/>
              </w:rPr>
              <w:t>21,026</w:t>
            </w:r>
          </w:p>
        </w:tc>
        <w:tc>
          <w:tcPr>
            <w:tcW w:w="100" w:type="dxa"/>
            <w:vAlign w:val="bottom"/>
            <w:tcBorders>
              <w:bottom w:val="single" w:sz="8" w:color="D9D9D9"/>
            </w:tcBorders>
            <w:shd w:val="clear" w:color="auto" w:fill="D9D9D9"/>
          </w:tcPr>
          <w:p>
            <w:pPr>
              <w:spacing w:after="0"/>
              <w:rPr>
                <w:sz w:val="21"/>
                <w:szCs w:val="21"/>
                <w:color w:val="auto"/>
              </w:rPr>
            </w:pPr>
          </w:p>
        </w:tc>
        <w:tc>
          <w:tcPr>
            <w:tcW w:w="1700" w:type="dxa"/>
            <w:vAlign w:val="bottom"/>
            <w:tcBorders>
              <w:bottom w:val="single" w:sz="8" w:color="D9D9D9"/>
            </w:tcBorders>
            <w:shd w:val="clear" w:color="auto" w:fill="D9D9D9"/>
          </w:tcPr>
          <w:p>
            <w:pPr>
              <w:jc w:val="right"/>
              <w:ind w:right="250"/>
              <w:spacing w:after="0"/>
              <w:rPr>
                <w:sz w:val="20"/>
                <w:szCs w:val="20"/>
                <w:color w:val="auto"/>
              </w:rPr>
            </w:pPr>
            <w:r>
              <w:rPr>
                <w:rFonts w:ascii="Arial" w:cs="Arial" w:eastAsia="Arial" w:hAnsi="Arial"/>
                <w:sz w:val="18"/>
                <w:szCs w:val="18"/>
                <w:color w:val="auto"/>
              </w:rPr>
              <w:t>1,298,986</w:t>
            </w:r>
          </w:p>
        </w:tc>
      </w:tr>
      <w:tr>
        <w:trPr>
          <w:trHeight w:val="247"/>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Matthew J. Osberg</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7,930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491,057</w:t>
            </w:r>
          </w:p>
        </w:tc>
      </w:tr>
      <w:tr>
        <w:trPr>
          <w:trHeight w:val="23"/>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8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8"/>
                <w:szCs w:val="18"/>
                <w:color w:val="auto"/>
              </w:rPr>
              <w:t>Brent C. Jewell</w:t>
            </w:r>
          </w:p>
        </w:tc>
        <w:tc>
          <w:tcPr>
            <w:tcW w:w="1780" w:type="dxa"/>
            <w:vAlign w:val="bottom"/>
            <w:tcBorders>
              <w:bottom w:val="single" w:sz="8" w:color="D9D9D9"/>
            </w:tcBorders>
            <w:gridSpan w:val="2"/>
            <w:shd w:val="clear" w:color="auto" w:fill="D9D9D9"/>
          </w:tcPr>
          <w:p>
            <w:pPr>
              <w:jc w:val="center"/>
              <w:ind w:right="8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D9D9D9"/>
            </w:tcBorders>
            <w:gridSpan w:val="2"/>
            <w:shd w:val="clear" w:color="auto" w:fill="D9D9D9"/>
          </w:tcPr>
          <w:p>
            <w:pPr>
              <w:jc w:val="center"/>
              <w:ind w:right="8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D9D9D9"/>
            </w:tcBorders>
            <w:shd w:val="clear" w:color="auto" w:fill="D9D9D9"/>
          </w:tcPr>
          <w:p>
            <w:pPr>
              <w:jc w:val="right"/>
              <w:ind w:right="250"/>
              <w:spacing w:after="0"/>
              <w:rPr>
                <w:sz w:val="20"/>
                <w:szCs w:val="20"/>
                <w:color w:val="auto"/>
              </w:rPr>
            </w:pPr>
            <w:r>
              <w:rPr>
                <w:rFonts w:ascii="Arial" w:cs="Arial" w:eastAsia="Arial" w:hAnsi="Arial"/>
                <w:sz w:val="18"/>
                <w:szCs w:val="18"/>
                <w:color w:val="auto"/>
              </w:rPr>
              <w:t>7,780</w:t>
            </w:r>
          </w:p>
        </w:tc>
        <w:tc>
          <w:tcPr>
            <w:tcW w:w="100" w:type="dxa"/>
            <w:vAlign w:val="bottom"/>
            <w:tcBorders>
              <w:bottom w:val="single" w:sz="8" w:color="D9D9D9"/>
            </w:tcBorders>
            <w:shd w:val="clear" w:color="auto" w:fill="D9D9D9"/>
          </w:tcPr>
          <w:p>
            <w:pPr>
              <w:spacing w:after="0"/>
              <w:rPr>
                <w:sz w:val="21"/>
                <w:szCs w:val="21"/>
                <w:color w:val="auto"/>
              </w:rPr>
            </w:pPr>
          </w:p>
        </w:tc>
        <w:tc>
          <w:tcPr>
            <w:tcW w:w="1700" w:type="dxa"/>
            <w:vAlign w:val="bottom"/>
            <w:tcBorders>
              <w:bottom w:val="single" w:sz="8" w:color="D9D9D9"/>
            </w:tcBorders>
            <w:shd w:val="clear" w:color="auto" w:fill="D9D9D9"/>
          </w:tcPr>
          <w:p>
            <w:pPr>
              <w:jc w:val="right"/>
              <w:ind w:right="250"/>
              <w:spacing w:after="0"/>
              <w:rPr>
                <w:sz w:val="20"/>
                <w:szCs w:val="20"/>
                <w:color w:val="auto"/>
              </w:rPr>
            </w:pPr>
            <w:r>
              <w:rPr>
                <w:rFonts w:ascii="Arial" w:cs="Arial" w:eastAsia="Arial" w:hAnsi="Arial"/>
                <w:sz w:val="18"/>
                <w:szCs w:val="18"/>
                <w:color w:val="auto"/>
              </w:rPr>
              <w:t>499,425</w:t>
            </w:r>
          </w:p>
        </w:tc>
      </w:tr>
      <w:tr>
        <w:trPr>
          <w:trHeight w:val="247"/>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Troy R. Johnson</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6,224</w:t>
            </w:r>
          </w:p>
        </w:tc>
        <w:tc>
          <w:tcPr>
            <w:tcW w:w="100" w:type="dxa"/>
            <w:vAlign w:val="bottom"/>
          </w:tcPr>
          <w:p>
            <w:pPr>
              <w:spacing w:after="0"/>
              <w:rPr>
                <w:sz w:val="21"/>
                <w:szCs w:val="21"/>
                <w:color w:val="auto"/>
              </w:rPr>
            </w:pP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384,519</w:t>
            </w:r>
          </w:p>
        </w:tc>
      </w:tr>
      <w:tr>
        <w:trPr>
          <w:trHeight w:val="23"/>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7"/>
        </w:trPr>
        <w:tc>
          <w:tcPr>
            <w:tcW w:w="4180" w:type="dxa"/>
            <w:vAlign w:val="bottom"/>
            <w:gridSpan w:val="2"/>
            <w:shd w:val="clear" w:color="auto" w:fill="D9D9D9"/>
          </w:tcPr>
          <w:p>
            <w:pPr>
              <w:ind w:left="20"/>
              <w:spacing w:after="0"/>
              <w:rPr>
                <w:sz w:val="20"/>
                <w:szCs w:val="20"/>
                <w:color w:val="auto"/>
              </w:rPr>
            </w:pPr>
            <w:r>
              <w:rPr>
                <w:rFonts w:ascii="Arial" w:cs="Arial" w:eastAsia="Arial" w:hAnsi="Arial"/>
                <w:sz w:val="18"/>
                <w:szCs w:val="18"/>
                <w:color w:val="auto"/>
              </w:rPr>
              <w:t>Raelyn A. Trende</w:t>
            </w:r>
          </w:p>
        </w:tc>
        <w:tc>
          <w:tcPr>
            <w:tcW w:w="1780" w:type="dxa"/>
            <w:vAlign w:val="bottom"/>
            <w:gridSpan w:val="2"/>
            <w:shd w:val="clear" w:color="auto" w:fill="D9D9D9"/>
          </w:tcPr>
          <w:p>
            <w:pPr>
              <w:jc w:val="center"/>
              <w:ind w:right="8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D9D9D9"/>
          </w:tcPr>
          <w:p>
            <w:pPr>
              <w:jc w:val="center"/>
              <w:ind w:right="8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D9D9D9"/>
          </w:tcPr>
          <w:p>
            <w:pPr>
              <w:jc w:val="center"/>
              <w:ind w:right="10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99"/>
              </w:rPr>
              <w:t>—</w:t>
            </w:r>
          </w:p>
        </w:tc>
      </w:tr>
      <w:tr>
        <w:trPr>
          <w:trHeight w:val="23"/>
        </w:trPr>
        <w:tc>
          <w:tcPr>
            <w:tcW w:w="408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168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168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170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1700" w:type="dxa"/>
            <w:vAlign w:val="bottom"/>
            <w:shd w:val="clear" w:color="auto" w:fill="D9D9D9"/>
          </w:tcPr>
          <w:p>
            <w:pPr>
              <w:spacing w:after="0"/>
              <w:rPr>
                <w:sz w:val="2"/>
                <w:szCs w:val="2"/>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97" w:lineRule="exact"/>
        <w:rPr>
          <w:sz w:val="20"/>
          <w:szCs w:val="20"/>
          <w:color w:val="auto"/>
        </w:rPr>
      </w:pPr>
    </w:p>
    <w:p>
      <w:pPr>
        <w:ind w:left="480" w:hanging="472"/>
        <w:spacing w:after="0"/>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shares of restricted stock that vested and were distributed during fiscal 2025.</w:t>
      </w:r>
    </w:p>
    <w:p>
      <w:pPr>
        <w:spacing w:after="0" w:line="117" w:lineRule="exact"/>
        <w:rPr>
          <w:rFonts w:ascii="Arial" w:cs="Arial" w:eastAsia="Arial" w:hAnsi="Arial"/>
          <w:sz w:val="18"/>
          <w:szCs w:val="18"/>
          <w:color w:val="auto"/>
        </w:rPr>
      </w:pPr>
    </w:p>
    <w:p>
      <w:pPr>
        <w:ind w:left="500" w:hanging="492"/>
        <w:spacing w:after="0" w:line="287" w:lineRule="auto"/>
        <w:tabs>
          <w:tab w:leader="none" w:pos="4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value realized is calculated by multiplying the closing price of our common stock on the Nasdaq Global Select Market on the vesting date by the shares of restricted stock that became vested.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Potential Payments Upon Termination or Following a Change-in-Control</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Except as discussed below, if the employment of any of our Named Executive Officers is voluntarily or involuntarily terminated, no additional payments or benefits will accrue or be owed to them.</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Except as discussed below, or in connection with a change-in-control, a voluntary or involuntary termination will not trigger an acceleration of the vesting of any outstanding equity awards, subject to the Compensation Committee’s discretion to accelerate the awards.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Retirement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a Named Executive Officer retires, the Compensation Committee may exercise its discretion to accelerate the vesting of their restricted stock awards. In the event a Named Executive Officer retires prior to the end of a performance period for a performance award, the Named Executive Officer will be entitled to receive a pro-rata payment (based on the amount of time elapsed between the beginning of the performance period and the date of termination) after the end of the performance period based on the level of achievement of the performance metric. In the event a Named Executive Officer retires after the performance period, they will be entitled to receive, if not yet paid, the performance award. None of our Named Executive Officers were deemed retirement eligible as of the end of fiscal 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Payments Made Upon Termination Without Cause or For Good Reason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Mr. Silberhorn's appointment as Chief Executive Officer effective January 4, 2021, to replace forfeited compensation earned by him at his previous employer, he received restricted stock of the Company valued at $ 1,400,000, which vests in two installments over a five-year period, with the first installment of $500,000 vesting on January 4, 2023, and the second installment of $900,000 vesting on January 4, 2026 (the “Retention Grant Agreement”). If Mr. Silberhorn's employment is terminated within five years of the Commencement Date (as defined in the Retention Grant Agreement) by the Company without “Cause” (as defined in the Retention Grant Agreement) or by him for “Good Reason” (as defined in the Retention Grant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Agreement), Mr. Silberhorn shall be entitled to automatic acceleration of any unvested shares of the Retention Grant Agreement.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Made Upon Disability</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terms of the Apogee Enterprises, Inc. Short-Term and Long-Term Disability Plans, each of our Named Executive Officers who participates in such plans is eligible for a disability benefit. All Named Executive Officers are eligible for and have elected to participate in our enhanced Long-Term Disability Plan, and are eligible for a disability benefit that is equal to 100% of their monthly base salary during the first three months of disability and 60% of their monthly base salary up to a maximum of $15,000 per month thereafter.</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employment of any of our Named Executive Officers is terminated due to disability, the terms of our restricted stock agreements provide for the immediate vesting of such awards. In the event employment is terminated prior to the end of a performance period for a performance award, the Named Executive Officer will be entitled to receive a pro-rata payment (based on the amount of time elapsed between the beginning of the performance period and the date of termination) after the end of the performance period based on the level of achievement of the performance metric. In the event employment is terminated after the performance period, the Named Executive Officer will be entitled to receive, if not yet paid, the performance award.</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Mr. Silberhorn's employment is terminated because Mr. Silberhorn dies or becomes “Totally Disabled” (as defined in the Retention Grant Agreement), Mr. Silberhorn or his spouse or estate, as the case may be, shall be entitled to automatic acceleration of any unvested shares of the Retention Grant Agreement, which is discussed under "Payments Made Upon Termination Without Cause or For Good Reason."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Made Upon Death</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terms of our restricted stock agreements provide for the immediate vesting of such awards in the event of the Named Executive Officer’s death.</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event of death prior to the end of a performance period for a performance award, the Named Executive Officer’s estate will be entitled to receive a pro-rata payment (based on the amount of time elapsed between the beginning of the performance period and the date of death) after the end of the performance period based on the level of achievement of the performance metric. In the event of death after the performance period, the Named Executive Officer’s estate will be entitled to receive, if not yet paid, the performance award.</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the description of payments due to Mr. Silberhorn’s spouse or estate upon his death under the Retention Grant Agreement, as described in the foregoing section “Payments Made Upon Disability.”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Change-in-Control Severance Agreements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believes that offering a change-in-control program provides executive officers a degree of security in the event of a corporate transaction and allows for better alignment of executive officer and shareholder interests. We have entered into a change-in-control severance agreement (the “CIC Severance Agreement”) with each of our Named Executive Officers. Our CIC Severance Agreement is designed to retain our executive officers and provide for continuity of management in the event of an actual or threatened “Change-in-Control of Apogee” (as defined in the CIC Severance Agreement).</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CIC Severance Agreement contains a “double trigger” for benefits, which means that there must be both a “Change-in-Control of Apogee” and a qualifying termination of the executive’s employment for the provisions to apply. It provides that, in the event of a “Change-in-Control of Apogee,” each of our Named Executive Officers will have specific rights and receive specified benefits if the executive officer is terminated without “Cause” (as defined in the CIC Severance Agreement) or the executive officer voluntarily terminates their employment for “Good Reason” (as defined in the CIC Severance Agreement) within two-years after the “Change-in-Control of Apogee.” In these circumstances, our Named Executive Officers will each receive a severance payment equal to two times their annual base salary and annual cash incentive at target level performance for such fiscal year. For Messrs. Silberhorn, Osberg, Jewell, T. Johnson and Ms. Trende, our CIC Severance Agreement provides that, for a 24-month period following a “Change-in-Control of Apogee,” our Company will continue to provide medical and dental insurance coverage for the executive officer and the executive officer’s dependents or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5" w:name="page66"/>
    <w:bookmarkEnd w:id="65"/>
    <w:p>
      <w:pPr>
        <w:jc w:val="both"/>
        <w:spacing w:after="0" w:line="257" w:lineRule="auto"/>
        <w:rPr>
          <w:sz w:val="20"/>
          <w:szCs w:val="20"/>
          <w:color w:val="auto"/>
        </w:rPr>
      </w:pPr>
      <w:r>
        <w:rPr>
          <w:rFonts w:ascii="Arial" w:cs="Arial" w:eastAsia="Arial" w:hAnsi="Arial"/>
          <w:sz w:val="18"/>
          <w:szCs w:val="18"/>
          <w:color w:val="auto"/>
        </w:rPr>
        <w:t>reimburse the executive officer for the cost of obtaining substantially similar benefits. No benefits will be paid to the executive officer pursuant to the CIC Severance Agreement unless the executive officer executes and delivers to Apogee a release of claims. Subject to the double trigger described above, all shares of restricted stock that have not vested by the Employment Termination Date will vest. For performance awards, the performance period will end on the date of the "Change-in-Control of Apogee," and the award will be adjusted by the Compensation Committee in its sole discretion. If a "Change-in-Control of Apogee" occurs after the performance period, the Company will pay any unpaid amount earned during the performance period.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u w:val="single" w:color="auto"/>
          <w:color w:val="auto"/>
        </w:rPr>
        <w:t>We do not provide a tax gross-up payment for any excise tax liability under Internal Revenue Code Section 4999 related to Section 280G excess parachute payments</w:t>
      </w:r>
      <w:r>
        <w:rPr>
          <w:rFonts w:ascii="Arial" w:cs="Arial" w:eastAsia="Arial" w:hAnsi="Arial"/>
          <w:sz w:val="18"/>
          <w:szCs w:val="18"/>
          <w:color w:val="auto"/>
        </w:rPr>
        <w:t>.</w:t>
      </w:r>
    </w:p>
    <w:p>
      <w:pPr>
        <w:spacing w:after="0" w:line="15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CIC Severance Agreements contain a “best-net-benefit” provision which provides that, in the event that payments under the CIC Severance Agreements trigger excise tax for the Named Executive Officer, such officer has the option of either reducing the severance payment, if the net benefit is greater than paying the excise tax, or paying the excise tax themselves.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receive these severance benefits, the executive officer shall not: (1) solicit, directly or indirectly, any of our existing or prospective customers, vendors or suppliers for a purpose competitive to our business or to encourage such customers, vendors or suppliers to terminate business with us; (2) solicit, directly or indirectly, any of our employees to terminate their employment; or (3) engage in or carry on, directly or indirectly, in certain geographic markets a business competitive with our business, for a period of 12- or 24-months following termination of employment.</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CIC Severance Agreements continue through December 31 of each year and provide for automatic extension for one-year terms prior to a "Change-in-Control of Apogee" unless we give prior notice of termination.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Payments Upon Termination or Change-in-Control</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table below shows potential payments to our Named Executive Officers upon certain terminations pursuant to disability, death or a change-in-control of our Company, as well as potential payments to Mr. Silberhorn upon termination without “Cause” or for “Good Reason” (as defined in his Retention Grant Agreement). The table below assumes that disability, death or the termination of employment occurred, or the "Change-in-Control of Apogee" was effective as of February 28, 2025, the last trading day of fiscal 2025. The amounts shown are estimates of the amounts that would be paid to the Named Executive Officers upon termination of employment or the change-in-control, in addition to the base salary and bonus earned by our Named Executive Officers for fiscal 2025. The actual amounts to be paid can only be determined at the actual time of a Named Executive Officer’s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05445E"/>
              </w:rPr>
              <w:t>Payments</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05445E"/>
              </w:rPr>
              <w:t>Upon</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05445E"/>
              </w:rPr>
              <w:t>Disability</w:t>
            </w:r>
          </w:p>
        </w:tc>
        <w:tc>
          <w:tcPr>
            <w:tcW w:w="0" w:type="dxa"/>
            <w:vAlign w:val="bottom"/>
          </w:tcPr>
          <w:p>
            <w:pPr>
              <w:spacing w:after="0"/>
              <w:rPr>
                <w:sz w:val="1"/>
                <w:szCs w:val="1"/>
                <w:color w:val="auto"/>
              </w:rPr>
            </w:pPr>
          </w:p>
        </w:tc>
      </w:tr>
      <w:tr>
        <w:trPr>
          <w:trHeight w:val="240"/>
        </w:trPr>
        <w:tc>
          <w:tcPr>
            <w:tcW w:w="1660" w:type="dxa"/>
            <w:vAlign w:val="bottom"/>
          </w:tcPr>
          <w:p>
            <w:pPr>
              <w:ind w:left="620"/>
              <w:spacing w:after="0"/>
              <w:rPr>
                <w:sz w:val="20"/>
                <w:szCs w:val="20"/>
                <w:color w:val="auto"/>
              </w:rPr>
            </w:pPr>
            <w:r>
              <w:rPr>
                <w:rFonts w:ascii="Arial" w:cs="Arial" w:eastAsia="Arial" w:hAnsi="Arial"/>
                <w:sz w:val="16"/>
                <w:szCs w:val="16"/>
                <w:b w:val="1"/>
                <w:bCs w:val="1"/>
                <w:color w:val="05445E"/>
              </w:rPr>
              <w:t>Name</w:t>
            </w:r>
          </w:p>
        </w:tc>
        <w:tc>
          <w:tcPr>
            <w:tcW w:w="80" w:type="dxa"/>
            <w:vAlign w:val="bottom"/>
          </w:tcPr>
          <w:p>
            <w:pPr>
              <w:spacing w:after="0"/>
              <w:rPr>
                <w:sz w:val="20"/>
                <w:szCs w:val="20"/>
                <w:color w:val="auto"/>
              </w:rPr>
            </w:pPr>
          </w:p>
        </w:tc>
        <w:tc>
          <w:tcPr>
            <w:tcW w:w="2300" w:type="dxa"/>
            <w:vAlign w:val="bottom"/>
          </w:tcPr>
          <w:p>
            <w:pPr>
              <w:ind w:left="520"/>
              <w:spacing w:after="0"/>
              <w:rPr>
                <w:sz w:val="20"/>
                <w:szCs w:val="20"/>
                <w:color w:val="auto"/>
              </w:rPr>
            </w:pPr>
            <w:r>
              <w:rPr>
                <w:rFonts w:ascii="Arial" w:cs="Arial" w:eastAsia="Arial" w:hAnsi="Arial"/>
                <w:sz w:val="16"/>
                <w:szCs w:val="16"/>
                <w:b w:val="1"/>
                <w:bCs w:val="1"/>
                <w:color w:val="05445E"/>
              </w:rPr>
              <w:t>Type of Payment</w:t>
            </w:r>
          </w:p>
        </w:tc>
        <w:tc>
          <w:tcPr>
            <w:tcW w:w="1580" w:type="dxa"/>
            <w:vAlign w:val="bottom"/>
            <w:gridSpan w:val="2"/>
          </w:tcPr>
          <w:p>
            <w:pPr>
              <w:jc w:val="center"/>
              <w:ind w:left="27"/>
              <w:spacing w:after="0"/>
              <w:rPr>
                <w:sz w:val="20"/>
                <w:szCs w:val="20"/>
                <w:color w:val="auto"/>
              </w:rPr>
            </w:pPr>
            <w:r>
              <w:rPr>
                <w:rFonts w:ascii="Arial" w:cs="Arial" w:eastAsia="Arial" w:hAnsi="Arial"/>
                <w:sz w:val="16"/>
                <w:szCs w:val="16"/>
                <w:b w:val="1"/>
                <w:bCs w:val="1"/>
                <w:color w:val="05445E"/>
              </w:rPr>
              <w:t>($)</w:t>
            </w:r>
          </w:p>
        </w:tc>
        <w:tc>
          <w:tcPr>
            <w:tcW w:w="0" w:type="dxa"/>
            <w:vAlign w:val="bottom"/>
          </w:tcPr>
          <w:p>
            <w:pPr>
              <w:spacing w:after="0"/>
              <w:rPr>
                <w:sz w:val="1"/>
                <w:szCs w:val="1"/>
                <w:color w:val="auto"/>
              </w:rPr>
            </w:pPr>
          </w:p>
        </w:tc>
      </w:tr>
      <w:tr>
        <w:trPr>
          <w:trHeight w:val="205"/>
        </w:trPr>
        <w:tc>
          <w:tcPr>
            <w:tcW w:w="1660" w:type="dxa"/>
            <w:vAlign w:val="bottom"/>
            <w:tcBorders>
              <w:top w:val="single" w:sz="8" w:color="05445E"/>
            </w:tcBorders>
            <w:shd w:val="clear" w:color="auto" w:fill="DBDBDB"/>
          </w:tcPr>
          <w:p>
            <w:pPr>
              <w:ind w:left="20"/>
              <w:spacing w:after="0"/>
              <w:rPr>
                <w:sz w:val="20"/>
                <w:szCs w:val="20"/>
                <w:color w:val="auto"/>
              </w:rPr>
            </w:pPr>
            <w:r>
              <w:rPr>
                <w:rFonts w:ascii="Arial" w:cs="Arial" w:eastAsia="Arial" w:hAnsi="Arial"/>
                <w:sz w:val="14"/>
                <w:szCs w:val="14"/>
                <w:color w:val="auto"/>
              </w:rPr>
              <w:t>Ty R.</w:t>
            </w:r>
          </w:p>
        </w:tc>
        <w:tc>
          <w:tcPr>
            <w:tcW w:w="80" w:type="dxa"/>
            <w:vAlign w:val="bottom"/>
          </w:tcPr>
          <w:p>
            <w:pPr>
              <w:spacing w:after="0"/>
              <w:rPr>
                <w:sz w:val="17"/>
                <w:szCs w:val="17"/>
                <w:color w:val="auto"/>
              </w:rPr>
            </w:pPr>
          </w:p>
        </w:tc>
        <w:tc>
          <w:tcPr>
            <w:tcW w:w="2300" w:type="dxa"/>
            <w:vAlign w:val="bottom"/>
            <w:tcBorders>
              <w:top w:val="single" w:sz="8" w:color="05445E"/>
            </w:tcBorders>
          </w:tcPr>
          <w:p>
            <w:pPr>
              <w:ind w:left="20"/>
              <w:spacing w:after="0"/>
              <w:rPr>
                <w:sz w:val="20"/>
                <w:szCs w:val="20"/>
                <w:color w:val="auto"/>
              </w:rPr>
            </w:pPr>
            <w:r>
              <w:rPr>
                <w:rFonts w:ascii="Arial" w:cs="Arial" w:eastAsia="Arial" w:hAnsi="Arial"/>
                <w:sz w:val="14"/>
                <w:szCs w:val="14"/>
                <w:color w:val="auto"/>
              </w:rPr>
              <w:t>Cash Severance Payment</w:t>
            </w:r>
          </w:p>
        </w:tc>
        <w:tc>
          <w:tcPr>
            <w:tcW w:w="100" w:type="dxa"/>
            <w:vAlign w:val="bottom"/>
          </w:tcPr>
          <w:p>
            <w:pPr>
              <w:spacing w:after="0"/>
              <w:rPr>
                <w:sz w:val="17"/>
                <w:szCs w:val="17"/>
                <w:color w:val="auto"/>
              </w:rPr>
            </w:pPr>
          </w:p>
        </w:tc>
        <w:tc>
          <w:tcPr>
            <w:tcW w:w="1480" w:type="dxa"/>
            <w:vAlign w:val="bottom"/>
            <w:tcBorders>
              <w:top w:val="single" w:sz="8" w:color="05445E"/>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
        </w:trPr>
        <w:tc>
          <w:tcPr>
            <w:tcW w:w="166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Silberhorn</w:t>
            </w:r>
          </w:p>
        </w:tc>
        <w:tc>
          <w:tcPr>
            <w:tcW w:w="80" w:type="dxa"/>
            <w:vAlign w:val="bottom"/>
          </w:tcPr>
          <w:p>
            <w:pPr>
              <w:spacing w:after="0" w:line="20" w:lineRule="exact"/>
              <w:rPr>
                <w:sz w:val="1"/>
                <w:szCs w:val="1"/>
                <w:color w:val="auto"/>
              </w:rPr>
            </w:pPr>
          </w:p>
        </w:tc>
        <w:tc>
          <w:tcPr>
            <w:tcW w:w="2300" w:type="dxa"/>
            <w:vAlign w:val="bottom"/>
            <w:vMerge w:val="restart"/>
          </w:tcPr>
          <w:p>
            <w:pPr>
              <w:ind w:left="20"/>
              <w:spacing w:after="0"/>
              <w:rPr>
                <w:sz w:val="20"/>
                <w:szCs w:val="20"/>
                <w:color w:val="auto"/>
              </w:rPr>
            </w:pPr>
            <w:r>
              <w:rPr>
                <w:rFonts w:ascii="Arial" w:cs="Arial" w:eastAsia="Arial" w:hAnsi="Arial"/>
                <w:sz w:val="14"/>
                <w:szCs w:val="14"/>
                <w:color w:val="auto"/>
              </w:rPr>
              <w:t>Health Insurance Benefits</w:t>
            </w:r>
          </w:p>
        </w:tc>
        <w:tc>
          <w:tcPr>
            <w:tcW w:w="100" w:type="dxa"/>
            <w:vAlign w:val="bottom"/>
          </w:tcPr>
          <w:p>
            <w:pPr>
              <w:spacing w:after="0" w:line="20" w:lineRule="exact"/>
              <w:rPr>
                <w:sz w:val="1"/>
                <w:szCs w:val="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line="20" w:lineRule="exact"/>
              <w:rPr>
                <w:sz w:val="1"/>
                <w:szCs w:val="1"/>
                <w:color w:val="auto"/>
              </w:rPr>
            </w:pPr>
          </w:p>
        </w:tc>
      </w:tr>
      <w:tr>
        <w:trPr>
          <w:trHeight w:val="208"/>
        </w:trPr>
        <w:tc>
          <w:tcPr>
            <w:tcW w:w="166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66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6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30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Reimbursement of Legal Costs</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
        </w:trPr>
        <w:tc>
          <w:tcPr>
            <w:tcW w:w="166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30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Acceleration of Vesting</w:t>
            </w: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6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30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66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30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6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300" w:type="dxa"/>
            <w:vAlign w:val="bottom"/>
            <w:shd w:val="clear" w:color="auto" w:fill="DBDBDB"/>
          </w:tcPr>
          <w:p>
            <w:pPr>
              <w:ind w:left="280"/>
              <w:spacing w:after="0"/>
              <w:rPr>
                <w:sz w:val="20"/>
                <w:szCs w:val="20"/>
                <w:color w:val="auto"/>
              </w:rPr>
            </w:pPr>
            <w:r>
              <w:rPr>
                <w:rFonts w:ascii="Arial" w:cs="Arial" w:eastAsia="Arial" w:hAnsi="Arial"/>
                <w:sz w:val="14"/>
                <w:szCs w:val="14"/>
                <w:color w:val="auto"/>
              </w:rPr>
              <w:t>Restricted Stock</w:t>
            </w:r>
          </w:p>
        </w:tc>
        <w:tc>
          <w:tcPr>
            <w:tcW w:w="10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167"/>
              <w:spacing w:after="0"/>
              <w:rPr>
                <w:sz w:val="20"/>
                <w:szCs w:val="20"/>
                <w:color w:val="auto"/>
              </w:rPr>
            </w:pPr>
            <w:r>
              <w:rPr>
                <w:rFonts w:ascii="Arial" w:cs="Arial" w:eastAsia="Arial" w:hAnsi="Arial"/>
                <w:sz w:val="14"/>
                <w:szCs w:val="14"/>
                <w:color w:val="auto"/>
              </w:rPr>
              <w:t>3,335,186</w:t>
            </w:r>
          </w:p>
        </w:tc>
        <w:tc>
          <w:tcPr>
            <w:tcW w:w="0" w:type="dxa"/>
            <w:vAlign w:val="bottom"/>
          </w:tcPr>
          <w:p>
            <w:pPr>
              <w:spacing w:after="0"/>
              <w:rPr>
                <w:sz w:val="1"/>
                <w:szCs w:val="1"/>
                <w:color w:val="auto"/>
              </w:rPr>
            </w:pPr>
          </w:p>
        </w:tc>
      </w:tr>
      <w:tr>
        <w:trPr>
          <w:trHeight w:val="230"/>
        </w:trPr>
        <w:tc>
          <w:tcPr>
            <w:tcW w:w="16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300" w:type="dxa"/>
            <w:vAlign w:val="bottom"/>
            <w:shd w:val="clear" w:color="auto" w:fill="DBDBDB"/>
          </w:tcPr>
          <w:p>
            <w:pPr>
              <w:ind w:left="280"/>
              <w:spacing w:after="0"/>
              <w:rPr>
                <w:sz w:val="20"/>
                <w:szCs w:val="20"/>
                <w:color w:val="auto"/>
              </w:rPr>
            </w:pPr>
            <w:r>
              <w:rPr>
                <w:rFonts w:ascii="Arial" w:cs="Arial" w:eastAsia="Arial" w:hAnsi="Arial"/>
                <w:sz w:val="14"/>
                <w:szCs w:val="14"/>
                <w:color w:val="auto"/>
              </w:rPr>
              <w:t>Performance Awards</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6"/>
        </w:trPr>
        <w:tc>
          <w:tcPr>
            <w:tcW w:w="166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Disability Payments</w:t>
            </w:r>
          </w:p>
        </w:tc>
        <w:tc>
          <w:tcPr>
            <w:tcW w:w="100" w:type="dxa"/>
            <w:vAlign w:val="bottom"/>
            <w:tcBorders>
              <w:bottom w:val="single" w:sz="8" w:color="DBDBDB"/>
            </w:tcBorders>
            <w:shd w:val="clear" w:color="auto" w:fill="DBDBDB"/>
          </w:tcPr>
          <w:p>
            <w:pPr>
              <w:spacing w:after="0"/>
              <w:rPr>
                <w:sz w:val="21"/>
                <w:szCs w:val="21"/>
                <w:color w:val="auto"/>
              </w:rPr>
            </w:pPr>
          </w:p>
        </w:tc>
        <w:tc>
          <w:tcPr>
            <w:tcW w:w="1480" w:type="dxa"/>
            <w:vAlign w:val="bottom"/>
            <w:tcBorders>
              <w:bottom w:val="single" w:sz="8" w:color="DBDBDB"/>
            </w:tcBorders>
            <w:shd w:val="clear" w:color="auto" w:fill="DBDBDB"/>
          </w:tcPr>
          <w:p>
            <w:pPr>
              <w:jc w:val="right"/>
              <w:ind w:right="167"/>
              <w:spacing w:after="0"/>
              <w:rPr>
                <w:sz w:val="20"/>
                <w:szCs w:val="20"/>
                <w:color w:val="auto"/>
              </w:rPr>
            </w:pPr>
            <w:r>
              <w:rPr>
                <w:rFonts w:ascii="Arial" w:cs="Arial" w:eastAsia="Arial" w:hAnsi="Arial"/>
                <w:sz w:val="14"/>
                <w:szCs w:val="14"/>
                <w:color w:val="auto"/>
              </w:rPr>
              <w:t>368,001</w:t>
            </w:r>
          </w:p>
        </w:tc>
        <w:tc>
          <w:tcPr>
            <w:tcW w:w="0" w:type="dxa"/>
            <w:vAlign w:val="bottom"/>
          </w:tcPr>
          <w:p>
            <w:pPr>
              <w:spacing w:after="0"/>
              <w:rPr>
                <w:sz w:val="1"/>
                <w:szCs w:val="1"/>
                <w:color w:val="auto"/>
              </w:rPr>
            </w:pPr>
          </w:p>
        </w:tc>
      </w:tr>
      <w:tr>
        <w:trPr>
          <w:trHeight w:val="221"/>
        </w:trPr>
        <w:tc>
          <w:tcPr>
            <w:tcW w:w="1660" w:type="dxa"/>
            <w:vAlign w:val="bottom"/>
            <w:tcBorders>
              <w:top w:val="single" w:sz="8" w:color="DBDBDB"/>
              <w:bottom w:val="single" w:sz="8" w:color="DBDBDB"/>
            </w:tcBorders>
            <w:shd w:val="clear" w:color="auto" w:fill="DBDBDB"/>
          </w:tcPr>
          <w:p>
            <w:pPr>
              <w:spacing w:after="0"/>
              <w:rPr>
                <w:sz w:val="18"/>
                <w:szCs w:val="18"/>
                <w:color w:val="auto"/>
              </w:rPr>
            </w:pPr>
          </w:p>
        </w:tc>
        <w:tc>
          <w:tcPr>
            <w:tcW w:w="80" w:type="dxa"/>
            <w:vAlign w:val="bottom"/>
            <w:tcBorders>
              <w:top w:val="single" w:sz="8" w:color="DBDBDB"/>
              <w:bottom w:val="single" w:sz="8" w:color="DBDBDB"/>
            </w:tcBorders>
            <w:shd w:val="clear" w:color="auto" w:fill="DBDBDB"/>
          </w:tcPr>
          <w:p>
            <w:pPr>
              <w:spacing w:after="0"/>
              <w:rPr>
                <w:sz w:val="18"/>
                <w:szCs w:val="18"/>
                <w:color w:val="auto"/>
              </w:rPr>
            </w:pPr>
          </w:p>
        </w:tc>
        <w:tc>
          <w:tcPr>
            <w:tcW w:w="2300" w:type="dxa"/>
            <w:vAlign w:val="bottom"/>
            <w:tcBorders>
              <w:top w:val="single" w:sz="8" w:color="DBDBDB"/>
              <w:bottom w:val="single" w:sz="8" w:color="DBDBDB"/>
            </w:tcBorders>
            <w:shd w:val="clear" w:color="auto" w:fill="DBDBDB"/>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480" w:type="dxa"/>
            <w:vAlign w:val="bottom"/>
            <w:tcBorders>
              <w:top w:val="single" w:sz="8" w:color="auto"/>
              <w:bottom w:val="single" w:sz="8" w:color="auto"/>
            </w:tcBorders>
            <w:shd w:val="clear" w:color="auto" w:fill="DBDBDB"/>
          </w:tcPr>
          <w:p>
            <w:pPr>
              <w:jc w:val="right"/>
              <w:ind w:right="167"/>
              <w:spacing w:after="0"/>
              <w:rPr>
                <w:sz w:val="20"/>
                <w:szCs w:val="20"/>
                <w:color w:val="auto"/>
              </w:rPr>
            </w:pPr>
            <w:r>
              <w:rPr>
                <w:rFonts w:ascii="Arial" w:cs="Arial" w:eastAsia="Arial" w:hAnsi="Arial"/>
                <w:sz w:val="14"/>
                <w:szCs w:val="14"/>
                <w:color w:val="auto"/>
              </w:rPr>
              <w:t>3,703,187</w:t>
            </w:r>
          </w:p>
        </w:tc>
        <w:tc>
          <w:tcPr>
            <w:tcW w:w="0" w:type="dxa"/>
            <w:vAlign w:val="bottom"/>
          </w:tcPr>
          <w:p>
            <w:pPr>
              <w:spacing w:after="0"/>
              <w:rPr>
                <w:sz w:val="1"/>
                <w:szCs w:val="1"/>
                <w:color w:val="auto"/>
              </w:rPr>
            </w:pPr>
          </w:p>
        </w:tc>
      </w:tr>
      <w:tr>
        <w:trPr>
          <w:trHeight w:val="20"/>
        </w:trPr>
        <w:tc>
          <w:tcPr>
            <w:tcW w:w="166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4"/>
                <w:szCs w:val="14"/>
                <w:color w:val="auto"/>
              </w:rPr>
              <w:t>Matthew J.</w:t>
            </w:r>
          </w:p>
        </w:tc>
        <w:tc>
          <w:tcPr>
            <w:tcW w:w="80" w:type="dxa"/>
            <w:vAlign w:val="bottom"/>
            <w:tcBorders>
              <w:top w:val="single" w:sz="8" w:color="DBDBDB"/>
            </w:tcBorders>
          </w:tcPr>
          <w:p>
            <w:pPr>
              <w:spacing w:after="0" w:line="20" w:lineRule="exact"/>
              <w:rPr>
                <w:sz w:val="1"/>
                <w:szCs w:val="1"/>
                <w:color w:val="auto"/>
              </w:rPr>
            </w:pPr>
          </w:p>
        </w:tc>
        <w:tc>
          <w:tcPr>
            <w:tcW w:w="230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4"/>
                <w:szCs w:val="14"/>
                <w:color w:val="auto"/>
              </w:rPr>
              <w:t>Cash Severance Payment</w:t>
            </w:r>
          </w:p>
        </w:tc>
        <w:tc>
          <w:tcPr>
            <w:tcW w:w="1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0"/>
        </w:trPr>
        <w:tc>
          <w:tcPr>
            <w:tcW w:w="1660" w:type="dxa"/>
            <w:vAlign w:val="bottom"/>
          </w:tcPr>
          <w:p>
            <w:pPr>
              <w:ind w:left="20"/>
              <w:spacing w:after="0"/>
              <w:rPr>
                <w:sz w:val="20"/>
                <w:szCs w:val="20"/>
                <w:color w:val="auto"/>
              </w:rPr>
            </w:pPr>
            <w:r>
              <w:rPr>
                <w:rFonts w:ascii="Arial" w:cs="Arial" w:eastAsia="Arial" w:hAnsi="Arial"/>
                <w:sz w:val="14"/>
                <w:szCs w:val="14"/>
                <w:color w:val="auto"/>
              </w:rPr>
              <w:t>Osberg</w:t>
            </w:r>
          </w:p>
        </w:tc>
        <w:tc>
          <w:tcPr>
            <w:tcW w:w="8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Health Insurance Benefits</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Reimbursement of Legal Costs</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Acceleration of Vesting</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tcPr>
          <w:p>
            <w:pPr>
              <w:ind w:left="280"/>
              <w:spacing w:after="0"/>
              <w:rPr>
                <w:sz w:val="20"/>
                <w:szCs w:val="20"/>
                <w:color w:val="auto"/>
              </w:rPr>
            </w:pPr>
            <w:r>
              <w:rPr>
                <w:rFonts w:ascii="Arial" w:cs="Arial" w:eastAsia="Arial" w:hAnsi="Arial"/>
                <w:sz w:val="14"/>
                <w:szCs w:val="14"/>
                <w:color w:val="auto"/>
              </w:rPr>
              <w:t>Restricted Stock</w:t>
            </w:r>
          </w:p>
        </w:tc>
        <w:tc>
          <w:tcPr>
            <w:tcW w:w="1580" w:type="dxa"/>
            <w:vAlign w:val="bottom"/>
            <w:gridSpan w:val="2"/>
          </w:tcPr>
          <w:p>
            <w:pPr>
              <w:jc w:val="right"/>
              <w:ind w:right="167"/>
              <w:spacing w:after="0"/>
              <w:rPr>
                <w:sz w:val="20"/>
                <w:szCs w:val="20"/>
                <w:color w:val="auto"/>
              </w:rPr>
            </w:pPr>
            <w:r>
              <w:rPr>
                <w:rFonts w:ascii="Arial" w:cs="Arial" w:eastAsia="Arial" w:hAnsi="Arial"/>
                <w:sz w:val="14"/>
                <w:szCs w:val="14"/>
                <w:color w:val="auto"/>
              </w:rPr>
              <w:t>1,199,363</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tcPr>
          <w:p>
            <w:pPr>
              <w:ind w:left="280"/>
              <w:spacing w:after="0"/>
              <w:rPr>
                <w:sz w:val="20"/>
                <w:szCs w:val="20"/>
                <w:color w:val="auto"/>
              </w:rPr>
            </w:pPr>
            <w:r>
              <w:rPr>
                <w:rFonts w:ascii="Arial" w:cs="Arial" w:eastAsia="Arial" w:hAnsi="Arial"/>
                <w:sz w:val="14"/>
                <w:szCs w:val="14"/>
                <w:color w:val="auto"/>
              </w:rPr>
              <w:t>Performance Awards</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Disability Payments</w:t>
            </w:r>
          </w:p>
        </w:tc>
        <w:tc>
          <w:tcPr>
            <w:tcW w:w="1580" w:type="dxa"/>
            <w:vAlign w:val="bottom"/>
            <w:gridSpan w:val="2"/>
          </w:tcPr>
          <w:p>
            <w:pPr>
              <w:jc w:val="right"/>
              <w:ind w:right="167"/>
              <w:spacing w:after="0"/>
              <w:rPr>
                <w:sz w:val="20"/>
                <w:szCs w:val="20"/>
                <w:color w:val="auto"/>
              </w:rPr>
            </w:pPr>
            <w:r>
              <w:rPr>
                <w:rFonts w:ascii="Arial" w:cs="Arial" w:eastAsia="Arial" w:hAnsi="Arial"/>
                <w:sz w:val="14"/>
                <w:szCs w:val="14"/>
                <w:color w:val="auto"/>
              </w:rPr>
              <w:t>296,499</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vMerge w:val="restart"/>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vMerge w:val="continue"/>
          </w:tcPr>
          <w:p>
            <w:pPr>
              <w:spacing w:after="0"/>
              <w:rPr>
                <w:sz w:val="17"/>
                <w:szCs w:val="17"/>
                <w:color w:val="auto"/>
              </w:rPr>
            </w:pPr>
          </w:p>
        </w:tc>
        <w:tc>
          <w:tcPr>
            <w:tcW w:w="1580" w:type="dxa"/>
            <w:vAlign w:val="bottom"/>
            <w:gridSpan w:val="2"/>
          </w:tcPr>
          <w:p>
            <w:pPr>
              <w:jc w:val="right"/>
              <w:ind w:right="167"/>
              <w:spacing w:after="0"/>
              <w:rPr>
                <w:sz w:val="20"/>
                <w:szCs w:val="20"/>
                <w:color w:val="auto"/>
              </w:rPr>
            </w:pPr>
            <w:r>
              <w:rPr>
                <w:rFonts w:ascii="Arial" w:cs="Arial" w:eastAsia="Arial" w:hAnsi="Arial"/>
                <w:sz w:val="14"/>
                <w:szCs w:val="14"/>
                <w:color w:val="auto"/>
              </w:rPr>
              <w:t>1,495,862</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660" w:type="dxa"/>
            <w:vAlign w:val="bottom"/>
            <w:tcBorders>
              <w:bottom w:val="single" w:sz="8" w:color="DBDBDB"/>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660" w:type="dxa"/>
            <w:vAlign w:val="bottom"/>
            <w:shd w:val="clear" w:color="auto" w:fill="DBDBDB"/>
          </w:tcPr>
          <w:p>
            <w:pPr>
              <w:ind w:left="20"/>
              <w:spacing w:after="0"/>
              <w:rPr>
                <w:sz w:val="20"/>
                <w:szCs w:val="20"/>
                <w:color w:val="auto"/>
              </w:rPr>
            </w:pPr>
            <w:r>
              <w:rPr>
                <w:rFonts w:ascii="Arial" w:cs="Arial" w:eastAsia="Arial" w:hAnsi="Arial"/>
                <w:sz w:val="14"/>
                <w:szCs w:val="14"/>
                <w:color w:val="auto"/>
              </w:rPr>
              <w:t>Brent C.</w:t>
            </w:r>
          </w:p>
        </w:tc>
        <w:tc>
          <w:tcPr>
            <w:tcW w:w="80" w:type="dxa"/>
            <w:vAlign w:val="bottom"/>
          </w:tcPr>
          <w:p>
            <w:pPr>
              <w:spacing w:after="0"/>
              <w:rPr>
                <w:sz w:val="17"/>
                <w:szCs w:val="17"/>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Cash Severance Payment</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
        </w:trPr>
        <w:tc>
          <w:tcPr>
            <w:tcW w:w="166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Jewell</w:t>
            </w:r>
          </w:p>
        </w:tc>
        <w:tc>
          <w:tcPr>
            <w:tcW w:w="80" w:type="dxa"/>
            <w:vAlign w:val="bottom"/>
          </w:tcPr>
          <w:p>
            <w:pPr>
              <w:spacing w:after="0" w:line="20" w:lineRule="exact"/>
              <w:rPr>
                <w:sz w:val="1"/>
                <w:szCs w:val="1"/>
                <w:color w:val="auto"/>
              </w:rPr>
            </w:pPr>
          </w:p>
        </w:tc>
        <w:tc>
          <w:tcPr>
            <w:tcW w:w="2300" w:type="dxa"/>
            <w:vAlign w:val="bottom"/>
            <w:vMerge w:val="restart"/>
          </w:tcPr>
          <w:p>
            <w:pPr>
              <w:ind w:left="20"/>
              <w:spacing w:after="0"/>
              <w:rPr>
                <w:sz w:val="20"/>
                <w:szCs w:val="20"/>
                <w:color w:val="auto"/>
              </w:rPr>
            </w:pPr>
            <w:r>
              <w:rPr>
                <w:rFonts w:ascii="Arial" w:cs="Arial" w:eastAsia="Arial" w:hAnsi="Arial"/>
                <w:sz w:val="14"/>
                <w:szCs w:val="14"/>
                <w:color w:val="auto"/>
              </w:rPr>
              <w:t>Health Insurance Benefits</w:t>
            </w:r>
          </w:p>
        </w:tc>
        <w:tc>
          <w:tcPr>
            <w:tcW w:w="100" w:type="dxa"/>
            <w:vAlign w:val="bottom"/>
          </w:tcPr>
          <w:p>
            <w:pPr>
              <w:spacing w:after="0" w:line="20" w:lineRule="exact"/>
              <w:rPr>
                <w:sz w:val="1"/>
                <w:szCs w:val="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line="20" w:lineRule="exact"/>
              <w:rPr>
                <w:sz w:val="1"/>
                <w:szCs w:val="1"/>
                <w:color w:val="auto"/>
              </w:rPr>
            </w:pPr>
          </w:p>
        </w:tc>
      </w:tr>
      <w:tr>
        <w:trPr>
          <w:trHeight w:val="208"/>
        </w:trPr>
        <w:tc>
          <w:tcPr>
            <w:tcW w:w="166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66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6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30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Reimbursement of Legal Costs</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
        </w:trPr>
        <w:tc>
          <w:tcPr>
            <w:tcW w:w="166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30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Acceleration of Vesting</w:t>
            </w: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6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30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66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30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6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300" w:type="dxa"/>
            <w:vAlign w:val="bottom"/>
            <w:shd w:val="clear" w:color="auto" w:fill="DBDBDB"/>
          </w:tcPr>
          <w:p>
            <w:pPr>
              <w:ind w:left="280"/>
              <w:spacing w:after="0"/>
              <w:rPr>
                <w:sz w:val="20"/>
                <w:szCs w:val="20"/>
                <w:color w:val="auto"/>
              </w:rPr>
            </w:pPr>
            <w:r>
              <w:rPr>
                <w:rFonts w:ascii="Arial" w:cs="Arial" w:eastAsia="Arial" w:hAnsi="Arial"/>
                <w:sz w:val="14"/>
                <w:szCs w:val="14"/>
                <w:color w:val="auto"/>
              </w:rPr>
              <w:t>Restricted Stock</w:t>
            </w:r>
          </w:p>
        </w:tc>
        <w:tc>
          <w:tcPr>
            <w:tcW w:w="10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167"/>
              <w:spacing w:after="0"/>
              <w:rPr>
                <w:sz w:val="20"/>
                <w:szCs w:val="20"/>
                <w:color w:val="auto"/>
              </w:rPr>
            </w:pPr>
            <w:r>
              <w:rPr>
                <w:rFonts w:ascii="Arial" w:cs="Arial" w:eastAsia="Arial" w:hAnsi="Arial"/>
                <w:sz w:val="14"/>
                <w:szCs w:val="14"/>
                <w:color w:val="auto"/>
              </w:rPr>
              <w:t>549,201</w:t>
            </w:r>
          </w:p>
        </w:tc>
        <w:tc>
          <w:tcPr>
            <w:tcW w:w="0" w:type="dxa"/>
            <w:vAlign w:val="bottom"/>
          </w:tcPr>
          <w:p>
            <w:pPr>
              <w:spacing w:after="0"/>
              <w:rPr>
                <w:sz w:val="1"/>
                <w:szCs w:val="1"/>
                <w:color w:val="auto"/>
              </w:rPr>
            </w:pPr>
          </w:p>
        </w:tc>
      </w:tr>
      <w:tr>
        <w:trPr>
          <w:trHeight w:val="230"/>
        </w:trPr>
        <w:tc>
          <w:tcPr>
            <w:tcW w:w="16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300" w:type="dxa"/>
            <w:vAlign w:val="bottom"/>
            <w:shd w:val="clear" w:color="auto" w:fill="DBDBDB"/>
          </w:tcPr>
          <w:p>
            <w:pPr>
              <w:ind w:left="280"/>
              <w:spacing w:after="0"/>
              <w:rPr>
                <w:sz w:val="20"/>
                <w:szCs w:val="20"/>
                <w:color w:val="auto"/>
              </w:rPr>
            </w:pPr>
            <w:r>
              <w:rPr>
                <w:rFonts w:ascii="Arial" w:cs="Arial" w:eastAsia="Arial" w:hAnsi="Arial"/>
                <w:sz w:val="14"/>
                <w:szCs w:val="14"/>
                <w:color w:val="auto"/>
              </w:rPr>
              <w:t>Performance Awards</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6"/>
        </w:trPr>
        <w:tc>
          <w:tcPr>
            <w:tcW w:w="166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2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Disability Payments</w:t>
            </w:r>
          </w:p>
        </w:tc>
        <w:tc>
          <w:tcPr>
            <w:tcW w:w="100" w:type="dxa"/>
            <w:vAlign w:val="bottom"/>
            <w:tcBorders>
              <w:bottom w:val="single" w:sz="8" w:color="DBDBDB"/>
            </w:tcBorders>
            <w:shd w:val="clear" w:color="auto" w:fill="DBDBDB"/>
          </w:tcPr>
          <w:p>
            <w:pPr>
              <w:spacing w:after="0"/>
              <w:rPr>
                <w:sz w:val="21"/>
                <w:szCs w:val="21"/>
                <w:color w:val="auto"/>
              </w:rPr>
            </w:pPr>
          </w:p>
        </w:tc>
        <w:tc>
          <w:tcPr>
            <w:tcW w:w="1480" w:type="dxa"/>
            <w:vAlign w:val="bottom"/>
            <w:tcBorders>
              <w:bottom w:val="single" w:sz="8" w:color="DBDBDB"/>
            </w:tcBorders>
            <w:shd w:val="clear" w:color="auto" w:fill="DBDBDB"/>
          </w:tcPr>
          <w:p>
            <w:pPr>
              <w:jc w:val="right"/>
              <w:ind w:right="167"/>
              <w:spacing w:after="0"/>
              <w:rPr>
                <w:sz w:val="20"/>
                <w:szCs w:val="20"/>
                <w:color w:val="auto"/>
              </w:rPr>
            </w:pPr>
            <w:r>
              <w:rPr>
                <w:rFonts w:ascii="Arial" w:cs="Arial" w:eastAsia="Arial" w:hAnsi="Arial"/>
                <w:sz w:val="14"/>
                <w:szCs w:val="14"/>
                <w:color w:val="auto"/>
              </w:rPr>
              <w:t>248,751</w:t>
            </w:r>
          </w:p>
        </w:tc>
        <w:tc>
          <w:tcPr>
            <w:tcW w:w="0" w:type="dxa"/>
            <w:vAlign w:val="bottom"/>
          </w:tcPr>
          <w:p>
            <w:pPr>
              <w:spacing w:after="0"/>
              <w:rPr>
                <w:sz w:val="1"/>
                <w:szCs w:val="1"/>
                <w:color w:val="auto"/>
              </w:rPr>
            </w:pPr>
          </w:p>
        </w:tc>
      </w:tr>
      <w:tr>
        <w:trPr>
          <w:trHeight w:val="221"/>
        </w:trPr>
        <w:tc>
          <w:tcPr>
            <w:tcW w:w="1660" w:type="dxa"/>
            <w:vAlign w:val="bottom"/>
            <w:tcBorders>
              <w:top w:val="single" w:sz="8" w:color="DBDBDB"/>
              <w:bottom w:val="single" w:sz="8" w:color="DBDBDB"/>
            </w:tcBorders>
            <w:shd w:val="clear" w:color="auto" w:fill="DBDBDB"/>
          </w:tcPr>
          <w:p>
            <w:pPr>
              <w:spacing w:after="0"/>
              <w:rPr>
                <w:sz w:val="18"/>
                <w:szCs w:val="18"/>
                <w:color w:val="auto"/>
              </w:rPr>
            </w:pPr>
          </w:p>
        </w:tc>
        <w:tc>
          <w:tcPr>
            <w:tcW w:w="80" w:type="dxa"/>
            <w:vAlign w:val="bottom"/>
            <w:tcBorders>
              <w:top w:val="single" w:sz="8" w:color="DBDBDB"/>
              <w:bottom w:val="single" w:sz="8" w:color="DBDBDB"/>
            </w:tcBorders>
            <w:shd w:val="clear" w:color="auto" w:fill="DBDBDB"/>
          </w:tcPr>
          <w:p>
            <w:pPr>
              <w:spacing w:after="0"/>
              <w:rPr>
                <w:sz w:val="18"/>
                <w:szCs w:val="18"/>
                <w:color w:val="auto"/>
              </w:rPr>
            </w:pPr>
          </w:p>
        </w:tc>
        <w:tc>
          <w:tcPr>
            <w:tcW w:w="2300" w:type="dxa"/>
            <w:vAlign w:val="bottom"/>
            <w:tcBorders>
              <w:top w:val="single" w:sz="8" w:color="DBDBDB"/>
              <w:bottom w:val="single" w:sz="8" w:color="DBDBDB"/>
            </w:tcBorders>
            <w:shd w:val="clear" w:color="auto" w:fill="DBDBDB"/>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480" w:type="dxa"/>
            <w:vAlign w:val="bottom"/>
            <w:tcBorders>
              <w:top w:val="single" w:sz="8" w:color="auto"/>
              <w:bottom w:val="single" w:sz="8" w:color="auto"/>
            </w:tcBorders>
            <w:shd w:val="clear" w:color="auto" w:fill="DBDBDB"/>
          </w:tcPr>
          <w:p>
            <w:pPr>
              <w:jc w:val="right"/>
              <w:ind w:right="167"/>
              <w:spacing w:after="0"/>
              <w:rPr>
                <w:sz w:val="20"/>
                <w:szCs w:val="20"/>
                <w:color w:val="auto"/>
              </w:rPr>
            </w:pPr>
            <w:r>
              <w:rPr>
                <w:rFonts w:ascii="Arial" w:cs="Arial" w:eastAsia="Arial" w:hAnsi="Arial"/>
                <w:sz w:val="14"/>
                <w:szCs w:val="14"/>
                <w:color w:val="auto"/>
              </w:rPr>
              <w:t>797,952</w:t>
            </w:r>
          </w:p>
        </w:tc>
        <w:tc>
          <w:tcPr>
            <w:tcW w:w="0" w:type="dxa"/>
            <w:vAlign w:val="bottom"/>
          </w:tcPr>
          <w:p>
            <w:pPr>
              <w:spacing w:after="0"/>
              <w:rPr>
                <w:sz w:val="1"/>
                <w:szCs w:val="1"/>
                <w:color w:val="auto"/>
              </w:rPr>
            </w:pPr>
          </w:p>
        </w:tc>
      </w:tr>
      <w:tr>
        <w:trPr>
          <w:trHeight w:val="20"/>
        </w:trPr>
        <w:tc>
          <w:tcPr>
            <w:tcW w:w="166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4"/>
                <w:szCs w:val="14"/>
                <w:color w:val="auto"/>
              </w:rPr>
              <w:t>Troy R.</w:t>
            </w:r>
          </w:p>
        </w:tc>
        <w:tc>
          <w:tcPr>
            <w:tcW w:w="80" w:type="dxa"/>
            <w:vAlign w:val="bottom"/>
            <w:tcBorders>
              <w:top w:val="single" w:sz="8" w:color="DBDBDB"/>
            </w:tcBorders>
          </w:tcPr>
          <w:p>
            <w:pPr>
              <w:spacing w:after="0" w:line="20" w:lineRule="exact"/>
              <w:rPr>
                <w:sz w:val="1"/>
                <w:szCs w:val="1"/>
                <w:color w:val="auto"/>
              </w:rPr>
            </w:pPr>
          </w:p>
        </w:tc>
        <w:tc>
          <w:tcPr>
            <w:tcW w:w="230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4"/>
                <w:szCs w:val="14"/>
                <w:color w:val="auto"/>
              </w:rPr>
              <w:t>Cash Severance Payment</w:t>
            </w:r>
          </w:p>
        </w:tc>
        <w:tc>
          <w:tcPr>
            <w:tcW w:w="1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0"/>
        </w:trPr>
        <w:tc>
          <w:tcPr>
            <w:tcW w:w="1660" w:type="dxa"/>
            <w:vAlign w:val="bottom"/>
          </w:tcPr>
          <w:p>
            <w:pPr>
              <w:ind w:left="20"/>
              <w:spacing w:after="0"/>
              <w:rPr>
                <w:sz w:val="20"/>
                <w:szCs w:val="20"/>
                <w:color w:val="auto"/>
              </w:rPr>
            </w:pPr>
            <w:r>
              <w:rPr>
                <w:rFonts w:ascii="Arial" w:cs="Arial" w:eastAsia="Arial" w:hAnsi="Arial"/>
                <w:sz w:val="14"/>
                <w:szCs w:val="14"/>
                <w:color w:val="auto"/>
              </w:rPr>
              <w:t>Johnson</w:t>
            </w:r>
          </w:p>
        </w:tc>
        <w:tc>
          <w:tcPr>
            <w:tcW w:w="8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Health Insurance Benefits</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Reimbursement of Legal Costs</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Acceleration of Vesting</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tcPr>
          <w:p>
            <w:pPr>
              <w:ind w:left="280"/>
              <w:spacing w:after="0"/>
              <w:rPr>
                <w:sz w:val="20"/>
                <w:szCs w:val="20"/>
                <w:color w:val="auto"/>
              </w:rPr>
            </w:pPr>
            <w:r>
              <w:rPr>
                <w:rFonts w:ascii="Arial" w:cs="Arial" w:eastAsia="Arial" w:hAnsi="Arial"/>
                <w:sz w:val="14"/>
                <w:szCs w:val="14"/>
                <w:color w:val="auto"/>
              </w:rPr>
              <w:t>Restricted Stock</w:t>
            </w:r>
          </w:p>
        </w:tc>
        <w:tc>
          <w:tcPr>
            <w:tcW w:w="1580" w:type="dxa"/>
            <w:vAlign w:val="bottom"/>
            <w:gridSpan w:val="2"/>
          </w:tcPr>
          <w:p>
            <w:pPr>
              <w:jc w:val="right"/>
              <w:ind w:right="167"/>
              <w:spacing w:after="0"/>
              <w:rPr>
                <w:sz w:val="20"/>
                <w:szCs w:val="20"/>
                <w:color w:val="auto"/>
              </w:rPr>
            </w:pPr>
            <w:r>
              <w:rPr>
                <w:rFonts w:ascii="Arial" w:cs="Arial" w:eastAsia="Arial" w:hAnsi="Arial"/>
                <w:sz w:val="14"/>
                <w:szCs w:val="14"/>
                <w:color w:val="auto"/>
              </w:rPr>
              <w:t>412,811</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tcPr>
          <w:p>
            <w:pPr>
              <w:ind w:left="280"/>
              <w:spacing w:after="0"/>
              <w:rPr>
                <w:sz w:val="20"/>
                <w:szCs w:val="20"/>
                <w:color w:val="auto"/>
              </w:rPr>
            </w:pPr>
            <w:r>
              <w:rPr>
                <w:rFonts w:ascii="Arial" w:cs="Arial" w:eastAsia="Arial" w:hAnsi="Arial"/>
                <w:sz w:val="14"/>
                <w:szCs w:val="14"/>
                <w:color w:val="auto"/>
              </w:rPr>
              <w:t>Performance Awards</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4"/>
                <w:szCs w:val="14"/>
                <w:color w:val="auto"/>
              </w:rPr>
              <w:t>Disability Payments</w:t>
            </w:r>
          </w:p>
        </w:tc>
        <w:tc>
          <w:tcPr>
            <w:tcW w:w="1580" w:type="dxa"/>
            <w:vAlign w:val="bottom"/>
            <w:gridSpan w:val="2"/>
          </w:tcPr>
          <w:p>
            <w:pPr>
              <w:jc w:val="right"/>
              <w:ind w:right="167"/>
              <w:spacing w:after="0"/>
              <w:rPr>
                <w:sz w:val="20"/>
                <w:szCs w:val="20"/>
                <w:color w:val="auto"/>
              </w:rPr>
            </w:pPr>
            <w:r>
              <w:rPr>
                <w:rFonts w:ascii="Arial" w:cs="Arial" w:eastAsia="Arial" w:hAnsi="Arial"/>
                <w:sz w:val="14"/>
                <w:szCs w:val="14"/>
                <w:color w:val="auto"/>
              </w:rPr>
              <w:t>242,001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05445E"/>
              </w:rPr>
              <w:t>Payments</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05445E"/>
              </w:rPr>
              <w:t>Upon</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05445E"/>
                <w:w w:val="98"/>
              </w:rPr>
              <w:t>Termination</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5445E"/>
              </w:rPr>
              <w:t>Payments</w:t>
            </w:r>
          </w:p>
        </w:tc>
        <w:tc>
          <w:tcPr>
            <w:tcW w:w="3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05445E"/>
              </w:rPr>
              <w:t>without Cause</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5445E"/>
              </w:rPr>
              <w:t>Upon</w:t>
            </w:r>
          </w:p>
        </w:tc>
        <w:tc>
          <w:tcPr>
            <w:tcW w:w="3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05445E"/>
              </w:rPr>
              <w:t>or for Good</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5445E"/>
                <w:w w:val="98"/>
              </w:rPr>
              <w:t>Death</w:t>
            </w:r>
          </w:p>
        </w:tc>
        <w:tc>
          <w:tcPr>
            <w:tcW w:w="3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05445E"/>
              </w:rPr>
              <w:t>Reason</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05445E"/>
              </w:rPr>
              <w:t>($)</w:t>
            </w:r>
          </w:p>
        </w:tc>
        <w:tc>
          <w:tcPr>
            <w:tcW w:w="3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05445E"/>
                <w:w w:val="91"/>
              </w:rPr>
              <w:t>($)</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1220" w:type="dxa"/>
            <w:vAlign w:val="bottom"/>
            <w:tcBorders>
              <w:bottom w:val="single" w:sz="8" w:color="05445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05445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59"/>
        </w:trPr>
        <w:tc>
          <w:tcPr>
            <w:tcW w:w="340" w:type="dxa"/>
            <w:vAlign w:val="bottom"/>
          </w:tcPr>
          <w:p>
            <w:pPr>
              <w:jc w:val="right"/>
              <w:ind w:right="173"/>
              <w:spacing w:after="0"/>
              <w:rPr>
                <w:sz w:val="20"/>
                <w:szCs w:val="20"/>
                <w:color w:val="auto"/>
              </w:rPr>
            </w:pPr>
            <w:r>
              <w:rPr>
                <w:rFonts w:ascii="Arial" w:cs="Arial" w:eastAsia="Arial" w:hAnsi="Arial"/>
                <w:sz w:val="9"/>
                <w:szCs w:val="9"/>
                <w:color w:val="auto"/>
                <w:w w:val="90"/>
              </w:rPr>
              <w:t>(3)</w:t>
            </w:r>
          </w:p>
        </w:tc>
        <w:tc>
          <w:tcPr>
            <w:tcW w:w="1220" w:type="dxa"/>
            <w:vAlign w:val="bottom"/>
          </w:tcPr>
          <w:p>
            <w:pPr>
              <w:jc w:val="right"/>
              <w:ind w:right="47"/>
              <w:spacing w:after="0"/>
              <w:rPr>
                <w:sz w:val="20"/>
                <w:szCs w:val="20"/>
                <w:color w:val="auto"/>
              </w:rPr>
            </w:pPr>
            <w:r>
              <w:rPr>
                <w:rFonts w:ascii="Arial" w:cs="Arial" w:eastAsia="Arial" w:hAnsi="Arial"/>
                <w:sz w:val="14"/>
                <w:szCs w:val="14"/>
                <w:color w:val="auto"/>
              </w:rPr>
              <w:t>3,335,186</w:t>
            </w:r>
          </w:p>
        </w:tc>
        <w:tc>
          <w:tcPr>
            <w:tcW w:w="300" w:type="dxa"/>
            <w:vAlign w:val="bottom"/>
          </w:tcPr>
          <w:p>
            <w:pPr>
              <w:jc w:val="right"/>
              <w:ind w:right="113"/>
              <w:spacing w:after="0"/>
              <w:rPr>
                <w:sz w:val="20"/>
                <w:szCs w:val="20"/>
                <w:color w:val="auto"/>
              </w:rPr>
            </w:pPr>
            <w:r>
              <w:rPr>
                <w:rFonts w:ascii="Arial" w:cs="Arial" w:eastAsia="Arial" w:hAnsi="Arial"/>
                <w:sz w:val="9"/>
                <w:szCs w:val="9"/>
                <w:color w:val="auto"/>
              </w:rPr>
              <w:t>(3)</w:t>
            </w:r>
          </w:p>
        </w:tc>
        <w:tc>
          <w:tcPr>
            <w:tcW w:w="1700" w:type="dxa"/>
            <w:vAlign w:val="bottom"/>
          </w:tcPr>
          <w:p>
            <w:pPr>
              <w:jc w:val="right"/>
              <w:ind w:right="266"/>
              <w:spacing w:after="0"/>
              <w:rPr>
                <w:sz w:val="20"/>
                <w:szCs w:val="20"/>
                <w:color w:val="auto"/>
              </w:rPr>
            </w:pPr>
            <w:r>
              <w:rPr>
                <w:rFonts w:ascii="Arial" w:cs="Arial" w:eastAsia="Arial" w:hAnsi="Arial"/>
                <w:sz w:val="14"/>
                <w:szCs w:val="14"/>
                <w:color w:val="auto"/>
              </w:rPr>
              <w:t>1,407,231</w:t>
            </w: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vMerge w:val="restart"/>
          </w:tcPr>
          <w:p>
            <w:pPr>
              <w:jc w:val="right"/>
              <w:ind w:right="113"/>
              <w:spacing w:after="0"/>
              <w:rPr>
                <w:sz w:val="20"/>
                <w:szCs w:val="20"/>
                <w:color w:val="auto"/>
              </w:rPr>
            </w:pPr>
            <w:r>
              <w:rPr>
                <w:rFonts w:ascii="Arial" w:cs="Arial" w:eastAsia="Arial" w:hAnsi="Arial"/>
                <w:sz w:val="9"/>
                <w:szCs w:val="9"/>
                <w:color w:val="auto"/>
              </w:rPr>
              <w:t>(4)</w:t>
            </w: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40" w:type="dxa"/>
            <w:vAlign w:val="bottom"/>
            <w:shd w:val="clear" w:color="auto" w:fill="DBDBDB"/>
          </w:tcPr>
          <w:p>
            <w:pPr>
              <w:jc w:val="right"/>
              <w:ind w:right="173"/>
              <w:spacing w:after="0"/>
              <w:rPr>
                <w:sz w:val="20"/>
                <w:szCs w:val="20"/>
                <w:color w:val="auto"/>
              </w:rPr>
            </w:pPr>
            <w:r>
              <w:rPr>
                <w:rFonts w:ascii="Arial" w:cs="Arial" w:eastAsia="Arial" w:hAnsi="Arial"/>
                <w:sz w:val="9"/>
                <w:szCs w:val="9"/>
                <w:color w:val="auto"/>
                <w:w w:val="90"/>
              </w:rPr>
              <w:t>(4)</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3"/>
        </w:trPr>
        <w:tc>
          <w:tcPr>
            <w:tcW w:w="340" w:type="dxa"/>
            <w:vAlign w:val="bottom"/>
            <w:shd w:val="clear" w:color="auto" w:fill="DBDBDB"/>
          </w:tcPr>
          <w:p>
            <w:pPr>
              <w:spacing w:after="0"/>
              <w:rPr>
                <w:sz w:val="7"/>
                <w:szCs w:val="7"/>
                <w:color w:val="auto"/>
              </w:rPr>
            </w:pPr>
          </w:p>
        </w:tc>
        <w:tc>
          <w:tcPr>
            <w:tcW w:w="12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340" w:type="dxa"/>
            <w:vAlign w:val="bottom"/>
            <w:vMerge w:val="restart"/>
            <w:shd w:val="clear" w:color="auto" w:fill="DBDBDB"/>
          </w:tcPr>
          <w:p>
            <w:pPr>
              <w:jc w:val="right"/>
              <w:ind w:right="173"/>
              <w:spacing w:after="0"/>
              <w:rPr>
                <w:sz w:val="20"/>
                <w:szCs w:val="20"/>
                <w:color w:val="auto"/>
              </w:rPr>
            </w:pPr>
            <w:r>
              <w:rPr>
                <w:rFonts w:ascii="Arial" w:cs="Arial" w:eastAsia="Arial" w:hAnsi="Arial"/>
                <w:sz w:val="9"/>
                <w:szCs w:val="9"/>
                <w:color w:val="auto"/>
                <w:w w:val="90"/>
              </w:rPr>
              <w:t>(6)</w:t>
            </w: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 w:type="dxa"/>
            <w:vAlign w:val="bottom"/>
            <w:vMerge w:val="continue"/>
            <w:shd w:val="clear" w:color="auto" w:fill="DBDBDB"/>
          </w:tcPr>
          <w:p>
            <w:pPr>
              <w:spacing w:after="0"/>
              <w:rPr>
                <w:sz w:val="10"/>
                <w:szCs w:val="10"/>
                <w:color w:val="auto"/>
              </w:rPr>
            </w:pPr>
          </w:p>
        </w:tc>
        <w:tc>
          <w:tcPr>
            <w:tcW w:w="122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5"/>
        </w:trPr>
        <w:tc>
          <w:tcPr>
            <w:tcW w:w="340" w:type="dxa"/>
            <w:vAlign w:val="bottom"/>
            <w:tcBorders>
              <w:bottom w:val="single" w:sz="8" w:color="DBDBDB"/>
            </w:tcBorders>
            <w:shd w:val="clear" w:color="auto" w:fill="DBDBDB"/>
          </w:tcPr>
          <w:p>
            <w:pPr>
              <w:spacing w:after="0"/>
              <w:rPr>
                <w:sz w:val="9"/>
                <w:szCs w:val="9"/>
                <w:color w:val="auto"/>
              </w:rPr>
            </w:pPr>
          </w:p>
        </w:tc>
        <w:tc>
          <w:tcPr>
            <w:tcW w:w="1220" w:type="dxa"/>
            <w:vAlign w:val="bottom"/>
            <w:tcBorders>
              <w:bottom w:val="single" w:sz="8" w:color="DBDBDB"/>
            </w:tcBorders>
            <w:vMerge w:val="continue"/>
            <w:shd w:val="clear" w:color="auto" w:fill="DBDBDB"/>
          </w:tcPr>
          <w:p>
            <w:pPr>
              <w:spacing w:after="0"/>
              <w:rPr>
                <w:sz w:val="9"/>
                <w:szCs w:val="9"/>
                <w:color w:val="auto"/>
              </w:rPr>
            </w:pPr>
          </w:p>
        </w:tc>
        <w:tc>
          <w:tcPr>
            <w:tcW w:w="30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DBDBDB"/>
              <w:bottom w:val="single" w:sz="8" w:color="DBDBDB"/>
            </w:tcBorders>
            <w:shd w:val="clear" w:color="auto" w:fill="DBDBDB"/>
          </w:tcPr>
          <w:p>
            <w:pPr>
              <w:spacing w:after="0"/>
              <w:rPr>
                <w:sz w:val="18"/>
                <w:szCs w:val="18"/>
                <w:color w:val="auto"/>
              </w:rPr>
            </w:pPr>
          </w:p>
        </w:tc>
        <w:tc>
          <w:tcPr>
            <w:tcW w:w="1220" w:type="dxa"/>
            <w:vAlign w:val="bottom"/>
            <w:tcBorders>
              <w:top w:val="single" w:sz="8" w:color="auto"/>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3,335,186</w:t>
            </w:r>
          </w:p>
        </w:tc>
        <w:tc>
          <w:tcPr>
            <w:tcW w:w="3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4"/>
                <w:szCs w:val="14"/>
                <w:color w:val="auto"/>
              </w:rPr>
              <w:t>1,407,231</w:t>
            </w:r>
          </w:p>
        </w:tc>
        <w:tc>
          <w:tcPr>
            <w:tcW w:w="0" w:type="dxa"/>
            <w:vAlign w:val="bottom"/>
          </w:tcPr>
          <w:p>
            <w:pPr>
              <w:spacing w:after="0"/>
              <w:rPr>
                <w:sz w:val="1"/>
                <w:szCs w:val="1"/>
                <w:color w:val="auto"/>
              </w:rPr>
            </w:pPr>
          </w:p>
        </w:tc>
      </w:tr>
      <w:tr>
        <w:trPr>
          <w:trHeight w:val="20"/>
        </w:trPr>
        <w:tc>
          <w:tcPr>
            <w:tcW w:w="340" w:type="dxa"/>
            <w:vAlign w:val="bottom"/>
            <w:tcBorders>
              <w:top w:val="single" w:sz="8" w:color="DBDBDB"/>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59"/>
        </w:trPr>
        <w:tc>
          <w:tcPr>
            <w:tcW w:w="340" w:type="dxa"/>
            <w:vAlign w:val="bottom"/>
          </w:tcPr>
          <w:p>
            <w:pPr>
              <w:jc w:val="right"/>
              <w:ind w:right="173"/>
              <w:spacing w:after="0"/>
              <w:rPr>
                <w:sz w:val="20"/>
                <w:szCs w:val="20"/>
                <w:color w:val="auto"/>
              </w:rPr>
            </w:pPr>
            <w:r>
              <w:rPr>
                <w:rFonts w:ascii="Arial" w:cs="Arial" w:eastAsia="Arial" w:hAnsi="Arial"/>
                <w:sz w:val="9"/>
                <w:szCs w:val="9"/>
                <w:color w:val="auto"/>
                <w:w w:val="90"/>
              </w:rPr>
              <w:t>(3)</w:t>
            </w:r>
          </w:p>
        </w:tc>
        <w:tc>
          <w:tcPr>
            <w:tcW w:w="1220" w:type="dxa"/>
            <w:vAlign w:val="bottom"/>
          </w:tcPr>
          <w:p>
            <w:pPr>
              <w:jc w:val="right"/>
              <w:ind w:right="47"/>
              <w:spacing w:after="0"/>
              <w:rPr>
                <w:sz w:val="20"/>
                <w:szCs w:val="20"/>
                <w:color w:val="auto"/>
              </w:rPr>
            </w:pPr>
            <w:r>
              <w:rPr>
                <w:rFonts w:ascii="Arial" w:cs="Arial" w:eastAsia="Arial" w:hAnsi="Arial"/>
                <w:sz w:val="14"/>
                <w:szCs w:val="14"/>
                <w:color w:val="auto"/>
              </w:rPr>
              <w:t>1,199,363</w:t>
            </w:r>
          </w:p>
        </w:tc>
        <w:tc>
          <w:tcPr>
            <w:tcW w:w="300" w:type="dxa"/>
            <w:vAlign w:val="bottom"/>
          </w:tcPr>
          <w:p>
            <w:pPr>
              <w:jc w:val="right"/>
              <w:ind w:right="113"/>
              <w:spacing w:after="0"/>
              <w:rPr>
                <w:sz w:val="20"/>
                <w:szCs w:val="20"/>
                <w:color w:val="auto"/>
              </w:rPr>
            </w:pPr>
            <w:r>
              <w:rPr>
                <w:rFonts w:ascii="Arial" w:cs="Arial" w:eastAsia="Arial" w:hAnsi="Arial"/>
                <w:sz w:val="9"/>
                <w:szCs w:val="9"/>
                <w:color w:val="auto"/>
              </w:rPr>
              <w:t>(3)</w:t>
            </w: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6"/>
        </w:trPr>
        <w:tc>
          <w:tcPr>
            <w:tcW w:w="340" w:type="dxa"/>
            <w:vAlign w:val="bottom"/>
          </w:tcPr>
          <w:p>
            <w:pPr>
              <w:jc w:val="right"/>
              <w:ind w:right="173"/>
              <w:spacing w:after="0"/>
              <w:rPr>
                <w:sz w:val="20"/>
                <w:szCs w:val="20"/>
                <w:color w:val="auto"/>
              </w:rPr>
            </w:pPr>
            <w:r>
              <w:rPr>
                <w:rFonts w:ascii="Arial" w:cs="Arial" w:eastAsia="Arial" w:hAnsi="Arial"/>
                <w:sz w:val="9"/>
                <w:szCs w:val="9"/>
                <w:color w:val="auto"/>
                <w:w w:val="90"/>
              </w:rPr>
              <w:t>(4)</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jc w:val="right"/>
              <w:ind w:right="113"/>
              <w:spacing w:after="0"/>
              <w:rPr>
                <w:sz w:val="20"/>
                <w:szCs w:val="20"/>
                <w:color w:val="auto"/>
              </w:rPr>
            </w:pPr>
            <w:r>
              <w:rPr>
                <w:rFonts w:ascii="Arial" w:cs="Arial" w:eastAsia="Arial" w:hAnsi="Arial"/>
                <w:sz w:val="9"/>
                <w:szCs w:val="9"/>
                <w:color w:val="auto"/>
              </w:rPr>
              <w:t>(4)</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3"/>
        </w:trPr>
        <w:tc>
          <w:tcPr>
            <w:tcW w:w="3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340" w:type="dxa"/>
            <w:vAlign w:val="bottom"/>
          </w:tcPr>
          <w:p>
            <w:pPr>
              <w:jc w:val="right"/>
              <w:ind w:right="173"/>
              <w:spacing w:after="0"/>
              <w:rPr>
                <w:sz w:val="20"/>
                <w:szCs w:val="20"/>
                <w:color w:val="auto"/>
              </w:rPr>
            </w:pPr>
            <w:r>
              <w:rPr>
                <w:rFonts w:ascii="Arial" w:cs="Arial" w:eastAsia="Arial" w:hAnsi="Arial"/>
                <w:sz w:val="9"/>
                <w:szCs w:val="9"/>
                <w:color w:val="auto"/>
                <w:w w:val="90"/>
              </w:rPr>
              <w:t>(6)</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3"/>
        </w:trPr>
        <w:tc>
          <w:tcPr>
            <w:tcW w:w="3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1220" w:type="dxa"/>
            <w:vAlign w:val="bottom"/>
          </w:tcPr>
          <w:p>
            <w:pPr>
              <w:jc w:val="right"/>
              <w:ind w:right="47"/>
              <w:spacing w:after="0"/>
              <w:rPr>
                <w:sz w:val="20"/>
                <w:szCs w:val="20"/>
                <w:color w:val="auto"/>
              </w:rPr>
            </w:pPr>
            <w:r>
              <w:rPr>
                <w:rFonts w:ascii="Arial" w:cs="Arial" w:eastAsia="Arial" w:hAnsi="Arial"/>
                <w:sz w:val="14"/>
                <w:szCs w:val="14"/>
                <w:color w:val="auto"/>
              </w:rPr>
              <w:t>1,199,363</w:t>
            </w:r>
          </w:p>
        </w:tc>
        <w:tc>
          <w:tcPr>
            <w:tcW w:w="3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59"/>
        </w:trPr>
        <w:tc>
          <w:tcPr>
            <w:tcW w:w="340" w:type="dxa"/>
            <w:vAlign w:val="bottom"/>
          </w:tcPr>
          <w:p>
            <w:pPr>
              <w:jc w:val="right"/>
              <w:ind w:right="173"/>
              <w:spacing w:after="0"/>
              <w:rPr>
                <w:sz w:val="20"/>
                <w:szCs w:val="20"/>
                <w:color w:val="auto"/>
              </w:rPr>
            </w:pPr>
            <w:r>
              <w:rPr>
                <w:rFonts w:ascii="Arial" w:cs="Arial" w:eastAsia="Arial" w:hAnsi="Arial"/>
                <w:sz w:val="9"/>
                <w:szCs w:val="9"/>
                <w:color w:val="auto"/>
                <w:w w:val="90"/>
              </w:rPr>
              <w:t>(3)</w:t>
            </w:r>
          </w:p>
        </w:tc>
        <w:tc>
          <w:tcPr>
            <w:tcW w:w="1220" w:type="dxa"/>
            <w:vAlign w:val="bottom"/>
          </w:tcPr>
          <w:p>
            <w:pPr>
              <w:jc w:val="right"/>
              <w:ind w:right="47"/>
              <w:spacing w:after="0"/>
              <w:rPr>
                <w:sz w:val="20"/>
                <w:szCs w:val="20"/>
                <w:color w:val="auto"/>
              </w:rPr>
            </w:pPr>
            <w:r>
              <w:rPr>
                <w:rFonts w:ascii="Arial" w:cs="Arial" w:eastAsia="Arial" w:hAnsi="Arial"/>
                <w:sz w:val="14"/>
                <w:szCs w:val="14"/>
                <w:color w:val="auto"/>
              </w:rPr>
              <w:t>549,201</w:t>
            </w:r>
          </w:p>
        </w:tc>
        <w:tc>
          <w:tcPr>
            <w:tcW w:w="300" w:type="dxa"/>
            <w:vAlign w:val="bottom"/>
          </w:tcPr>
          <w:p>
            <w:pPr>
              <w:jc w:val="right"/>
              <w:ind w:right="113"/>
              <w:spacing w:after="0"/>
              <w:rPr>
                <w:sz w:val="20"/>
                <w:szCs w:val="20"/>
                <w:color w:val="auto"/>
              </w:rPr>
            </w:pPr>
            <w:r>
              <w:rPr>
                <w:rFonts w:ascii="Arial" w:cs="Arial" w:eastAsia="Arial" w:hAnsi="Arial"/>
                <w:sz w:val="9"/>
                <w:szCs w:val="9"/>
                <w:color w:val="auto"/>
              </w:rPr>
              <w:t>(3)</w:t>
            </w: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vMerge w:val="restart"/>
          </w:tcPr>
          <w:p>
            <w:pPr>
              <w:jc w:val="right"/>
              <w:ind w:right="113"/>
              <w:spacing w:after="0"/>
              <w:rPr>
                <w:sz w:val="20"/>
                <w:szCs w:val="20"/>
                <w:color w:val="auto"/>
              </w:rPr>
            </w:pPr>
            <w:r>
              <w:rPr>
                <w:rFonts w:ascii="Arial" w:cs="Arial" w:eastAsia="Arial" w:hAnsi="Arial"/>
                <w:sz w:val="9"/>
                <w:szCs w:val="9"/>
                <w:color w:val="auto"/>
              </w:rPr>
              <w:t>(4)</w:t>
            </w: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40" w:type="dxa"/>
            <w:vAlign w:val="bottom"/>
            <w:shd w:val="clear" w:color="auto" w:fill="DBDBDB"/>
          </w:tcPr>
          <w:p>
            <w:pPr>
              <w:jc w:val="right"/>
              <w:ind w:right="173"/>
              <w:spacing w:after="0"/>
              <w:rPr>
                <w:sz w:val="20"/>
                <w:szCs w:val="20"/>
                <w:color w:val="auto"/>
              </w:rPr>
            </w:pPr>
            <w:r>
              <w:rPr>
                <w:rFonts w:ascii="Arial" w:cs="Arial" w:eastAsia="Arial" w:hAnsi="Arial"/>
                <w:sz w:val="9"/>
                <w:szCs w:val="9"/>
                <w:color w:val="auto"/>
                <w:w w:val="90"/>
              </w:rPr>
              <w:t>(4)</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3"/>
        </w:trPr>
        <w:tc>
          <w:tcPr>
            <w:tcW w:w="340" w:type="dxa"/>
            <w:vAlign w:val="bottom"/>
            <w:shd w:val="clear" w:color="auto" w:fill="DBDBDB"/>
          </w:tcPr>
          <w:p>
            <w:pPr>
              <w:spacing w:after="0"/>
              <w:rPr>
                <w:sz w:val="7"/>
                <w:szCs w:val="7"/>
                <w:color w:val="auto"/>
              </w:rPr>
            </w:pPr>
          </w:p>
        </w:tc>
        <w:tc>
          <w:tcPr>
            <w:tcW w:w="12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340" w:type="dxa"/>
            <w:vAlign w:val="bottom"/>
            <w:vMerge w:val="restart"/>
            <w:shd w:val="clear" w:color="auto" w:fill="DBDBDB"/>
          </w:tcPr>
          <w:p>
            <w:pPr>
              <w:jc w:val="right"/>
              <w:ind w:right="173"/>
              <w:spacing w:after="0"/>
              <w:rPr>
                <w:sz w:val="20"/>
                <w:szCs w:val="20"/>
                <w:color w:val="auto"/>
              </w:rPr>
            </w:pPr>
            <w:r>
              <w:rPr>
                <w:rFonts w:ascii="Arial" w:cs="Arial" w:eastAsia="Arial" w:hAnsi="Arial"/>
                <w:sz w:val="9"/>
                <w:szCs w:val="9"/>
                <w:color w:val="auto"/>
                <w:w w:val="90"/>
              </w:rPr>
              <w:t>(6)</w:t>
            </w: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 w:type="dxa"/>
            <w:vAlign w:val="bottom"/>
            <w:vMerge w:val="continue"/>
            <w:shd w:val="clear" w:color="auto" w:fill="DBDBDB"/>
          </w:tcPr>
          <w:p>
            <w:pPr>
              <w:spacing w:after="0"/>
              <w:rPr>
                <w:sz w:val="10"/>
                <w:szCs w:val="10"/>
                <w:color w:val="auto"/>
              </w:rPr>
            </w:pPr>
          </w:p>
        </w:tc>
        <w:tc>
          <w:tcPr>
            <w:tcW w:w="122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5"/>
        </w:trPr>
        <w:tc>
          <w:tcPr>
            <w:tcW w:w="340" w:type="dxa"/>
            <w:vAlign w:val="bottom"/>
            <w:tcBorders>
              <w:bottom w:val="single" w:sz="8" w:color="DBDBDB"/>
            </w:tcBorders>
            <w:shd w:val="clear" w:color="auto" w:fill="DBDBDB"/>
          </w:tcPr>
          <w:p>
            <w:pPr>
              <w:spacing w:after="0"/>
              <w:rPr>
                <w:sz w:val="9"/>
                <w:szCs w:val="9"/>
                <w:color w:val="auto"/>
              </w:rPr>
            </w:pPr>
          </w:p>
        </w:tc>
        <w:tc>
          <w:tcPr>
            <w:tcW w:w="1220" w:type="dxa"/>
            <w:vAlign w:val="bottom"/>
            <w:tcBorders>
              <w:bottom w:val="single" w:sz="8" w:color="DBDBDB"/>
            </w:tcBorders>
            <w:vMerge w:val="continue"/>
            <w:shd w:val="clear" w:color="auto" w:fill="DBDBDB"/>
          </w:tcPr>
          <w:p>
            <w:pPr>
              <w:spacing w:after="0"/>
              <w:rPr>
                <w:sz w:val="9"/>
                <w:szCs w:val="9"/>
                <w:color w:val="auto"/>
              </w:rPr>
            </w:pPr>
          </w:p>
        </w:tc>
        <w:tc>
          <w:tcPr>
            <w:tcW w:w="30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DBDBDB"/>
              <w:bottom w:val="single" w:sz="8" w:color="DBDBDB"/>
            </w:tcBorders>
            <w:shd w:val="clear" w:color="auto" w:fill="DBDBDB"/>
          </w:tcPr>
          <w:p>
            <w:pPr>
              <w:spacing w:after="0"/>
              <w:rPr>
                <w:sz w:val="18"/>
                <w:szCs w:val="18"/>
                <w:color w:val="auto"/>
              </w:rPr>
            </w:pPr>
          </w:p>
        </w:tc>
        <w:tc>
          <w:tcPr>
            <w:tcW w:w="1220" w:type="dxa"/>
            <w:vAlign w:val="bottom"/>
            <w:tcBorders>
              <w:top w:val="single" w:sz="8" w:color="auto"/>
              <w:bottom w:val="single" w:sz="8" w:color="auto"/>
            </w:tcBorders>
            <w:shd w:val="clear" w:color="auto" w:fill="DBDBDB"/>
          </w:tcPr>
          <w:p>
            <w:pPr>
              <w:jc w:val="right"/>
              <w:ind w:right="47"/>
              <w:spacing w:after="0"/>
              <w:rPr>
                <w:sz w:val="20"/>
                <w:szCs w:val="20"/>
                <w:color w:val="auto"/>
              </w:rPr>
            </w:pPr>
            <w:r>
              <w:rPr>
                <w:rFonts w:ascii="Arial" w:cs="Arial" w:eastAsia="Arial" w:hAnsi="Arial"/>
                <w:sz w:val="14"/>
                <w:szCs w:val="14"/>
                <w:color w:val="auto"/>
              </w:rPr>
              <w:t>549,201</w:t>
            </w:r>
          </w:p>
        </w:tc>
        <w:tc>
          <w:tcPr>
            <w:tcW w:w="3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
        </w:trPr>
        <w:tc>
          <w:tcPr>
            <w:tcW w:w="340" w:type="dxa"/>
            <w:vAlign w:val="bottom"/>
            <w:tcBorders>
              <w:top w:val="single" w:sz="8" w:color="DBDBDB"/>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59"/>
        </w:trPr>
        <w:tc>
          <w:tcPr>
            <w:tcW w:w="340" w:type="dxa"/>
            <w:vAlign w:val="bottom"/>
          </w:tcPr>
          <w:p>
            <w:pPr>
              <w:jc w:val="right"/>
              <w:ind w:right="173"/>
              <w:spacing w:after="0"/>
              <w:rPr>
                <w:sz w:val="20"/>
                <w:szCs w:val="20"/>
                <w:color w:val="auto"/>
              </w:rPr>
            </w:pPr>
            <w:r>
              <w:rPr>
                <w:rFonts w:ascii="Arial" w:cs="Arial" w:eastAsia="Arial" w:hAnsi="Arial"/>
                <w:sz w:val="9"/>
                <w:szCs w:val="9"/>
                <w:color w:val="auto"/>
                <w:w w:val="90"/>
              </w:rPr>
              <w:t>(3)</w:t>
            </w:r>
          </w:p>
        </w:tc>
        <w:tc>
          <w:tcPr>
            <w:tcW w:w="1220" w:type="dxa"/>
            <w:vAlign w:val="bottom"/>
          </w:tcPr>
          <w:p>
            <w:pPr>
              <w:jc w:val="right"/>
              <w:ind w:right="47"/>
              <w:spacing w:after="0"/>
              <w:rPr>
                <w:sz w:val="20"/>
                <w:szCs w:val="20"/>
                <w:color w:val="auto"/>
              </w:rPr>
            </w:pPr>
            <w:r>
              <w:rPr>
                <w:rFonts w:ascii="Arial" w:cs="Arial" w:eastAsia="Arial" w:hAnsi="Arial"/>
                <w:sz w:val="14"/>
                <w:szCs w:val="14"/>
                <w:color w:val="auto"/>
              </w:rPr>
              <w:t>412,811</w:t>
            </w:r>
          </w:p>
        </w:tc>
        <w:tc>
          <w:tcPr>
            <w:tcW w:w="300" w:type="dxa"/>
            <w:vAlign w:val="bottom"/>
          </w:tcPr>
          <w:p>
            <w:pPr>
              <w:jc w:val="right"/>
              <w:ind w:right="113"/>
              <w:spacing w:after="0"/>
              <w:rPr>
                <w:sz w:val="20"/>
                <w:szCs w:val="20"/>
                <w:color w:val="auto"/>
              </w:rPr>
            </w:pPr>
            <w:r>
              <w:rPr>
                <w:rFonts w:ascii="Arial" w:cs="Arial" w:eastAsia="Arial" w:hAnsi="Arial"/>
                <w:sz w:val="9"/>
                <w:szCs w:val="9"/>
                <w:color w:val="auto"/>
              </w:rPr>
              <w:t>(3)</w:t>
            </w: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6"/>
        </w:trPr>
        <w:tc>
          <w:tcPr>
            <w:tcW w:w="340" w:type="dxa"/>
            <w:vAlign w:val="bottom"/>
          </w:tcPr>
          <w:p>
            <w:pPr>
              <w:jc w:val="right"/>
              <w:ind w:right="173"/>
              <w:spacing w:after="0"/>
              <w:rPr>
                <w:sz w:val="20"/>
                <w:szCs w:val="20"/>
                <w:color w:val="auto"/>
              </w:rPr>
            </w:pPr>
            <w:r>
              <w:rPr>
                <w:rFonts w:ascii="Arial" w:cs="Arial" w:eastAsia="Arial" w:hAnsi="Arial"/>
                <w:sz w:val="9"/>
                <w:szCs w:val="9"/>
                <w:color w:val="auto"/>
                <w:w w:val="90"/>
              </w:rPr>
              <w:t>(4)</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jc w:val="right"/>
              <w:ind w:right="113"/>
              <w:spacing w:after="0"/>
              <w:rPr>
                <w:sz w:val="20"/>
                <w:szCs w:val="20"/>
                <w:color w:val="auto"/>
              </w:rPr>
            </w:pPr>
            <w:r>
              <w:rPr>
                <w:rFonts w:ascii="Arial" w:cs="Arial" w:eastAsia="Arial" w:hAnsi="Arial"/>
                <w:sz w:val="9"/>
                <w:szCs w:val="9"/>
                <w:color w:val="auto"/>
              </w:rPr>
              <w:t>(4)</w:t>
            </w: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3"/>
        </w:trPr>
        <w:tc>
          <w:tcPr>
            <w:tcW w:w="3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340" w:type="dxa"/>
            <w:vAlign w:val="bottom"/>
          </w:tcPr>
          <w:p>
            <w:pPr>
              <w:jc w:val="right"/>
              <w:ind w:right="173"/>
              <w:spacing w:after="0"/>
              <w:rPr>
                <w:sz w:val="20"/>
                <w:szCs w:val="20"/>
                <w:color w:val="auto"/>
              </w:rPr>
            </w:pPr>
            <w:r>
              <w:rPr>
                <w:rFonts w:ascii="Arial" w:cs="Arial" w:eastAsia="Arial" w:hAnsi="Arial"/>
                <w:sz w:val="9"/>
                <w:szCs w:val="9"/>
                <w:color w:val="auto"/>
                <w:w w:val="90"/>
              </w:rPr>
              <w:t>(6)</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3"/>
        </w:trPr>
        <w:tc>
          <w:tcPr>
            <w:tcW w:w="3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-4606290</wp:posOffset>
            </wp:positionV>
            <wp:extent cx="7132320" cy="1028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-2214245</wp:posOffset>
            </wp:positionV>
            <wp:extent cx="7132320" cy="1036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036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05445E"/>
              </w:rPr>
              <w:t>Payments Upon</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05445E"/>
                <w:w w:val="99"/>
              </w:rPr>
              <w:t>Involuntary</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05445E"/>
              </w:rPr>
              <w:t>or Good Reason</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05445E"/>
              </w:rPr>
              <w:t>Termination</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05445E"/>
                <w:w w:val="98"/>
              </w:rPr>
              <w:t>After a</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05445E"/>
              </w:rPr>
              <w:t>Change-in-</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05445E"/>
              </w:rPr>
              <w:t>Control</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05445E"/>
              </w:rPr>
              <w:t>Occurs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460" w:type="dxa"/>
            <w:vAlign w:val="bottom"/>
          </w:tcPr>
          <w:p>
            <w:pPr>
              <w:jc w:val="right"/>
              <w:ind w:right="561"/>
              <w:spacing w:after="0"/>
              <w:rPr>
                <w:sz w:val="20"/>
                <w:szCs w:val="20"/>
                <w:color w:val="auto"/>
              </w:rPr>
            </w:pPr>
            <w:r>
              <w:rPr>
                <w:rFonts w:ascii="Arial" w:cs="Arial" w:eastAsia="Arial" w:hAnsi="Arial"/>
                <w:sz w:val="16"/>
                <w:szCs w:val="16"/>
                <w:b w:val="1"/>
                <w:bCs w:val="1"/>
                <w:color w:val="05445E"/>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0" w:type="dxa"/>
            <w:vAlign w:val="bottom"/>
            <w:vMerge w:val="restart"/>
          </w:tcPr>
          <w:p>
            <w:pPr>
              <w:jc w:val="right"/>
              <w:ind w:right="133"/>
              <w:spacing w:after="0"/>
              <w:rPr>
                <w:sz w:val="20"/>
                <w:szCs w:val="20"/>
                <w:color w:val="auto"/>
              </w:rPr>
            </w:pPr>
            <w:r>
              <w:rPr>
                <w:rFonts w:ascii="Arial" w:cs="Arial" w:eastAsia="Arial" w:hAnsi="Arial"/>
                <w:sz w:val="9"/>
                <w:szCs w:val="9"/>
                <w:color w:val="auto"/>
                <w:w w:val="72"/>
              </w:rPr>
              <w:t>(1)</w:t>
            </w:r>
          </w:p>
        </w:tc>
        <w:tc>
          <w:tcPr>
            <w:tcW w:w="1460" w:type="dxa"/>
            <w:vAlign w:val="bottom"/>
            <w:tcBorders>
              <w:bottom w:val="single" w:sz="8" w:color="05445E"/>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05"/>
        </w:trPr>
        <w:tc>
          <w:tcPr>
            <w:tcW w:w="280" w:type="dxa"/>
            <w:vAlign w:val="bottom"/>
            <w:vMerge w:val="continue"/>
          </w:tcPr>
          <w:p>
            <w:pPr>
              <w:spacing w:after="0"/>
              <w:rPr>
                <w:sz w:val="9"/>
                <w:szCs w:val="9"/>
                <w:color w:val="auto"/>
              </w:rPr>
            </w:pPr>
          </w:p>
        </w:tc>
        <w:tc>
          <w:tcPr>
            <w:tcW w:w="1460" w:type="dxa"/>
            <w:vAlign w:val="bottom"/>
            <w:vMerge w:val="restart"/>
          </w:tcPr>
          <w:p>
            <w:pPr>
              <w:jc w:val="right"/>
              <w:ind w:right="161"/>
              <w:spacing w:after="0"/>
              <w:rPr>
                <w:sz w:val="20"/>
                <w:szCs w:val="20"/>
                <w:color w:val="auto"/>
              </w:rPr>
            </w:pPr>
            <w:r>
              <w:rPr>
                <w:rFonts w:ascii="Arial" w:cs="Arial" w:eastAsia="Arial" w:hAnsi="Arial"/>
                <w:sz w:val="14"/>
                <w:szCs w:val="14"/>
                <w:color w:val="auto"/>
              </w:rPr>
              <w:t>3,728,000</w:t>
            </w: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8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1460" w:type="dxa"/>
            <w:vAlign w:val="bottom"/>
          </w:tcPr>
          <w:p>
            <w:pPr>
              <w:jc w:val="right"/>
              <w:ind w:right="161"/>
              <w:spacing w:after="0"/>
              <w:rPr>
                <w:sz w:val="20"/>
                <w:szCs w:val="20"/>
                <w:color w:val="auto"/>
              </w:rPr>
            </w:pPr>
            <w:r>
              <w:rPr>
                <w:rFonts w:ascii="Arial" w:cs="Arial" w:eastAsia="Arial" w:hAnsi="Arial"/>
                <w:sz w:val="14"/>
                <w:szCs w:val="14"/>
                <w:color w:val="auto"/>
              </w:rPr>
              <w:t>38,687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80" w:type="dxa"/>
            <w:vAlign w:val="bottom"/>
          </w:tcPr>
          <w:p>
            <w:pPr>
              <w:jc w:val="right"/>
              <w:ind w:right="133"/>
              <w:spacing w:after="0"/>
              <w:rPr>
                <w:sz w:val="20"/>
                <w:szCs w:val="20"/>
                <w:color w:val="auto"/>
              </w:rPr>
            </w:pPr>
            <w:r>
              <w:rPr>
                <w:rFonts w:ascii="Arial" w:cs="Arial" w:eastAsia="Arial" w:hAnsi="Arial"/>
                <w:sz w:val="9"/>
                <w:szCs w:val="9"/>
                <w:color w:val="auto"/>
                <w:w w:val="72"/>
              </w:rPr>
              <w:t>(2)</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Pr>
          <w:p>
            <w:pPr>
              <w:jc w:val="right"/>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83"/>
        </w:trPr>
        <w:tc>
          <w:tcPr>
            <w:tcW w:w="28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80" w:type="dxa"/>
            <w:vAlign w:val="bottom"/>
          </w:tcPr>
          <w:p>
            <w:pPr>
              <w:jc w:val="right"/>
              <w:ind w:right="133"/>
              <w:spacing w:after="0"/>
              <w:rPr>
                <w:sz w:val="20"/>
                <w:szCs w:val="20"/>
                <w:color w:val="auto"/>
              </w:rPr>
            </w:pPr>
            <w:r>
              <w:rPr>
                <w:rFonts w:ascii="Arial" w:cs="Arial" w:eastAsia="Arial" w:hAnsi="Arial"/>
                <w:sz w:val="9"/>
                <w:szCs w:val="9"/>
                <w:color w:val="auto"/>
                <w:w w:val="72"/>
              </w:rPr>
              <w:t>(3)</w:t>
            </w:r>
          </w:p>
        </w:tc>
        <w:tc>
          <w:tcPr>
            <w:tcW w:w="14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bl>
    <w:p>
      <w:pPr>
        <w:ind w:left="860"/>
        <w:spacing w:after="0"/>
        <w:rPr>
          <w:sz w:val="20"/>
          <w:szCs w:val="20"/>
          <w:color w:val="auto"/>
        </w:rPr>
      </w:pPr>
      <w:r>
        <w:rPr>
          <w:rFonts w:ascii="Arial" w:cs="Arial" w:eastAsia="Arial" w:hAnsi="Arial"/>
          <w:sz w:val="14"/>
          <w:szCs w:val="14"/>
          <w:color w:val="auto"/>
        </w:rPr>
        <w:t>3,335,186</w:t>
      </w:r>
    </w:p>
    <w:p>
      <w:pPr>
        <w:spacing w:after="0" w:line="39" w:lineRule="exact"/>
        <w:rPr>
          <w:sz w:val="20"/>
          <w:szCs w:val="20"/>
          <w:color w:val="auto"/>
        </w:rPr>
      </w:pPr>
    </w:p>
    <w:tbl>
      <w:tblPr>
        <w:tblLayout w:type="fixed"/>
        <w:tblInd w:w="280" w:type="dxa"/>
        <w:tblCellMar>
          <w:top w:w="0" w:type="dxa"/>
          <w:left w:w="0" w:type="dxa"/>
          <w:bottom w:w="0" w:type="dxa"/>
          <w:right w:w="0" w:type="dxa"/>
        </w:tblCellMar>
      </w:tblPr>
      <w:tr>
        <w:trPr>
          <w:trHeight w:val="123"/>
        </w:trPr>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4,417,119</w:t>
            </w:r>
          </w:p>
        </w:tc>
        <w:tc>
          <w:tcPr>
            <w:tcW w:w="140" w:type="dxa"/>
            <w:vAlign w:val="bottom"/>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83"/>
        </w:trPr>
        <w:tc>
          <w:tcPr>
            <w:tcW w:w="1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4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11,518,992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1"/>
        </w:trPr>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2,261,000</w:t>
            </w: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4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460" w:type="dxa"/>
            <w:vAlign w:val="bottom"/>
          </w:tcPr>
          <w:p>
            <w:pPr>
              <w:jc w:val="right"/>
              <w:ind w:right="168"/>
              <w:spacing w:after="0"/>
              <w:rPr>
                <w:sz w:val="20"/>
                <w:szCs w:val="20"/>
                <w:color w:val="auto"/>
              </w:rPr>
            </w:pPr>
            <w:r>
              <w:rPr>
                <w:rFonts w:ascii="Arial" w:cs="Arial" w:eastAsia="Arial" w:hAnsi="Arial"/>
                <w:sz w:val="14"/>
                <w:szCs w:val="14"/>
                <w:color w:val="auto"/>
              </w:rPr>
              <w:t>38,687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60" w:type="dxa"/>
            <w:vAlign w:val="bottom"/>
            <w:vMerge w:val="restart"/>
          </w:tcPr>
          <w:p>
            <w:pPr>
              <w:jc w:val="right"/>
              <w:ind w:right="58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83"/>
        </w:trPr>
        <w:tc>
          <w:tcPr>
            <w:tcW w:w="1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6"/>
        </w:trPr>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1,199,363</w:t>
            </w:r>
          </w:p>
        </w:tc>
        <w:tc>
          <w:tcPr>
            <w:tcW w:w="140" w:type="dxa"/>
            <w:vAlign w:val="bottom"/>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83"/>
        </w:trPr>
        <w:tc>
          <w:tcPr>
            <w:tcW w:w="1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930,335</w:t>
            </w:r>
          </w:p>
        </w:tc>
        <w:tc>
          <w:tcPr>
            <w:tcW w:w="140" w:type="dxa"/>
            <w:vAlign w:val="bottom"/>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83"/>
        </w:trPr>
        <w:tc>
          <w:tcPr>
            <w:tcW w:w="1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4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460" w:type="dxa"/>
            <w:vAlign w:val="bottom"/>
          </w:tcPr>
          <w:p>
            <w:pPr>
              <w:jc w:val="right"/>
              <w:ind w:right="168"/>
              <w:spacing w:after="0"/>
              <w:rPr>
                <w:sz w:val="20"/>
                <w:szCs w:val="20"/>
                <w:color w:val="auto"/>
              </w:rPr>
            </w:pPr>
            <w:r>
              <w:rPr>
                <w:rFonts w:ascii="Arial" w:cs="Arial" w:eastAsia="Arial" w:hAnsi="Arial"/>
                <w:sz w:val="14"/>
                <w:szCs w:val="14"/>
                <w:color w:val="auto"/>
              </w:rPr>
              <w:t>4,429,385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4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
        </w:trPr>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1,456,000</w:t>
            </w: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4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460" w:type="dxa"/>
            <w:vAlign w:val="bottom"/>
          </w:tcPr>
          <w:p>
            <w:pPr>
              <w:jc w:val="right"/>
              <w:ind w:right="168"/>
              <w:spacing w:after="0"/>
              <w:rPr>
                <w:sz w:val="20"/>
                <w:szCs w:val="20"/>
                <w:color w:val="auto"/>
              </w:rPr>
            </w:pPr>
            <w:r>
              <w:rPr>
                <w:rFonts w:ascii="Arial" w:cs="Arial" w:eastAsia="Arial" w:hAnsi="Arial"/>
                <w:sz w:val="14"/>
                <w:szCs w:val="14"/>
                <w:color w:val="auto"/>
              </w:rPr>
              <w:t>38,687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60" w:type="dxa"/>
            <w:vAlign w:val="bottom"/>
            <w:vMerge w:val="restart"/>
          </w:tcPr>
          <w:p>
            <w:pPr>
              <w:jc w:val="right"/>
              <w:ind w:right="58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83"/>
        </w:trPr>
        <w:tc>
          <w:tcPr>
            <w:tcW w:w="1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6"/>
        </w:trPr>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549,201</w:t>
            </w:r>
          </w:p>
        </w:tc>
        <w:tc>
          <w:tcPr>
            <w:tcW w:w="140" w:type="dxa"/>
            <w:vAlign w:val="bottom"/>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83"/>
        </w:trPr>
        <w:tc>
          <w:tcPr>
            <w:tcW w:w="1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771,372</w:t>
            </w:r>
          </w:p>
        </w:tc>
        <w:tc>
          <w:tcPr>
            <w:tcW w:w="140" w:type="dxa"/>
            <w:vAlign w:val="bottom"/>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83"/>
        </w:trPr>
        <w:tc>
          <w:tcPr>
            <w:tcW w:w="1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4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2,815,260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91"/>
        </w:trPr>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1,369,600</w:t>
            </w: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4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460" w:type="dxa"/>
            <w:vAlign w:val="bottom"/>
          </w:tcPr>
          <w:p>
            <w:pPr>
              <w:jc w:val="right"/>
              <w:ind w:right="168"/>
              <w:spacing w:after="0"/>
              <w:rPr>
                <w:sz w:val="20"/>
                <w:szCs w:val="20"/>
                <w:color w:val="auto"/>
              </w:rPr>
            </w:pPr>
            <w:r>
              <w:rPr>
                <w:rFonts w:ascii="Arial" w:cs="Arial" w:eastAsia="Arial" w:hAnsi="Arial"/>
                <w:sz w:val="14"/>
                <w:szCs w:val="14"/>
                <w:color w:val="auto"/>
              </w:rPr>
              <w:t>52,666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460" w:type="dxa"/>
            <w:vAlign w:val="bottom"/>
            <w:vMerge w:val="restart"/>
          </w:tcPr>
          <w:p>
            <w:pPr>
              <w:jc w:val="right"/>
              <w:ind w:right="58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83"/>
        </w:trPr>
        <w:tc>
          <w:tcPr>
            <w:tcW w:w="1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5"/>
        </w:trPr>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412,811</w:t>
            </w:r>
          </w:p>
        </w:tc>
        <w:tc>
          <w:tcPr>
            <w:tcW w:w="140" w:type="dxa"/>
            <w:vAlign w:val="bottom"/>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83"/>
        </w:trPr>
        <w:tc>
          <w:tcPr>
            <w:tcW w:w="1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460" w:type="dxa"/>
            <w:vAlign w:val="bottom"/>
            <w:vMerge w:val="restart"/>
          </w:tcPr>
          <w:p>
            <w:pPr>
              <w:jc w:val="right"/>
              <w:ind w:right="168"/>
              <w:spacing w:after="0"/>
              <w:rPr>
                <w:sz w:val="20"/>
                <w:szCs w:val="20"/>
                <w:color w:val="auto"/>
              </w:rPr>
            </w:pPr>
            <w:r>
              <w:rPr>
                <w:rFonts w:ascii="Arial" w:cs="Arial" w:eastAsia="Arial" w:hAnsi="Arial"/>
                <w:sz w:val="14"/>
                <w:szCs w:val="14"/>
                <w:color w:val="auto"/>
              </w:rPr>
              <w:t>728,953</w:t>
            </w:r>
          </w:p>
        </w:tc>
        <w:tc>
          <w:tcPr>
            <w:tcW w:w="140" w:type="dxa"/>
            <w:vAlign w:val="bottom"/>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83"/>
        </w:trPr>
        <w:tc>
          <w:tcPr>
            <w:tcW w:w="1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4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-3577590</wp:posOffset>
            </wp:positionV>
            <wp:extent cx="257175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71750" cy="154305"/>
                    </a:xfrm>
                    <a:prstGeom prst="rect">
                      <a:avLst/>
                    </a:prstGeom>
                    <a:noFill/>
                  </pic:spPr>
                </pic:pic>
              </a:graphicData>
            </a:graphic>
          </wp:anchor>
        </w:drawing>
        <w:drawing>
          <wp:anchor simplePos="0" relativeHeight="251657728" behindDoc="1" locked="0" layoutInCell="0" allowOverlap="1">
            <wp:simplePos x="0" y="0"/>
            <wp:positionH relativeFrom="column">
              <wp:posOffset>-1275715</wp:posOffset>
            </wp:positionH>
            <wp:positionV relativeFrom="paragraph">
              <wp:posOffset>-1177290</wp:posOffset>
            </wp:positionV>
            <wp:extent cx="257175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71750" cy="15430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3">
            <w:col w:w="5620" w:space="0"/>
            <w:col w:w="3560" w:space="20"/>
            <w:col w:w="2040"/>
          </w:cols>
          <w:pgMar w:left="320" w:top="1205" w:right="339" w:bottom="1026" w:gutter="0" w:footer="0" w:header="0"/>
        </w:sectPr>
      </w:pPr>
    </w:p>
    <w:tbl>
      <w:tblPr>
        <w:tblLayout w:type="fixed"/>
        <w:tblInd w:w="0" w:type="dxa"/>
        <w:tblCellMar>
          <w:top w:w="0" w:type="dxa"/>
          <w:left w:w="0" w:type="dxa"/>
          <w:bottom w:w="0" w:type="dxa"/>
          <w:right w:w="0" w:type="dxa"/>
        </w:tblCellMar>
      </w:tblPr>
      <w:tr>
        <w:trPr>
          <w:trHeight w:val="221"/>
        </w:trPr>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654,812</w:t>
            </w:r>
          </w:p>
        </w:tc>
        <w:tc>
          <w:tcPr>
            <w:tcW w:w="340" w:type="dxa"/>
            <w:vAlign w:val="bottom"/>
          </w:tcPr>
          <w:p>
            <w:pPr>
              <w:spacing w:after="0"/>
              <w:rPr>
                <w:sz w:val="19"/>
                <w:szCs w:val="19"/>
                <w:color w:val="auto"/>
              </w:rPr>
            </w:pPr>
          </w:p>
        </w:tc>
        <w:tc>
          <w:tcPr>
            <w:tcW w:w="1220" w:type="dxa"/>
            <w:vAlign w:val="bottom"/>
            <w:tcBorders>
              <w:top w:val="single" w:sz="8" w:color="auto"/>
            </w:tcBorders>
          </w:tcPr>
          <w:p>
            <w:pPr>
              <w:ind w:left="600"/>
              <w:spacing w:after="0"/>
              <w:rPr>
                <w:sz w:val="20"/>
                <w:szCs w:val="20"/>
                <w:color w:val="auto"/>
              </w:rPr>
            </w:pPr>
            <w:r>
              <w:rPr>
                <w:rFonts w:ascii="Arial" w:cs="Arial" w:eastAsia="Arial" w:hAnsi="Arial"/>
                <w:sz w:val="14"/>
                <w:szCs w:val="14"/>
                <w:color w:val="auto"/>
              </w:rPr>
              <w:t>412,811</w:t>
            </w:r>
          </w:p>
        </w:tc>
        <w:tc>
          <w:tcPr>
            <w:tcW w:w="300" w:type="dxa"/>
            <w:vAlign w:val="bottom"/>
          </w:tcPr>
          <w:p>
            <w:pPr>
              <w:spacing w:after="0"/>
              <w:rPr>
                <w:sz w:val="19"/>
                <w:szCs w:val="19"/>
                <w:color w:val="auto"/>
              </w:rPr>
            </w:pPr>
          </w:p>
        </w:tc>
        <w:tc>
          <w:tcPr>
            <w:tcW w:w="1700" w:type="dxa"/>
            <w:vAlign w:val="bottom"/>
            <w:tcBorders>
              <w:top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14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2,564,030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66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3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BDBDB"/>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DBDBDB"/>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DBDBDB"/>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66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Raelyn A.</w:t>
            </w:r>
          </w:p>
        </w:tc>
        <w:tc>
          <w:tcPr>
            <w:tcW w:w="80" w:type="dxa"/>
            <w:vAlign w:val="bottom"/>
            <w:shd w:val="clear" w:color="auto" w:fill="DBDBDB"/>
          </w:tcPr>
          <w:p>
            <w:pPr>
              <w:spacing w:after="0"/>
              <w:rPr>
                <w:sz w:val="7"/>
                <w:szCs w:val="7"/>
                <w:color w:val="auto"/>
              </w:rPr>
            </w:pPr>
          </w:p>
        </w:tc>
        <w:tc>
          <w:tcPr>
            <w:tcW w:w="230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Cash Severance Payment</w:t>
            </w:r>
          </w:p>
        </w:tc>
        <w:tc>
          <w:tcPr>
            <w:tcW w:w="100" w:type="dxa"/>
            <w:vAlign w:val="bottom"/>
            <w:shd w:val="clear" w:color="auto" w:fill="DBDBDB"/>
          </w:tcPr>
          <w:p>
            <w:pPr>
              <w:spacing w:after="0"/>
              <w:rPr>
                <w:sz w:val="7"/>
                <w:szCs w:val="7"/>
                <w:color w:val="auto"/>
              </w:rPr>
            </w:pPr>
          </w:p>
        </w:tc>
        <w:tc>
          <w:tcPr>
            <w:tcW w:w="1480" w:type="dxa"/>
            <w:vAlign w:val="bottom"/>
            <w:vMerge w:val="restart"/>
            <w:shd w:val="clear" w:color="auto" w:fill="DBDBDB"/>
          </w:tcPr>
          <w:p>
            <w:pPr>
              <w:jc w:val="right"/>
              <w:ind w:right="608"/>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7"/>
                <w:szCs w:val="7"/>
                <w:color w:val="auto"/>
              </w:rPr>
            </w:pPr>
          </w:p>
        </w:tc>
        <w:tc>
          <w:tcPr>
            <w:tcW w:w="1220" w:type="dxa"/>
            <w:vAlign w:val="bottom"/>
            <w:vMerge w:val="restart"/>
            <w:shd w:val="clear" w:color="auto" w:fill="DBDBDB"/>
          </w:tcPr>
          <w:p>
            <w:pPr>
              <w:ind w:left="540"/>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spacing w:after="0"/>
              <w:rPr>
                <w:sz w:val="7"/>
                <w:szCs w:val="7"/>
                <w:color w:val="auto"/>
              </w:rPr>
            </w:pPr>
          </w:p>
        </w:tc>
        <w:tc>
          <w:tcPr>
            <w:tcW w:w="2000" w:type="dxa"/>
            <w:vAlign w:val="bottom"/>
            <w:gridSpan w:val="2"/>
            <w:vMerge w:val="restart"/>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1460" w:type="dxa"/>
            <w:vAlign w:val="bottom"/>
            <w:vMerge w:val="restart"/>
            <w:shd w:val="clear" w:color="auto" w:fill="DBDBDB"/>
          </w:tcPr>
          <w:p>
            <w:pPr>
              <w:jc w:val="right"/>
              <w:ind w:right="168"/>
              <w:spacing w:after="0"/>
              <w:rPr>
                <w:sz w:val="20"/>
                <w:szCs w:val="20"/>
                <w:color w:val="auto"/>
              </w:rPr>
            </w:pPr>
            <w:r>
              <w:rPr>
                <w:rFonts w:ascii="Arial" w:cs="Arial" w:eastAsia="Arial" w:hAnsi="Arial"/>
                <w:sz w:val="14"/>
                <w:szCs w:val="14"/>
                <w:color w:val="auto"/>
              </w:rPr>
              <w:t>1,312,000</w:t>
            </w:r>
          </w:p>
        </w:tc>
        <w:tc>
          <w:tcPr>
            <w:tcW w:w="300" w:type="dxa"/>
            <w:vAlign w:val="bottom"/>
            <w:shd w:val="clear" w:color="auto" w:fill="DBDBDB"/>
          </w:tcPr>
          <w:p>
            <w:pPr>
              <w:jc w:val="right"/>
              <w:ind w:right="113"/>
              <w:spacing w:after="0" w:line="92" w:lineRule="exact"/>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10"/>
        </w:trPr>
        <w:tc>
          <w:tcPr>
            <w:tcW w:w="1660" w:type="dxa"/>
            <w:vAlign w:val="bottom"/>
            <w:vMerge w:val="continue"/>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2300" w:type="dxa"/>
            <w:vAlign w:val="bottom"/>
            <w:vMerge w:val="continue"/>
            <w:shd w:val="clear" w:color="auto" w:fill="DBDBDB"/>
          </w:tcPr>
          <w:p>
            <w:pPr>
              <w:spacing w:after="0"/>
              <w:rPr>
                <w:sz w:val="9"/>
                <w:szCs w:val="9"/>
                <w:color w:val="auto"/>
              </w:rPr>
            </w:pPr>
          </w:p>
        </w:tc>
        <w:tc>
          <w:tcPr>
            <w:tcW w:w="100" w:type="dxa"/>
            <w:vAlign w:val="bottom"/>
            <w:shd w:val="clear" w:color="auto" w:fill="DBDBDB"/>
          </w:tcPr>
          <w:p>
            <w:pPr>
              <w:spacing w:after="0"/>
              <w:rPr>
                <w:sz w:val="9"/>
                <w:szCs w:val="9"/>
                <w:color w:val="auto"/>
              </w:rPr>
            </w:pPr>
          </w:p>
        </w:tc>
        <w:tc>
          <w:tcPr>
            <w:tcW w:w="1480" w:type="dxa"/>
            <w:vAlign w:val="bottom"/>
            <w:vMerge w:val="continue"/>
            <w:shd w:val="clear" w:color="auto" w:fill="DBDBDB"/>
          </w:tcPr>
          <w:p>
            <w:pPr>
              <w:spacing w:after="0"/>
              <w:rPr>
                <w:sz w:val="9"/>
                <w:szCs w:val="9"/>
                <w:color w:val="auto"/>
              </w:rPr>
            </w:pPr>
          </w:p>
        </w:tc>
        <w:tc>
          <w:tcPr>
            <w:tcW w:w="340" w:type="dxa"/>
            <w:vAlign w:val="bottom"/>
            <w:shd w:val="clear" w:color="auto" w:fill="DBDBDB"/>
          </w:tcPr>
          <w:p>
            <w:pPr>
              <w:spacing w:after="0"/>
              <w:rPr>
                <w:sz w:val="9"/>
                <w:szCs w:val="9"/>
                <w:color w:val="auto"/>
              </w:rPr>
            </w:pPr>
          </w:p>
        </w:tc>
        <w:tc>
          <w:tcPr>
            <w:tcW w:w="1220" w:type="dxa"/>
            <w:vAlign w:val="bottom"/>
            <w:vMerge w:val="continue"/>
            <w:shd w:val="clear" w:color="auto" w:fill="DBDBDB"/>
          </w:tcPr>
          <w:p>
            <w:pPr>
              <w:spacing w:after="0"/>
              <w:rPr>
                <w:sz w:val="9"/>
                <w:szCs w:val="9"/>
                <w:color w:val="auto"/>
              </w:rPr>
            </w:pPr>
          </w:p>
        </w:tc>
        <w:tc>
          <w:tcPr>
            <w:tcW w:w="300" w:type="dxa"/>
            <w:vAlign w:val="bottom"/>
            <w:shd w:val="clear" w:color="auto" w:fill="DBDBDB"/>
          </w:tcPr>
          <w:p>
            <w:pPr>
              <w:spacing w:after="0"/>
              <w:rPr>
                <w:sz w:val="9"/>
                <w:szCs w:val="9"/>
                <w:color w:val="auto"/>
              </w:rPr>
            </w:pPr>
          </w:p>
        </w:tc>
        <w:tc>
          <w:tcPr>
            <w:tcW w:w="2000" w:type="dxa"/>
            <w:vAlign w:val="bottom"/>
            <w:gridSpan w:val="2"/>
            <w:vMerge w:val="continue"/>
            <w:shd w:val="clear" w:color="auto" w:fill="DBDBDB"/>
          </w:tcPr>
          <w:p>
            <w:pPr>
              <w:spacing w:after="0"/>
              <w:rPr>
                <w:sz w:val="9"/>
                <w:szCs w:val="9"/>
                <w:color w:val="auto"/>
              </w:rPr>
            </w:pPr>
          </w:p>
        </w:tc>
        <w:tc>
          <w:tcPr>
            <w:tcW w:w="1460" w:type="dxa"/>
            <w:vAlign w:val="bottom"/>
            <w:vMerge w:val="continue"/>
            <w:shd w:val="clear" w:color="auto" w:fill="DBDBDB"/>
          </w:tcPr>
          <w:p>
            <w:pPr>
              <w:spacing w:after="0"/>
              <w:rPr>
                <w:sz w:val="9"/>
                <w:szCs w:val="9"/>
                <w:color w:val="auto"/>
              </w:rPr>
            </w:pPr>
          </w:p>
        </w:tc>
        <w:tc>
          <w:tcPr>
            <w:tcW w:w="30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DBDBDB"/>
          </w:tcPr>
          <w:p>
            <w:pPr>
              <w:ind w:left="20"/>
              <w:spacing w:after="0"/>
              <w:rPr>
                <w:sz w:val="20"/>
                <w:szCs w:val="20"/>
                <w:color w:val="auto"/>
              </w:rPr>
            </w:pPr>
            <w:r>
              <w:rPr>
                <w:rFonts w:ascii="Arial" w:cs="Arial" w:eastAsia="Arial" w:hAnsi="Arial"/>
                <w:sz w:val="14"/>
                <w:szCs w:val="14"/>
                <w:color w:val="auto"/>
              </w:rPr>
              <w:t>Trende</w:t>
            </w:r>
          </w:p>
        </w:tc>
        <w:tc>
          <w:tcPr>
            <w:tcW w:w="80" w:type="dxa"/>
            <w:vAlign w:val="bottom"/>
            <w:shd w:val="clear" w:color="auto" w:fill="DBDBDB"/>
          </w:tcPr>
          <w:p>
            <w:pPr>
              <w:spacing w:after="0"/>
              <w:rPr>
                <w:sz w:val="19"/>
                <w:szCs w:val="19"/>
                <w:color w:val="auto"/>
              </w:rPr>
            </w:pPr>
          </w:p>
        </w:tc>
        <w:tc>
          <w:tcPr>
            <w:tcW w:w="2300" w:type="dxa"/>
            <w:vAlign w:val="bottom"/>
            <w:shd w:val="clear" w:color="auto" w:fill="DBDBDB"/>
          </w:tcPr>
          <w:p>
            <w:pPr>
              <w:ind w:left="20"/>
              <w:spacing w:after="0"/>
              <w:rPr>
                <w:sz w:val="20"/>
                <w:szCs w:val="20"/>
                <w:color w:val="auto"/>
              </w:rPr>
            </w:pPr>
            <w:r>
              <w:rPr>
                <w:rFonts w:ascii="Arial" w:cs="Arial" w:eastAsia="Arial" w:hAnsi="Arial"/>
                <w:sz w:val="14"/>
                <w:szCs w:val="14"/>
                <w:color w:val="auto"/>
              </w:rPr>
              <w:t>Health Insurance Benefits</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ind w:right="608"/>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ind w:left="540"/>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spacing w:after="0"/>
              <w:rPr>
                <w:sz w:val="19"/>
                <w:szCs w:val="19"/>
                <w:color w:val="auto"/>
              </w:rPr>
            </w:pPr>
          </w:p>
        </w:tc>
        <w:tc>
          <w:tcPr>
            <w:tcW w:w="2000" w:type="dxa"/>
            <w:vAlign w:val="bottom"/>
            <w:gridSpan w:val="2"/>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52,666</w:t>
            </w:r>
          </w:p>
        </w:tc>
        <w:tc>
          <w:tcPr>
            <w:tcW w:w="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6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30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Reimbursement of Legal Costs</w:t>
            </w:r>
          </w:p>
        </w:tc>
        <w:tc>
          <w:tcPr>
            <w:tcW w:w="100" w:type="dxa"/>
            <w:vAlign w:val="bottom"/>
            <w:shd w:val="clear" w:color="auto" w:fill="DBDBDB"/>
          </w:tcPr>
          <w:p>
            <w:pPr>
              <w:spacing w:after="0"/>
              <w:rPr>
                <w:sz w:val="12"/>
                <w:szCs w:val="12"/>
                <w:color w:val="auto"/>
              </w:rPr>
            </w:pPr>
          </w:p>
        </w:tc>
        <w:tc>
          <w:tcPr>
            <w:tcW w:w="1480" w:type="dxa"/>
            <w:vAlign w:val="bottom"/>
            <w:vMerge w:val="restart"/>
            <w:shd w:val="clear" w:color="auto" w:fill="DBDBDB"/>
          </w:tcPr>
          <w:p>
            <w:pPr>
              <w:jc w:val="right"/>
              <w:ind w:right="608"/>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2"/>
                <w:szCs w:val="12"/>
                <w:color w:val="auto"/>
              </w:rPr>
            </w:pPr>
          </w:p>
        </w:tc>
        <w:tc>
          <w:tcPr>
            <w:tcW w:w="1220" w:type="dxa"/>
            <w:vAlign w:val="bottom"/>
            <w:vMerge w:val="restart"/>
            <w:shd w:val="clear" w:color="auto" w:fill="DBDBDB"/>
          </w:tcPr>
          <w:p>
            <w:pPr>
              <w:ind w:left="540"/>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spacing w:after="0"/>
              <w:rPr>
                <w:sz w:val="12"/>
                <w:szCs w:val="12"/>
                <w:color w:val="auto"/>
              </w:rPr>
            </w:pPr>
          </w:p>
        </w:tc>
        <w:tc>
          <w:tcPr>
            <w:tcW w:w="2000" w:type="dxa"/>
            <w:vAlign w:val="bottom"/>
            <w:gridSpan w:val="2"/>
            <w:vMerge w:val="restart"/>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1460" w:type="dxa"/>
            <w:vAlign w:val="bottom"/>
            <w:vMerge w:val="restart"/>
            <w:shd w:val="clear" w:color="auto" w:fill="DBDBDB"/>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jc w:val="right"/>
              <w:ind w:right="113"/>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83"/>
        </w:trPr>
        <w:tc>
          <w:tcPr>
            <w:tcW w:w="166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2300" w:type="dxa"/>
            <w:vAlign w:val="bottom"/>
            <w:vMerge w:val="continue"/>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1480" w:type="dxa"/>
            <w:vAlign w:val="bottom"/>
            <w:vMerge w:val="continue"/>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220" w:type="dxa"/>
            <w:vAlign w:val="bottom"/>
            <w:vMerge w:val="continue"/>
            <w:shd w:val="clear" w:color="auto" w:fill="DBDBDB"/>
          </w:tcPr>
          <w:p>
            <w:pPr>
              <w:spacing w:after="0"/>
              <w:rPr>
                <w:sz w:val="7"/>
                <w:szCs w:val="7"/>
                <w:color w:val="auto"/>
              </w:rPr>
            </w:pPr>
          </w:p>
        </w:tc>
        <w:tc>
          <w:tcPr>
            <w:tcW w:w="300" w:type="dxa"/>
            <w:vAlign w:val="bottom"/>
            <w:shd w:val="clear" w:color="auto" w:fill="DBDBDB"/>
          </w:tcPr>
          <w:p>
            <w:pPr>
              <w:spacing w:after="0"/>
              <w:rPr>
                <w:sz w:val="7"/>
                <w:szCs w:val="7"/>
                <w:color w:val="auto"/>
              </w:rPr>
            </w:pPr>
          </w:p>
        </w:tc>
        <w:tc>
          <w:tcPr>
            <w:tcW w:w="2000" w:type="dxa"/>
            <w:vAlign w:val="bottom"/>
            <w:gridSpan w:val="2"/>
            <w:vMerge w:val="continue"/>
            <w:shd w:val="clear" w:color="auto" w:fill="DBDBDB"/>
          </w:tcPr>
          <w:p>
            <w:pPr>
              <w:spacing w:after="0"/>
              <w:rPr>
                <w:sz w:val="7"/>
                <w:szCs w:val="7"/>
                <w:color w:val="auto"/>
              </w:rPr>
            </w:pPr>
          </w:p>
        </w:tc>
        <w:tc>
          <w:tcPr>
            <w:tcW w:w="1460" w:type="dxa"/>
            <w:vAlign w:val="bottom"/>
            <w:vMerge w:val="continue"/>
            <w:shd w:val="clear" w:color="auto" w:fill="DBDBDB"/>
          </w:tcPr>
          <w:p>
            <w:pPr>
              <w:spacing w:after="0"/>
              <w:rPr>
                <w:sz w:val="7"/>
                <w:szCs w:val="7"/>
                <w:color w:val="auto"/>
              </w:rPr>
            </w:pPr>
          </w:p>
        </w:tc>
        <w:tc>
          <w:tcPr>
            <w:tcW w:w="30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6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300" w:type="dxa"/>
            <w:vAlign w:val="bottom"/>
            <w:shd w:val="clear" w:color="auto" w:fill="DBDBDB"/>
          </w:tcPr>
          <w:p>
            <w:pPr>
              <w:ind w:left="20"/>
              <w:spacing w:after="0"/>
              <w:rPr>
                <w:sz w:val="20"/>
                <w:szCs w:val="20"/>
                <w:color w:val="auto"/>
              </w:rPr>
            </w:pPr>
            <w:r>
              <w:rPr>
                <w:rFonts w:ascii="Arial" w:cs="Arial" w:eastAsia="Arial" w:hAnsi="Arial"/>
                <w:sz w:val="14"/>
                <w:szCs w:val="14"/>
                <w:color w:val="auto"/>
              </w:rPr>
              <w:t>Acceleration of Vesting</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7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66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300" w:type="dxa"/>
            <w:vAlign w:val="bottom"/>
            <w:shd w:val="clear" w:color="auto" w:fill="DBDBDB"/>
          </w:tcPr>
          <w:p>
            <w:pPr>
              <w:ind w:left="280"/>
              <w:spacing w:after="0"/>
              <w:rPr>
                <w:sz w:val="20"/>
                <w:szCs w:val="20"/>
                <w:color w:val="auto"/>
              </w:rPr>
            </w:pPr>
            <w:r>
              <w:rPr>
                <w:rFonts w:ascii="Arial" w:cs="Arial" w:eastAsia="Arial" w:hAnsi="Arial"/>
                <w:sz w:val="14"/>
                <w:szCs w:val="14"/>
                <w:color w:val="auto"/>
              </w:rPr>
              <w:t>Restricted Stock</w:t>
            </w:r>
          </w:p>
        </w:tc>
        <w:tc>
          <w:tcPr>
            <w:tcW w:w="100" w:type="dxa"/>
            <w:vAlign w:val="bottom"/>
            <w:shd w:val="clear" w:color="auto" w:fill="DBDBDB"/>
          </w:tcPr>
          <w:p>
            <w:pPr>
              <w:spacing w:after="0"/>
              <w:rPr>
                <w:sz w:val="21"/>
                <w:szCs w:val="21"/>
                <w:color w:val="auto"/>
              </w:rPr>
            </w:pPr>
          </w:p>
        </w:tc>
        <w:tc>
          <w:tcPr>
            <w:tcW w:w="148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511,088</w:t>
            </w:r>
          </w:p>
        </w:tc>
        <w:tc>
          <w:tcPr>
            <w:tcW w:w="340" w:type="dxa"/>
            <w:vAlign w:val="bottom"/>
            <w:shd w:val="clear" w:color="auto" w:fill="DBDBDB"/>
          </w:tcPr>
          <w:p>
            <w:pPr>
              <w:jc w:val="right"/>
              <w:ind w:right="173"/>
              <w:spacing w:after="0"/>
              <w:rPr>
                <w:sz w:val="20"/>
                <w:szCs w:val="20"/>
                <w:color w:val="auto"/>
              </w:rPr>
            </w:pPr>
            <w:r>
              <w:rPr>
                <w:rFonts w:ascii="Arial" w:cs="Arial" w:eastAsia="Arial" w:hAnsi="Arial"/>
                <w:sz w:val="9"/>
                <w:szCs w:val="9"/>
                <w:color w:val="auto"/>
                <w:w w:val="90"/>
              </w:rPr>
              <w:t>(3)</w:t>
            </w:r>
          </w:p>
        </w:tc>
        <w:tc>
          <w:tcPr>
            <w:tcW w:w="1520" w:type="dxa"/>
            <w:vAlign w:val="bottom"/>
            <w:gridSpan w:val="2"/>
            <w:shd w:val="clear" w:color="auto" w:fill="DBDBDB"/>
          </w:tcPr>
          <w:p>
            <w:pPr>
              <w:ind w:left="600"/>
              <w:spacing w:after="0"/>
              <w:rPr>
                <w:sz w:val="20"/>
                <w:szCs w:val="20"/>
                <w:color w:val="auto"/>
              </w:rPr>
            </w:pPr>
            <w:r>
              <w:rPr>
                <w:rFonts w:ascii="Arial" w:cs="Arial" w:eastAsia="Arial" w:hAnsi="Arial"/>
                <w:sz w:val="14"/>
                <w:szCs w:val="14"/>
                <w:color w:val="auto"/>
              </w:rPr>
              <w:t xml:space="preserve">511,088  </w:t>
            </w:r>
            <w:r>
              <w:rPr>
                <w:rFonts w:ascii="Arial" w:cs="Arial" w:eastAsia="Arial" w:hAnsi="Arial"/>
                <w:sz w:val="18"/>
                <w:szCs w:val="18"/>
                <w:color w:val="auto"/>
                <w:vertAlign w:val="superscript"/>
              </w:rPr>
              <w:t>(3)</w:t>
            </w:r>
          </w:p>
        </w:tc>
        <w:tc>
          <w:tcPr>
            <w:tcW w:w="2000" w:type="dxa"/>
            <w:vAlign w:val="bottom"/>
            <w:gridSpan w:val="2"/>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511,088</w:t>
            </w:r>
          </w:p>
        </w:tc>
        <w:tc>
          <w:tcPr>
            <w:tcW w:w="300" w:type="dxa"/>
            <w:vAlign w:val="bottom"/>
            <w:shd w:val="clear" w:color="auto" w:fill="DBDBDB"/>
          </w:tcPr>
          <w:p>
            <w:pPr>
              <w:jc w:val="right"/>
              <w:ind w:right="113"/>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25"/>
        </w:trPr>
        <w:tc>
          <w:tcPr>
            <w:tcW w:w="16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2300" w:type="dxa"/>
            <w:vAlign w:val="bottom"/>
            <w:vMerge w:val="restart"/>
            <w:shd w:val="clear" w:color="auto" w:fill="DBDBDB"/>
          </w:tcPr>
          <w:p>
            <w:pPr>
              <w:ind w:left="280"/>
              <w:spacing w:after="0"/>
              <w:rPr>
                <w:sz w:val="20"/>
                <w:szCs w:val="20"/>
                <w:color w:val="auto"/>
              </w:rPr>
            </w:pPr>
            <w:r>
              <w:rPr>
                <w:rFonts w:ascii="Arial" w:cs="Arial" w:eastAsia="Arial" w:hAnsi="Arial"/>
                <w:sz w:val="14"/>
                <w:szCs w:val="14"/>
                <w:color w:val="auto"/>
              </w:rPr>
              <w:t>Performance Awards</w:t>
            </w:r>
          </w:p>
        </w:tc>
        <w:tc>
          <w:tcPr>
            <w:tcW w:w="100" w:type="dxa"/>
            <w:vAlign w:val="bottom"/>
            <w:shd w:val="clear" w:color="auto" w:fill="DBDBDB"/>
          </w:tcPr>
          <w:p>
            <w:pPr>
              <w:spacing w:after="0"/>
              <w:rPr>
                <w:sz w:val="10"/>
                <w:szCs w:val="10"/>
                <w:color w:val="auto"/>
              </w:rPr>
            </w:pPr>
          </w:p>
        </w:tc>
        <w:tc>
          <w:tcPr>
            <w:tcW w:w="1480" w:type="dxa"/>
            <w:vAlign w:val="bottom"/>
            <w:vMerge w:val="restart"/>
            <w:shd w:val="clear" w:color="auto" w:fill="DBDBDB"/>
          </w:tcPr>
          <w:p>
            <w:pPr>
              <w:jc w:val="right"/>
              <w:ind w:right="608"/>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jc w:val="right"/>
              <w:ind w:right="173"/>
              <w:spacing w:after="0"/>
              <w:rPr>
                <w:sz w:val="20"/>
                <w:szCs w:val="20"/>
                <w:color w:val="auto"/>
              </w:rPr>
            </w:pPr>
            <w:r>
              <w:rPr>
                <w:rFonts w:ascii="Arial" w:cs="Arial" w:eastAsia="Arial" w:hAnsi="Arial"/>
                <w:sz w:val="9"/>
                <w:szCs w:val="9"/>
                <w:color w:val="auto"/>
                <w:w w:val="90"/>
              </w:rPr>
              <w:t>(4)</w:t>
            </w:r>
          </w:p>
        </w:tc>
        <w:tc>
          <w:tcPr>
            <w:tcW w:w="1220" w:type="dxa"/>
            <w:vAlign w:val="bottom"/>
            <w:vMerge w:val="restart"/>
            <w:shd w:val="clear" w:color="auto" w:fill="DBDBDB"/>
          </w:tcPr>
          <w:p>
            <w:pPr>
              <w:ind w:left="540"/>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jc w:val="right"/>
              <w:ind w:right="113"/>
              <w:spacing w:after="0"/>
              <w:rPr>
                <w:sz w:val="20"/>
                <w:szCs w:val="20"/>
                <w:color w:val="auto"/>
              </w:rPr>
            </w:pPr>
            <w:r>
              <w:rPr>
                <w:rFonts w:ascii="Arial" w:cs="Arial" w:eastAsia="Arial" w:hAnsi="Arial"/>
                <w:sz w:val="9"/>
                <w:szCs w:val="9"/>
                <w:color w:val="auto"/>
              </w:rPr>
              <w:t>(4)</w:t>
            </w:r>
          </w:p>
        </w:tc>
        <w:tc>
          <w:tcPr>
            <w:tcW w:w="2000" w:type="dxa"/>
            <w:vAlign w:val="bottom"/>
            <w:gridSpan w:val="2"/>
            <w:vMerge w:val="restart"/>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1460" w:type="dxa"/>
            <w:vAlign w:val="bottom"/>
            <w:vMerge w:val="restart"/>
            <w:shd w:val="clear" w:color="auto" w:fill="DBDBDB"/>
          </w:tcPr>
          <w:p>
            <w:pPr>
              <w:jc w:val="right"/>
              <w:ind w:right="168"/>
              <w:spacing w:after="0"/>
              <w:rPr>
                <w:sz w:val="20"/>
                <w:szCs w:val="20"/>
                <w:color w:val="auto"/>
              </w:rPr>
            </w:pPr>
            <w:r>
              <w:rPr>
                <w:rFonts w:ascii="Arial" w:cs="Arial" w:eastAsia="Arial" w:hAnsi="Arial"/>
                <w:sz w:val="14"/>
                <w:szCs w:val="14"/>
                <w:color w:val="auto"/>
              </w:rPr>
              <w:t>210,203</w:t>
            </w:r>
          </w:p>
        </w:tc>
        <w:tc>
          <w:tcPr>
            <w:tcW w:w="300" w:type="dxa"/>
            <w:vAlign w:val="bottom"/>
            <w:shd w:val="clear" w:color="auto" w:fill="DBDBDB"/>
          </w:tcPr>
          <w:p>
            <w:pPr>
              <w:jc w:val="right"/>
              <w:ind w:right="113"/>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84"/>
        </w:trPr>
        <w:tc>
          <w:tcPr>
            <w:tcW w:w="166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2300" w:type="dxa"/>
            <w:vAlign w:val="bottom"/>
            <w:vMerge w:val="continue"/>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1480" w:type="dxa"/>
            <w:vAlign w:val="bottom"/>
            <w:vMerge w:val="continue"/>
            <w:shd w:val="clear" w:color="auto" w:fill="DBDBDB"/>
          </w:tcPr>
          <w:p>
            <w:pPr>
              <w:spacing w:after="0"/>
              <w:rPr>
                <w:sz w:val="7"/>
                <w:szCs w:val="7"/>
                <w:color w:val="auto"/>
              </w:rPr>
            </w:pPr>
          </w:p>
        </w:tc>
        <w:tc>
          <w:tcPr>
            <w:tcW w:w="340" w:type="dxa"/>
            <w:vAlign w:val="bottom"/>
            <w:shd w:val="clear" w:color="auto" w:fill="DBDBDB"/>
          </w:tcPr>
          <w:p>
            <w:pPr>
              <w:spacing w:after="0"/>
              <w:rPr>
                <w:sz w:val="7"/>
                <w:szCs w:val="7"/>
                <w:color w:val="auto"/>
              </w:rPr>
            </w:pPr>
          </w:p>
        </w:tc>
        <w:tc>
          <w:tcPr>
            <w:tcW w:w="1220" w:type="dxa"/>
            <w:vAlign w:val="bottom"/>
            <w:vMerge w:val="continue"/>
            <w:shd w:val="clear" w:color="auto" w:fill="DBDBDB"/>
          </w:tcPr>
          <w:p>
            <w:pPr>
              <w:spacing w:after="0"/>
              <w:rPr>
                <w:sz w:val="7"/>
                <w:szCs w:val="7"/>
                <w:color w:val="auto"/>
              </w:rPr>
            </w:pPr>
          </w:p>
        </w:tc>
        <w:tc>
          <w:tcPr>
            <w:tcW w:w="300" w:type="dxa"/>
            <w:vAlign w:val="bottom"/>
            <w:shd w:val="clear" w:color="auto" w:fill="DBDBDB"/>
          </w:tcPr>
          <w:p>
            <w:pPr>
              <w:spacing w:after="0"/>
              <w:rPr>
                <w:sz w:val="7"/>
                <w:szCs w:val="7"/>
                <w:color w:val="auto"/>
              </w:rPr>
            </w:pPr>
          </w:p>
        </w:tc>
        <w:tc>
          <w:tcPr>
            <w:tcW w:w="2000" w:type="dxa"/>
            <w:vAlign w:val="bottom"/>
            <w:gridSpan w:val="2"/>
            <w:vMerge w:val="continue"/>
            <w:shd w:val="clear" w:color="auto" w:fill="DBDBDB"/>
          </w:tcPr>
          <w:p>
            <w:pPr>
              <w:spacing w:after="0"/>
              <w:rPr>
                <w:sz w:val="7"/>
                <w:szCs w:val="7"/>
                <w:color w:val="auto"/>
              </w:rPr>
            </w:pPr>
          </w:p>
        </w:tc>
        <w:tc>
          <w:tcPr>
            <w:tcW w:w="1460" w:type="dxa"/>
            <w:vAlign w:val="bottom"/>
            <w:vMerge w:val="continue"/>
            <w:shd w:val="clear" w:color="auto" w:fill="DBDBDB"/>
          </w:tcPr>
          <w:p>
            <w:pPr>
              <w:spacing w:after="0"/>
              <w:rPr>
                <w:sz w:val="7"/>
                <w:szCs w:val="7"/>
                <w:color w:val="auto"/>
              </w:rPr>
            </w:pPr>
          </w:p>
        </w:tc>
        <w:tc>
          <w:tcPr>
            <w:tcW w:w="30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6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30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Disability Payments</w:t>
            </w:r>
          </w:p>
        </w:tc>
        <w:tc>
          <w:tcPr>
            <w:tcW w:w="100" w:type="dxa"/>
            <w:vAlign w:val="bottom"/>
            <w:shd w:val="clear" w:color="auto" w:fill="DBDBDB"/>
          </w:tcPr>
          <w:p>
            <w:pPr>
              <w:spacing w:after="0"/>
              <w:rPr>
                <w:sz w:val="12"/>
                <w:szCs w:val="12"/>
                <w:color w:val="auto"/>
              </w:rPr>
            </w:pPr>
          </w:p>
        </w:tc>
        <w:tc>
          <w:tcPr>
            <w:tcW w:w="1480" w:type="dxa"/>
            <w:vAlign w:val="bottom"/>
            <w:vMerge w:val="restart"/>
            <w:shd w:val="clear" w:color="auto" w:fill="DBDBDB"/>
          </w:tcPr>
          <w:p>
            <w:pPr>
              <w:jc w:val="right"/>
              <w:ind w:right="168"/>
              <w:spacing w:after="0"/>
              <w:rPr>
                <w:sz w:val="20"/>
                <w:szCs w:val="20"/>
                <w:color w:val="auto"/>
              </w:rPr>
            </w:pPr>
            <w:r>
              <w:rPr>
                <w:rFonts w:ascii="Arial" w:cs="Arial" w:eastAsia="Arial" w:hAnsi="Arial"/>
                <w:sz w:val="14"/>
                <w:szCs w:val="14"/>
                <w:color w:val="auto"/>
              </w:rPr>
              <w:t>237,501</w:t>
            </w:r>
          </w:p>
        </w:tc>
        <w:tc>
          <w:tcPr>
            <w:tcW w:w="340" w:type="dxa"/>
            <w:vAlign w:val="bottom"/>
            <w:shd w:val="clear" w:color="auto" w:fill="DBDBDB"/>
          </w:tcPr>
          <w:p>
            <w:pPr>
              <w:jc w:val="right"/>
              <w:ind w:right="173"/>
              <w:spacing w:after="0"/>
              <w:rPr>
                <w:sz w:val="20"/>
                <w:szCs w:val="20"/>
                <w:color w:val="auto"/>
              </w:rPr>
            </w:pPr>
            <w:r>
              <w:rPr>
                <w:rFonts w:ascii="Arial" w:cs="Arial" w:eastAsia="Arial" w:hAnsi="Arial"/>
                <w:sz w:val="9"/>
                <w:szCs w:val="9"/>
                <w:color w:val="auto"/>
                <w:w w:val="90"/>
              </w:rPr>
              <w:t>(6)</w:t>
            </w:r>
          </w:p>
        </w:tc>
        <w:tc>
          <w:tcPr>
            <w:tcW w:w="1220" w:type="dxa"/>
            <w:vAlign w:val="bottom"/>
            <w:vMerge w:val="restart"/>
            <w:shd w:val="clear" w:color="auto" w:fill="DBDBDB"/>
          </w:tcPr>
          <w:p>
            <w:pPr>
              <w:ind w:left="540"/>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spacing w:after="0"/>
              <w:rPr>
                <w:sz w:val="12"/>
                <w:szCs w:val="12"/>
                <w:color w:val="auto"/>
              </w:rPr>
            </w:pPr>
          </w:p>
        </w:tc>
        <w:tc>
          <w:tcPr>
            <w:tcW w:w="2000" w:type="dxa"/>
            <w:vAlign w:val="bottom"/>
            <w:gridSpan w:val="2"/>
            <w:vMerge w:val="restart"/>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1460" w:type="dxa"/>
            <w:vAlign w:val="bottom"/>
            <w:vMerge w:val="restart"/>
            <w:shd w:val="clear" w:color="auto" w:fill="DBDBDB"/>
          </w:tcPr>
          <w:p>
            <w:pPr>
              <w:jc w:val="right"/>
              <w:ind w:right="588"/>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660" w:type="dxa"/>
            <w:vAlign w:val="bottom"/>
            <w:tcBorders>
              <w:bottom w:val="single" w:sz="8" w:color="DBDBDB"/>
            </w:tcBorders>
            <w:shd w:val="clear" w:color="auto" w:fill="DBDBDB"/>
          </w:tcPr>
          <w:p>
            <w:pPr>
              <w:spacing w:after="0"/>
              <w:rPr>
                <w:sz w:val="9"/>
                <w:szCs w:val="9"/>
                <w:color w:val="auto"/>
              </w:rPr>
            </w:pPr>
          </w:p>
        </w:tc>
        <w:tc>
          <w:tcPr>
            <w:tcW w:w="80" w:type="dxa"/>
            <w:vAlign w:val="bottom"/>
            <w:tcBorders>
              <w:bottom w:val="single" w:sz="8" w:color="DBDBDB"/>
            </w:tcBorders>
            <w:shd w:val="clear" w:color="auto" w:fill="DBDBDB"/>
          </w:tcPr>
          <w:p>
            <w:pPr>
              <w:spacing w:after="0"/>
              <w:rPr>
                <w:sz w:val="9"/>
                <w:szCs w:val="9"/>
                <w:color w:val="auto"/>
              </w:rPr>
            </w:pPr>
          </w:p>
        </w:tc>
        <w:tc>
          <w:tcPr>
            <w:tcW w:w="2300" w:type="dxa"/>
            <w:vAlign w:val="bottom"/>
            <w:tcBorders>
              <w:bottom w:val="single" w:sz="8" w:color="DBDBDB"/>
            </w:tcBorders>
            <w:vMerge w:val="continue"/>
            <w:shd w:val="clear" w:color="auto" w:fill="DBDBDB"/>
          </w:tcPr>
          <w:p>
            <w:pPr>
              <w:spacing w:after="0"/>
              <w:rPr>
                <w:sz w:val="9"/>
                <w:szCs w:val="9"/>
                <w:color w:val="auto"/>
              </w:rPr>
            </w:pPr>
          </w:p>
        </w:tc>
        <w:tc>
          <w:tcPr>
            <w:tcW w:w="100" w:type="dxa"/>
            <w:vAlign w:val="bottom"/>
            <w:tcBorders>
              <w:bottom w:val="single" w:sz="8" w:color="DBDBDB"/>
            </w:tcBorders>
            <w:shd w:val="clear" w:color="auto" w:fill="DBDBDB"/>
          </w:tcPr>
          <w:p>
            <w:pPr>
              <w:spacing w:after="0"/>
              <w:rPr>
                <w:sz w:val="9"/>
                <w:szCs w:val="9"/>
                <w:color w:val="auto"/>
              </w:rPr>
            </w:pPr>
          </w:p>
        </w:tc>
        <w:tc>
          <w:tcPr>
            <w:tcW w:w="1480" w:type="dxa"/>
            <w:vAlign w:val="bottom"/>
            <w:tcBorders>
              <w:bottom w:val="single" w:sz="8" w:color="DBDBDB"/>
            </w:tcBorders>
            <w:vMerge w:val="continue"/>
            <w:shd w:val="clear" w:color="auto" w:fill="DBDBDB"/>
          </w:tcPr>
          <w:p>
            <w:pPr>
              <w:spacing w:after="0"/>
              <w:rPr>
                <w:sz w:val="9"/>
                <w:szCs w:val="9"/>
                <w:color w:val="auto"/>
              </w:rPr>
            </w:pPr>
          </w:p>
        </w:tc>
        <w:tc>
          <w:tcPr>
            <w:tcW w:w="340" w:type="dxa"/>
            <w:vAlign w:val="bottom"/>
            <w:tcBorders>
              <w:bottom w:val="single" w:sz="8" w:color="DBDBDB"/>
            </w:tcBorders>
            <w:shd w:val="clear" w:color="auto" w:fill="DBDBDB"/>
          </w:tcPr>
          <w:p>
            <w:pPr>
              <w:spacing w:after="0"/>
              <w:rPr>
                <w:sz w:val="9"/>
                <w:szCs w:val="9"/>
                <w:color w:val="auto"/>
              </w:rPr>
            </w:pPr>
          </w:p>
        </w:tc>
        <w:tc>
          <w:tcPr>
            <w:tcW w:w="1220" w:type="dxa"/>
            <w:vAlign w:val="bottom"/>
            <w:tcBorders>
              <w:bottom w:val="single" w:sz="8" w:color="DBDBDB"/>
            </w:tcBorders>
            <w:vMerge w:val="continue"/>
            <w:shd w:val="clear" w:color="auto" w:fill="DBDBDB"/>
          </w:tcPr>
          <w:p>
            <w:pPr>
              <w:spacing w:after="0"/>
              <w:rPr>
                <w:sz w:val="9"/>
                <w:szCs w:val="9"/>
                <w:color w:val="auto"/>
              </w:rPr>
            </w:pPr>
          </w:p>
        </w:tc>
        <w:tc>
          <w:tcPr>
            <w:tcW w:w="300" w:type="dxa"/>
            <w:vAlign w:val="bottom"/>
            <w:tcBorders>
              <w:bottom w:val="single" w:sz="8" w:color="DBDBDB"/>
            </w:tcBorders>
            <w:shd w:val="clear" w:color="auto" w:fill="DBDBDB"/>
          </w:tcPr>
          <w:p>
            <w:pPr>
              <w:spacing w:after="0"/>
              <w:rPr>
                <w:sz w:val="9"/>
                <w:szCs w:val="9"/>
                <w:color w:val="auto"/>
              </w:rPr>
            </w:pPr>
          </w:p>
        </w:tc>
        <w:tc>
          <w:tcPr>
            <w:tcW w:w="2000" w:type="dxa"/>
            <w:vAlign w:val="bottom"/>
            <w:tcBorders>
              <w:bottom w:val="single" w:sz="8" w:color="DBDBDB"/>
            </w:tcBorders>
            <w:gridSpan w:val="2"/>
            <w:vMerge w:val="continue"/>
            <w:shd w:val="clear" w:color="auto" w:fill="DBDBDB"/>
          </w:tcPr>
          <w:p>
            <w:pPr>
              <w:spacing w:after="0"/>
              <w:rPr>
                <w:sz w:val="9"/>
                <w:szCs w:val="9"/>
                <w:color w:val="auto"/>
              </w:rPr>
            </w:pPr>
          </w:p>
        </w:tc>
        <w:tc>
          <w:tcPr>
            <w:tcW w:w="1460" w:type="dxa"/>
            <w:vAlign w:val="bottom"/>
            <w:tcBorders>
              <w:bottom w:val="single" w:sz="8" w:color="DBDBDB"/>
            </w:tcBorders>
            <w:vMerge w:val="continue"/>
            <w:shd w:val="clear" w:color="auto" w:fill="DBDBDB"/>
          </w:tcPr>
          <w:p>
            <w:pPr>
              <w:spacing w:after="0"/>
              <w:rPr>
                <w:sz w:val="9"/>
                <w:szCs w:val="9"/>
                <w:color w:val="auto"/>
              </w:rPr>
            </w:pPr>
          </w:p>
        </w:tc>
        <w:tc>
          <w:tcPr>
            <w:tcW w:w="300" w:type="dxa"/>
            <w:vAlign w:val="bottom"/>
            <w:tcBorders>
              <w:bottom w:val="single" w:sz="8" w:color="DBDBDB"/>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1660" w:type="dxa"/>
            <w:vAlign w:val="bottom"/>
            <w:tcBorders>
              <w:top w:val="single" w:sz="8" w:color="DBDBDB"/>
              <w:bottom w:val="single" w:sz="8" w:color="DBDBDB"/>
            </w:tcBorders>
            <w:shd w:val="clear" w:color="auto" w:fill="DBDBDB"/>
          </w:tcPr>
          <w:p>
            <w:pPr>
              <w:spacing w:after="0"/>
              <w:rPr>
                <w:sz w:val="21"/>
                <w:szCs w:val="21"/>
                <w:color w:val="auto"/>
              </w:rPr>
            </w:pP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2300" w:type="dxa"/>
            <w:vAlign w:val="bottom"/>
            <w:tcBorders>
              <w:top w:val="single" w:sz="8" w:color="DBDBDB"/>
              <w:bottom w:val="single" w:sz="8" w:color="DBDBDB"/>
            </w:tcBorders>
            <w:shd w:val="clear" w:color="auto" w:fill="DBDBDB"/>
          </w:tcPr>
          <w:p>
            <w:pPr>
              <w:ind w:left="28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80" w:type="dxa"/>
            <w:vAlign w:val="bottom"/>
            <w:tcBorders>
              <w:top w:val="single" w:sz="8" w:color="auto"/>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748,589</w:t>
            </w:r>
          </w:p>
        </w:tc>
        <w:tc>
          <w:tcPr>
            <w:tcW w:w="340" w:type="dxa"/>
            <w:vAlign w:val="bottom"/>
            <w:tcBorders>
              <w:top w:val="single" w:sz="8" w:color="DBDBDB"/>
              <w:bottom w:val="single" w:sz="8" w:color="DBDBDB"/>
            </w:tcBorders>
            <w:shd w:val="clear" w:color="auto" w:fill="DBDBDB"/>
          </w:tcPr>
          <w:p>
            <w:pPr>
              <w:spacing w:after="0"/>
              <w:rPr>
                <w:sz w:val="21"/>
                <w:szCs w:val="21"/>
                <w:color w:val="auto"/>
              </w:rPr>
            </w:pPr>
          </w:p>
        </w:tc>
        <w:tc>
          <w:tcPr>
            <w:tcW w:w="1220" w:type="dxa"/>
            <w:vAlign w:val="bottom"/>
            <w:tcBorders>
              <w:top w:val="single" w:sz="8" w:color="auto"/>
              <w:bottom w:val="single" w:sz="8" w:color="DBDBDB"/>
            </w:tcBorders>
            <w:shd w:val="clear" w:color="auto" w:fill="DBDBDB"/>
          </w:tcPr>
          <w:p>
            <w:pPr>
              <w:ind w:left="600"/>
              <w:spacing w:after="0"/>
              <w:rPr>
                <w:sz w:val="20"/>
                <w:szCs w:val="20"/>
                <w:color w:val="auto"/>
              </w:rPr>
            </w:pPr>
            <w:r>
              <w:rPr>
                <w:rFonts w:ascii="Arial" w:cs="Arial" w:eastAsia="Arial" w:hAnsi="Arial"/>
                <w:sz w:val="14"/>
                <w:szCs w:val="14"/>
                <w:color w:val="auto"/>
              </w:rPr>
              <w:t>511,088</w:t>
            </w:r>
          </w:p>
        </w:tc>
        <w:tc>
          <w:tcPr>
            <w:tcW w:w="300" w:type="dxa"/>
            <w:vAlign w:val="bottom"/>
            <w:tcBorders>
              <w:top w:val="single" w:sz="8" w:color="DBDBDB"/>
              <w:bottom w:val="single" w:sz="8" w:color="DBDBDB"/>
            </w:tcBorders>
            <w:shd w:val="clear" w:color="auto" w:fill="DBDBDB"/>
          </w:tcPr>
          <w:p>
            <w:pPr>
              <w:spacing w:after="0"/>
              <w:rPr>
                <w:sz w:val="21"/>
                <w:szCs w:val="21"/>
                <w:color w:val="auto"/>
              </w:rPr>
            </w:pPr>
          </w:p>
        </w:tc>
        <w:tc>
          <w:tcPr>
            <w:tcW w:w="1700" w:type="dxa"/>
            <w:vAlign w:val="bottom"/>
            <w:tcBorders>
              <w:top w:val="single" w:sz="8" w:color="auto"/>
              <w:bottom w:val="single" w:sz="8" w:color="DBDBDB"/>
            </w:tcBorders>
            <w:shd w:val="clear" w:color="auto" w:fill="DBDBDB"/>
          </w:tcPr>
          <w:p>
            <w:pPr>
              <w:ind w:left="78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DBDBDB"/>
              <w:bottom w:val="single" w:sz="8" w:color="DBDBDB"/>
            </w:tcBorders>
            <w:shd w:val="clear" w:color="auto" w:fill="DBDBDB"/>
          </w:tcPr>
          <w:p>
            <w:pPr>
              <w:spacing w:after="0"/>
              <w:rPr>
                <w:sz w:val="21"/>
                <w:szCs w:val="21"/>
                <w:color w:val="auto"/>
              </w:rPr>
            </w:pPr>
          </w:p>
        </w:tc>
        <w:tc>
          <w:tcPr>
            <w:tcW w:w="1460" w:type="dxa"/>
            <w:vAlign w:val="bottom"/>
            <w:tcBorders>
              <w:top w:val="single" w:sz="8" w:color="auto"/>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2,085,957</w:t>
            </w:r>
          </w:p>
        </w:tc>
        <w:tc>
          <w:tcPr>
            <w:tcW w:w="300" w:type="dxa"/>
            <w:vAlign w:val="bottom"/>
            <w:tcBorders>
              <w:top w:val="single" w:sz="8" w:color="DBDBDB"/>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3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BDBDB"/>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97" w:lineRule="exact"/>
        <w:rPr>
          <w:sz w:val="20"/>
          <w:szCs w:val="20"/>
          <w:color w:val="auto"/>
        </w:rPr>
      </w:pPr>
    </w:p>
    <w:p>
      <w:pPr>
        <w:ind w:left="500" w:right="20" w:hanging="492"/>
        <w:spacing w:after="0" w:line="287" w:lineRule="auto"/>
        <w:tabs>
          <w:tab w:leader="none" w:pos="4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Equals the sum of (a) two times their annual base salary as of March 1, 2025, and (b) two times their fiscal 2025 annual cash incentive award at target level performance, payable in a lump sum.</w:t>
      </w:r>
    </w:p>
    <w:p>
      <w:pPr>
        <w:spacing w:after="0" w:line="44" w:lineRule="exact"/>
        <w:rPr>
          <w:rFonts w:ascii="Arial" w:cs="Arial" w:eastAsia="Arial" w:hAnsi="Arial"/>
          <w:sz w:val="18"/>
          <w:szCs w:val="18"/>
          <w:color w:val="auto"/>
        </w:rPr>
      </w:pPr>
    </w:p>
    <w:p>
      <w:pPr>
        <w:ind w:left="480" w:hanging="472"/>
        <w:spacing w:after="0"/>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will pay legal fees and expenses incurred to obtain or enforce any right or benefit under their CIC Severance Agreement.</w:t>
      </w:r>
    </w:p>
    <w:p>
      <w:pPr>
        <w:spacing w:after="0" w:line="117" w:lineRule="exact"/>
        <w:rPr>
          <w:rFonts w:ascii="Arial" w:cs="Arial" w:eastAsia="Arial" w:hAnsi="Arial"/>
          <w:sz w:val="18"/>
          <w:szCs w:val="18"/>
          <w:color w:val="auto"/>
        </w:rPr>
      </w:pPr>
    </w:p>
    <w:p>
      <w:pPr>
        <w:ind w:left="500" w:hanging="492"/>
        <w:spacing w:after="0" w:line="287" w:lineRule="auto"/>
        <w:tabs>
          <w:tab w:leader="none" w:pos="4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restricted stock awards, which would vest upon an assumed occurrence on February 28, 2025, of one of the specified events. The amount in this table represents such aggregate number of shares</w:t>
      </w:r>
    </w:p>
    <w:p>
      <w:pPr>
        <w:sectPr>
          <w:pgSz w:w="11900" w:h="16838" w:orient="portrait"/>
          <w:cols w:equalWidth="0" w:num="1">
            <w:col w:w="11240"/>
          </w:cols>
          <w:pgMar w:left="320" w:top="1205" w:right="339" w:bottom="102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026" w:gutter="0" w:footer="0" w:header="0"/>
          <w:type w:val="continuous"/>
        </w:sectPr>
      </w:pPr>
    </w:p>
    <w:bookmarkStart w:id="68" w:name="page69"/>
    <w:bookmarkEnd w:id="68"/>
    <w:p>
      <w:pPr>
        <w:ind w:left="500"/>
        <w:spacing w:after="0" w:line="287" w:lineRule="auto"/>
        <w:rPr>
          <w:sz w:val="20"/>
          <w:szCs w:val="20"/>
          <w:color w:val="auto"/>
        </w:rPr>
      </w:pPr>
      <w:r>
        <w:rPr>
          <w:rFonts w:ascii="Arial" w:cs="Arial" w:eastAsia="Arial" w:hAnsi="Arial"/>
          <w:sz w:val="18"/>
          <w:szCs w:val="18"/>
          <w:color w:val="auto"/>
        </w:rPr>
        <w:t>multiplied by $47.94, the closing price of our common stock on the Nasdaq Global Select Market on February 28, 2025, the last trading day of fiscal 2025.</w:t>
      </w:r>
    </w:p>
    <w:p>
      <w:pPr>
        <w:spacing w:after="0" w:line="45" w:lineRule="exact"/>
        <w:rPr>
          <w:sz w:val="20"/>
          <w:szCs w:val="20"/>
          <w:color w:val="auto"/>
        </w:rPr>
      </w:pPr>
    </w:p>
    <w:p>
      <w:pPr>
        <w:jc w:val="both"/>
        <w:ind w:left="500" w:hanging="492"/>
        <w:spacing w:after="0" w:line="268" w:lineRule="auto"/>
        <w:tabs>
          <w:tab w:leader="none" w:pos="4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event employment is terminated due to retirement, disability or death prior to the end of the performance period for the performance awards, our Named Executive Officer, or their estate, will be entitled to retain and receive a pro-rata portion of the performance awards at the end of the performance period, to the extent earned.</w:t>
      </w:r>
    </w:p>
    <w:p>
      <w:pPr>
        <w:spacing w:after="0" w:line="62" w:lineRule="exact"/>
        <w:rPr>
          <w:rFonts w:ascii="Arial" w:cs="Arial" w:eastAsia="Arial" w:hAnsi="Arial"/>
          <w:sz w:val="18"/>
          <w:szCs w:val="18"/>
          <w:color w:val="auto"/>
        </w:rPr>
      </w:pPr>
    </w:p>
    <w:p>
      <w:pPr>
        <w:jc w:val="both"/>
        <w:ind w:left="500" w:hanging="492"/>
        <w:spacing w:after="0" w:line="262" w:lineRule="auto"/>
        <w:tabs>
          <w:tab w:leader="none" w:pos="4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amount represents the payout of performance cash, and performance share units at the target level and multiplied by $47.94, the closing price of our common stock on the Nasdaq Global Select Market on February 28, 2025, the last trading day of fiscal 2025, assuming the performance period ended on the date of the Change-in-Control of Apogee, as adjusted for the truncated performance period.</w:t>
      </w:r>
    </w:p>
    <w:p>
      <w:pPr>
        <w:spacing w:after="0" w:line="68" w:lineRule="exact"/>
        <w:rPr>
          <w:rFonts w:ascii="Arial" w:cs="Arial" w:eastAsia="Arial" w:hAnsi="Arial"/>
          <w:sz w:val="18"/>
          <w:szCs w:val="18"/>
          <w:color w:val="auto"/>
        </w:rPr>
      </w:pPr>
    </w:p>
    <w:p>
      <w:pPr>
        <w:ind w:left="500" w:hanging="492"/>
        <w:spacing w:after="0" w:line="287" w:lineRule="auto"/>
        <w:tabs>
          <w:tab w:leader="none" w:pos="4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amount represents the annual disability payments during the first year of disability. Annual disability payments after the first year of disability would be $180,000 for each Named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25"/>
          <w:szCs w:val="25"/>
          <w:b w:val="1"/>
          <w:bCs w:val="1"/>
          <w:color w:val="auto"/>
        </w:rPr>
        <w:t>CEO Pay Ratio Disclosure</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Mr. Silberhorn, our Chief Executive Officer and President: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ended March 1, 2025, our last completed fiscal year:</w:t>
      </w:r>
    </w:p>
    <w:p>
      <w:pPr>
        <w:spacing w:after="0" w:line="225" w:lineRule="exact"/>
        <w:rPr>
          <w:sz w:val="20"/>
          <w:szCs w:val="20"/>
          <w:color w:val="auto"/>
        </w:rPr>
      </w:pPr>
    </w:p>
    <w:p>
      <w:pPr>
        <w:ind w:left="660" w:right="20" w:hanging="328"/>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Chief Executive Officer) was $59,275; and</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annual total compensation of our Chief Executive Officer, as reported in the “Summary Compensation Table” beginning on page </w:t>
      </w:r>
      <w:r>
        <w:rPr>
          <w:rFonts w:ascii="Arial" w:cs="Arial" w:eastAsia="Arial" w:hAnsi="Arial"/>
          <w:sz w:val="18"/>
          <w:szCs w:val="18"/>
          <w:u w:val="single" w:color="auto"/>
          <w:color w:val="0000FF"/>
        </w:rPr>
        <w:t>53</w:t>
      </w:r>
      <w:r>
        <w:rPr>
          <w:rFonts w:ascii="Arial" w:cs="Arial" w:eastAsia="Arial" w:hAnsi="Arial"/>
          <w:sz w:val="18"/>
          <w:szCs w:val="18"/>
          <w:color w:val="0000FF"/>
        </w:rPr>
        <w:t xml:space="preserve"> </w:t>
      </w:r>
      <w:r>
        <w:rPr>
          <w:rFonts w:ascii="Arial" w:cs="Arial" w:eastAsia="Arial" w:hAnsi="Arial"/>
          <w:sz w:val="18"/>
          <w:szCs w:val="18"/>
          <w:color w:val="000000"/>
        </w:rPr>
        <w:t>of this Proxy Statement, was $5,255,526.</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reasonably estimate that the ratio of our Chief Executive Officer’s annual total compensation to the annual total compensation of our median employee was 89 times. Our pay ratio estimate has been calculated in a manner consistent with Item 402(u) of Regulation S-K. To identify the median of the annual total compensation of all our employees, as well as to determine the annual total compensation of our median employee, the methodology and the material assumptions, adjustments, and estimates that we used were as follows: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determined that, as of December 31, 2024, our employee population consisted of 4,651 individuals (including full-time and part-time employees, other than our Chief Executive Officer, who were employed on December 31, 2024) working at the Company together with our consolidated subsidiaries. Of these individuals, 4,046 were located in the U.S. and U.S. territories, and 605 were from our subsidiaries in Canada and Brazil. We chose to exclude all 205 of our employees from our Brazil subsidiary, which consists of 4.41% of our workforce, from the identification of “median employee,” as permitted by SEC rules.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employee population, after taking into consideration the permitted adjustments described above, consisted of 4,446 members. Our adjusted employee population consisted of 4,046 employees in the U.S. and 400 employees located in Canada.</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identified our median employee based on the total cash and stock-based compensation earned during the twelve-month period ended December 31, 2024. In making this determination, we annualized the compensation of all full- and part-time permanent employees included in the sample who were hired in calendar year 2024, but did not work for us or our included subsidiaries for the entire twelve-month period described below. For purposes of determining the total cash and stock-based compensation earned, we included: the amount of base salary (or, in the case of hourly workers, base wages including overtime pay) the employee received during the twelve months ended December 31, 2024, the amount of any cash incentives paid or deferred in such period (which include sales commissions as well as cash incentives that are generally paid for performance during the prior quarter or year), and the amount of any income from stock-based compensation, as reflected in our payroll records. For purposes of identifying the median employee, we applied the average exchange rate for calendar year 2024, which was U.S. dollars to Canadian dollars – 1.3699 CAD.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Once we identified our median employee, we then determined that employee’s annual total compensation, including any perquisites and other benefits, in the same manner that we determine the annual total compensation of our Named Executive Officers for purposes of the "Summary Compensation Table" beginning on page </w:t>
      </w:r>
      <w:r>
        <w:rPr>
          <w:rFonts w:ascii="Arial" w:cs="Arial" w:eastAsia="Arial" w:hAnsi="Arial"/>
          <w:sz w:val="18"/>
          <w:szCs w:val="18"/>
          <w:u w:val="single" w:color="auto"/>
          <w:color w:val="0000FF"/>
        </w:rPr>
        <w:t>53</w:t>
      </w:r>
      <w:r>
        <w:rPr>
          <w:rFonts w:ascii="Arial" w:cs="Arial" w:eastAsia="Arial" w:hAnsi="Arial"/>
          <w:sz w:val="18"/>
          <w:szCs w:val="18"/>
          <w:color w:val="auto"/>
        </w:rPr>
        <w:t xml:space="preserve"> disclosed above. The annual total compensation for our median employee for fiscal 2025 was determined to be $59,275. This amount was then compared to the annual total compensation of our Chief Executive Officer disclosed above in the "Summary Compensation Table" beginning on page </w:t>
      </w:r>
      <w:r>
        <w:rPr>
          <w:rFonts w:ascii="Arial" w:cs="Arial" w:eastAsia="Arial" w:hAnsi="Arial"/>
          <w:sz w:val="18"/>
          <w:szCs w:val="18"/>
          <w:u w:val="single" w:color="auto"/>
          <w:color w:val="0000FF"/>
        </w:rPr>
        <w:t>53</w:t>
      </w:r>
      <w:r>
        <w:rPr>
          <w:rFonts w:ascii="Arial" w:cs="Arial" w:eastAsia="Arial" w:hAnsi="Arial"/>
          <w:sz w:val="18"/>
          <w:szCs w:val="18"/>
          <w:color w:val="auto"/>
        </w:rPr>
        <w:t xml:space="preserve">, of $5,255,526. The elements included in the Chief Executive Officer’s total compensation are discussed above in the footnotes to the "Summary Compensation Table" beginning on page </w:t>
      </w:r>
      <w:r>
        <w:rPr>
          <w:rFonts w:ascii="Arial" w:cs="Arial" w:eastAsia="Arial" w:hAnsi="Arial"/>
          <w:sz w:val="18"/>
          <w:szCs w:val="18"/>
          <w:u w:val="single" w:color="auto"/>
          <w:color w:val="0000FF"/>
        </w:rPr>
        <w:t>53</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25"/>
          <w:szCs w:val="25"/>
          <w:b w:val="1"/>
          <w:bCs w:val="1"/>
          <w:color w:val="auto"/>
        </w:rPr>
        <w:t>Pay Versus Performance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Versus Performance Table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As required by the Dodd-Frank Act and SEC regulation, the following table presents, for each of the five most recent fiscal years:</w:t>
      </w:r>
    </w:p>
    <w:p>
      <w:pPr>
        <w:spacing w:after="0" w:line="117" w:lineRule="exact"/>
        <w:rPr>
          <w:sz w:val="20"/>
          <w:szCs w:val="20"/>
          <w:color w:val="auto"/>
        </w:rPr>
      </w:pPr>
    </w:p>
    <w:p>
      <w:pPr>
        <w:ind w:left="660" w:hanging="328"/>
        <w:spacing w:after="0" w:line="28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total compensation, as calculated in the "Summary Compensation Table" beginning on page </w:t>
      </w:r>
      <w:r>
        <w:rPr>
          <w:rFonts w:ascii="Arial" w:cs="Arial" w:eastAsia="Arial" w:hAnsi="Arial"/>
          <w:sz w:val="18"/>
          <w:szCs w:val="18"/>
          <w:u w:val="single" w:color="auto"/>
          <w:color w:val="0000FF"/>
        </w:rPr>
        <w:t>53</w:t>
      </w:r>
      <w:r>
        <w:rPr>
          <w:rFonts w:ascii="Arial" w:cs="Arial" w:eastAsia="Arial" w:hAnsi="Arial"/>
          <w:sz w:val="18"/>
          <w:szCs w:val="18"/>
          <w:color w:val="auto"/>
        </w:rPr>
        <w:t>, for our current and former President and CEO (the “PEOs”) and an average for our Other Named Executive Officers (“non-PEO NEOs”);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compensation actually paid (“CAP”) to our current and former PEOs and an average for our non-PEO NEOs, an SEC prescribed calculation which adjusts total compensation for the items described below and which does not equate to realized compensation;</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cumulative total shareholder return (“TSR”) since the last trading day before the earliest year presented;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net income;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adjusted earnings before interest and taxes (“Adjusted EBIT”).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a description of our executive compensation program and the factors used by the Compensation Committee to determine pay for our NEOs, see the “Compensation Discussion and Analysis” section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gridSpan w:val="3"/>
            <w:vMerge w:val="restart"/>
          </w:tcPr>
          <w:p>
            <w:pPr>
              <w:ind w:left="580"/>
              <w:spacing w:after="0"/>
              <w:rPr>
                <w:sz w:val="20"/>
                <w:szCs w:val="20"/>
                <w:color w:val="auto"/>
              </w:rPr>
            </w:pPr>
            <w:r>
              <w:rPr>
                <w:rFonts w:ascii="Arial" w:cs="Arial" w:eastAsia="Arial" w:hAnsi="Arial"/>
                <w:sz w:val="11"/>
                <w:szCs w:val="11"/>
                <w:b w:val="1"/>
                <w:bCs w:val="1"/>
                <w:color w:val="05445E"/>
              </w:rPr>
              <w:t>Ty R. Silberhorn</w:t>
            </w:r>
            <w:r>
              <w:rPr>
                <w:rFonts w:ascii="Arial" w:cs="Arial" w:eastAsia="Arial" w:hAnsi="Arial"/>
                <w:sz w:val="7"/>
                <w:szCs w:val="7"/>
                <w:b w:val="1"/>
                <w:bCs w:val="1"/>
                <w:color w:val="05445E"/>
              </w:rPr>
              <w:t>(1)</w:t>
            </w:r>
          </w:p>
        </w:tc>
        <w:tc>
          <w:tcPr>
            <w:tcW w:w="100" w:type="dxa"/>
            <w:vAlign w:val="bottom"/>
            <w:vMerge w:val="restart"/>
          </w:tcPr>
          <w:p>
            <w:pPr>
              <w:spacing w:after="0"/>
              <w:rPr>
                <w:sz w:val="11"/>
                <w:szCs w:val="11"/>
                <w:color w:val="auto"/>
              </w:rPr>
            </w:pPr>
          </w:p>
        </w:tc>
        <w:tc>
          <w:tcPr>
            <w:tcW w:w="440" w:type="dxa"/>
            <w:vAlign w:val="bottom"/>
          </w:tcPr>
          <w:p>
            <w:pPr>
              <w:spacing w:after="0"/>
              <w:rPr>
                <w:sz w:val="11"/>
                <w:szCs w:val="11"/>
                <w:color w:val="auto"/>
              </w:rPr>
            </w:pPr>
          </w:p>
        </w:tc>
        <w:tc>
          <w:tcPr>
            <w:tcW w:w="162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05445E"/>
              </w:rPr>
              <w:t>Joseph F. Puishys</w:t>
            </w:r>
            <w:r>
              <w:rPr>
                <w:rFonts w:ascii="Arial" w:cs="Arial" w:eastAsia="Arial" w:hAnsi="Arial"/>
                <w:sz w:val="7"/>
                <w:szCs w:val="7"/>
                <w:b w:val="1"/>
                <w:bCs w:val="1"/>
                <w:color w:val="05445E"/>
              </w:rPr>
              <w:t>(2)</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05445E"/>
                <w:w w:val="98"/>
              </w:rPr>
              <w:t>Value of Initial Fixed $100 Investment</w:t>
            </w:r>
          </w:p>
        </w:tc>
        <w:tc>
          <w:tcPr>
            <w:tcW w:w="820" w:type="dxa"/>
            <w:vAlign w:val="bottom"/>
            <w:vMerge w:val="restart"/>
          </w:tcPr>
          <w:p>
            <w:pPr>
              <w:jc w:val="center"/>
              <w:spacing w:after="0"/>
              <w:rPr>
                <w:sz w:val="20"/>
                <w:szCs w:val="20"/>
                <w:color w:val="auto"/>
              </w:rPr>
            </w:pPr>
            <w:r>
              <w:rPr>
                <w:rFonts w:ascii="Arial" w:cs="Arial" w:eastAsia="Arial" w:hAnsi="Arial"/>
                <w:sz w:val="11"/>
                <w:szCs w:val="11"/>
                <w:b w:val="1"/>
                <w:bCs w:val="1"/>
                <w:color w:val="05445E"/>
                <w:w w:val="97"/>
              </w:rPr>
              <w:t>Net Income</w:t>
            </w:r>
            <w:r>
              <w:rPr>
                <w:rFonts w:ascii="Arial" w:cs="Arial" w:eastAsia="Arial" w:hAnsi="Arial"/>
                <w:sz w:val="7"/>
                <w:szCs w:val="7"/>
                <w:b w:val="1"/>
                <w:bCs w:val="1"/>
                <w:color w:val="05445E"/>
                <w:w w:val="97"/>
              </w:rPr>
              <w:t>(7)</w:t>
            </w:r>
          </w:p>
        </w:tc>
        <w:tc>
          <w:tcPr>
            <w:tcW w:w="100" w:type="dxa"/>
            <w:vAlign w:val="bottom"/>
            <w:vMerge w:val="restart"/>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05445E"/>
                <w:w w:val="98"/>
              </w:rPr>
              <w:t>Consolid-ated</w:t>
            </w:r>
          </w:p>
        </w:tc>
        <w:tc>
          <w:tcPr>
            <w:tcW w:w="0" w:type="dxa"/>
            <w:vAlign w:val="bottom"/>
          </w:tcPr>
          <w:p>
            <w:pPr>
              <w:spacing w:after="0"/>
              <w:rPr>
                <w:sz w:val="1"/>
                <w:szCs w:val="1"/>
                <w:color w:val="auto"/>
              </w:rPr>
            </w:pPr>
          </w:p>
        </w:tc>
      </w:tr>
      <w:tr>
        <w:trPr>
          <w:trHeight w:val="164"/>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tcBorders>
              <w:bottom w:val="single" w:sz="8" w:color="05445E"/>
            </w:tcBorders>
            <w:gridSpan w:val="3"/>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40" w:type="dxa"/>
            <w:vAlign w:val="bottom"/>
            <w:tcBorders>
              <w:bottom w:val="single" w:sz="8" w:color="05445E"/>
            </w:tcBorders>
          </w:tcPr>
          <w:p>
            <w:pPr>
              <w:spacing w:after="0"/>
              <w:rPr>
                <w:sz w:val="14"/>
                <w:szCs w:val="14"/>
                <w:color w:val="auto"/>
              </w:rPr>
            </w:pPr>
          </w:p>
        </w:tc>
        <w:tc>
          <w:tcPr>
            <w:tcW w:w="1620" w:type="dxa"/>
            <w:vAlign w:val="bottom"/>
            <w:tcBorders>
              <w:bottom w:val="single" w:sz="8" w:color="05445E"/>
            </w:tcBorders>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Borders>
              <w:bottom w:val="single" w:sz="8" w:color="05445E"/>
            </w:tcBorders>
            <w:gridSpan w:val="3"/>
          </w:tcPr>
          <w:p>
            <w:pPr>
              <w:jc w:val="center"/>
              <w:spacing w:after="0"/>
              <w:rPr>
                <w:sz w:val="20"/>
                <w:szCs w:val="20"/>
                <w:color w:val="auto"/>
              </w:rPr>
            </w:pPr>
            <w:r>
              <w:rPr>
                <w:rFonts w:ascii="Arial" w:cs="Arial" w:eastAsia="Arial" w:hAnsi="Arial"/>
                <w:sz w:val="11"/>
                <w:szCs w:val="11"/>
                <w:b w:val="1"/>
                <w:bCs w:val="1"/>
                <w:color w:val="05445E"/>
                <w:w w:val="96"/>
              </w:rPr>
              <w:t>Based on</w:t>
            </w:r>
          </w:p>
        </w:tc>
        <w:tc>
          <w:tcPr>
            <w:tcW w:w="100" w:type="dxa"/>
            <w:vAlign w:val="bottom"/>
          </w:tcPr>
          <w:p>
            <w:pPr>
              <w:spacing w:after="0"/>
              <w:rPr>
                <w:sz w:val="14"/>
                <w:szCs w:val="14"/>
                <w:color w:val="auto"/>
              </w:rPr>
            </w:pPr>
          </w:p>
        </w:tc>
        <w:tc>
          <w:tcPr>
            <w:tcW w:w="820" w:type="dxa"/>
            <w:vAlign w:val="bottom"/>
            <w:tcBorders>
              <w:bottom w:val="single" w:sz="8" w:color="05445E"/>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tcBorders>
              <w:bottom w:val="single" w:sz="8" w:color="05445E"/>
            </w:tcBorders>
          </w:tcPr>
          <w:p>
            <w:pPr>
              <w:jc w:val="center"/>
              <w:spacing w:after="0"/>
              <w:rPr>
                <w:sz w:val="20"/>
                <w:szCs w:val="20"/>
                <w:color w:val="auto"/>
              </w:rPr>
            </w:pPr>
            <w:r>
              <w:rPr>
                <w:rFonts w:ascii="Arial" w:cs="Arial" w:eastAsia="Arial" w:hAnsi="Arial"/>
                <w:sz w:val="11"/>
                <w:szCs w:val="11"/>
                <w:b w:val="1"/>
                <w:bCs w:val="1"/>
                <w:color w:val="05445E"/>
                <w:w w:val="96"/>
              </w:rPr>
              <w:t>Adjusted EBIT</w:t>
            </w:r>
            <w:r>
              <w:rPr>
                <w:rFonts w:ascii="Arial" w:cs="Arial" w:eastAsia="Arial" w:hAnsi="Arial"/>
                <w:sz w:val="14"/>
                <w:szCs w:val="14"/>
                <w:b w:val="1"/>
                <w:bCs w:val="1"/>
                <w:color w:val="05445E"/>
                <w:w w:val="96"/>
                <w:vertAlign w:val="superscript"/>
              </w:rPr>
              <w:t>(8)</w:t>
            </w: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05445E"/>
                <w:w w:val="96"/>
              </w:rPr>
              <w:t>Compen-</w:t>
            </w: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05445E"/>
                <w:w w:val="99"/>
              </w:rPr>
              <w:t>Summary</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445E"/>
                <w:w w:val="97"/>
              </w:rPr>
              <w:t>Average Summary</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05445E"/>
                <w:w w:val="96"/>
              </w:rPr>
              <w:t>Compen-</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445E"/>
                <w:w w:val="98"/>
              </w:rPr>
              <w:t>sation</w:t>
            </w:r>
          </w:p>
        </w:tc>
        <w:tc>
          <w:tcPr>
            <w:tcW w:w="108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05445E"/>
                <w:w w:val="97"/>
              </w:rPr>
              <w:t>Compen-sation</w:t>
            </w:r>
          </w:p>
        </w:tc>
        <w:tc>
          <w:tcPr>
            <w:tcW w:w="980" w:type="dxa"/>
            <w:vAlign w:val="bottom"/>
            <w:vMerge w:val="restart"/>
          </w:tcPr>
          <w:p>
            <w:pPr>
              <w:jc w:val="center"/>
              <w:spacing w:after="0"/>
              <w:rPr>
                <w:sz w:val="20"/>
                <w:szCs w:val="20"/>
                <w:color w:val="auto"/>
              </w:rPr>
            </w:pPr>
            <w:r>
              <w:rPr>
                <w:rFonts w:ascii="Arial" w:cs="Arial" w:eastAsia="Arial" w:hAnsi="Arial"/>
                <w:sz w:val="11"/>
                <w:szCs w:val="11"/>
                <w:b w:val="1"/>
                <w:bCs w:val="1"/>
                <w:color w:val="05445E"/>
                <w:w w:val="97"/>
              </w:rPr>
              <w:t>Compen-sation</w:t>
            </w:r>
          </w:p>
        </w:tc>
        <w:tc>
          <w:tcPr>
            <w:tcW w:w="120" w:type="dxa"/>
            <w:vAlign w:val="bottom"/>
          </w:tcPr>
          <w:p>
            <w:pPr>
              <w:spacing w:after="0"/>
              <w:rPr>
                <w:sz w:val="11"/>
                <w:szCs w:val="11"/>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445E"/>
                <w:w w:val="98"/>
              </w:rPr>
              <w:t>sation</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05445E"/>
                <w:w w:val="97"/>
              </w:rPr>
              <w:t>Average Compen-</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05445E"/>
                <w:w w:val="98"/>
              </w:rPr>
              <w:t>Actually</w:t>
            </w:r>
          </w:p>
        </w:tc>
        <w:tc>
          <w:tcPr>
            <w:tcW w:w="10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05445E"/>
                <w:w w:val="97"/>
              </w:rPr>
              <w:t>Table</w:t>
            </w:r>
          </w:p>
        </w:tc>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05445E"/>
                <w:w w:val="90"/>
              </w:rPr>
              <w:t>Table</w:t>
            </w:r>
          </w:p>
        </w:tc>
        <w:tc>
          <w:tcPr>
            <w:tcW w:w="110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445E"/>
                <w:w w:val="95"/>
              </w:rPr>
              <w:t>Summary</w:t>
            </w:r>
          </w:p>
        </w:tc>
        <w:tc>
          <w:tcPr>
            <w:tcW w:w="12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445E"/>
                <w:w w:val="94"/>
              </w:rPr>
              <w:t>Paid</w:t>
            </w:r>
          </w:p>
        </w:tc>
        <w:tc>
          <w:tcPr>
            <w:tcW w:w="108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05445E"/>
                <w:w w:val="98"/>
              </w:rPr>
              <w:t>Total</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05445E"/>
                <w:w w:val="98"/>
              </w:rPr>
              <w:t>Actually Paid</w:t>
            </w:r>
          </w:p>
        </w:tc>
        <w:tc>
          <w:tcPr>
            <w:tcW w:w="120" w:type="dxa"/>
            <w:vAlign w:val="bottom"/>
          </w:tcPr>
          <w:p>
            <w:pPr>
              <w:spacing w:after="0"/>
              <w:rPr>
                <w:sz w:val="11"/>
                <w:szCs w:val="11"/>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445E"/>
                <w:w w:val="98"/>
              </w:rPr>
              <w:t>Total</w:t>
            </w:r>
          </w:p>
        </w:tc>
        <w:tc>
          <w:tcPr>
            <w:tcW w:w="11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445E"/>
                <w:w w:val="99"/>
              </w:rPr>
              <w:t>sation Actually</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05445E"/>
                <w:w w:val="99"/>
              </w:rPr>
              <w:t>Compen-sation</w:t>
            </w:r>
          </w:p>
        </w:tc>
        <w:tc>
          <w:tcPr>
            <w:tcW w:w="12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05445E"/>
                <w:w w:val="95"/>
              </w:rPr>
              <w:t>to</w:t>
            </w:r>
          </w:p>
        </w:tc>
        <w:tc>
          <w:tcPr>
            <w:tcW w:w="108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05445E"/>
                <w:w w:val="95"/>
              </w:rPr>
              <w:t>for</w:t>
            </w: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05445E"/>
                <w:w w:val="95"/>
              </w:rPr>
              <w:t>to</w:t>
            </w:r>
          </w:p>
        </w:tc>
        <w:tc>
          <w:tcPr>
            <w:tcW w:w="120" w:type="dxa"/>
            <w:vAlign w:val="bottom"/>
          </w:tcPr>
          <w:p>
            <w:pPr>
              <w:spacing w:after="0"/>
              <w:rPr>
                <w:sz w:val="10"/>
                <w:szCs w:val="10"/>
                <w:color w:val="auto"/>
              </w:rPr>
            </w:pPr>
          </w:p>
        </w:tc>
        <w:tc>
          <w:tcPr>
            <w:tcW w:w="11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05445E"/>
                <w:w w:val="95"/>
              </w:rPr>
              <w:t>for</w:t>
            </w:r>
          </w:p>
        </w:tc>
        <w:tc>
          <w:tcPr>
            <w:tcW w:w="11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05445E"/>
                <w:w w:val="94"/>
              </w:rPr>
              <w:t>Paid</w:t>
            </w:r>
          </w:p>
        </w:tc>
        <w:tc>
          <w:tcPr>
            <w:tcW w:w="10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05445E"/>
                <w:w w:val="98"/>
              </w:rPr>
              <w:t>Total</w:t>
            </w:r>
          </w:p>
        </w:tc>
        <w:tc>
          <w:tcPr>
            <w:tcW w:w="10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05445E"/>
                <w:w w:val="96"/>
              </w:rPr>
              <w:t>Peer Group Total</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445E"/>
                <w:w w:val="96"/>
              </w:rPr>
              <w:t>Table Total</w:t>
            </w:r>
          </w:p>
        </w:tc>
        <w:tc>
          <w:tcPr>
            <w:tcW w:w="12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445E"/>
                <w:w w:val="95"/>
              </w:rPr>
              <w:t>Current</w:t>
            </w:r>
          </w:p>
        </w:tc>
        <w:tc>
          <w:tcPr>
            <w:tcW w:w="10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05445E"/>
              </w:rPr>
              <w:t>Former</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05445E"/>
              </w:rPr>
              <w:t>Former</w:t>
            </w:r>
          </w:p>
        </w:tc>
        <w:tc>
          <w:tcPr>
            <w:tcW w:w="120" w:type="dxa"/>
            <w:vAlign w:val="bottom"/>
          </w:tcPr>
          <w:p>
            <w:pPr>
              <w:spacing w:after="0"/>
              <w:rPr>
                <w:sz w:val="11"/>
                <w:szCs w:val="11"/>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445E"/>
                <w:w w:val="95"/>
              </w:rPr>
              <w:t>Non-PEO</w:t>
            </w:r>
          </w:p>
        </w:tc>
        <w:tc>
          <w:tcPr>
            <w:tcW w:w="11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445E"/>
                <w:w w:val="95"/>
              </w:rPr>
              <w:t>to</w:t>
            </w:r>
          </w:p>
        </w:tc>
        <w:tc>
          <w:tcPr>
            <w:tcW w:w="10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445E"/>
                <w:w w:val="96"/>
              </w:rPr>
              <w:t>Shareholder</w:t>
            </w:r>
          </w:p>
        </w:tc>
        <w:tc>
          <w:tcPr>
            <w:tcW w:w="10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445E"/>
                <w:w w:val="96"/>
              </w:rPr>
              <w:t>Shareholder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05445E"/>
                <w:w w:val="96"/>
              </w:rPr>
              <w:t>Fiscal</w:t>
            </w:r>
          </w:p>
        </w:tc>
        <w:tc>
          <w:tcPr>
            <w:tcW w:w="9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05445E"/>
              </w:rPr>
              <w:t>for Current PEO</w:t>
            </w:r>
          </w:p>
        </w:tc>
        <w:tc>
          <w:tcPr>
            <w:tcW w:w="12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05445E"/>
                <w:w w:val="94"/>
              </w:rPr>
              <w:t>PEO</w:t>
            </w:r>
          </w:p>
        </w:tc>
        <w:tc>
          <w:tcPr>
            <w:tcW w:w="10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05445E"/>
                <w:w w:val="94"/>
              </w:rPr>
              <w:t>PEO</w:t>
            </w: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05445E"/>
                <w:w w:val="94"/>
              </w:rPr>
              <w:t>PEO</w:t>
            </w:r>
          </w:p>
        </w:tc>
        <w:tc>
          <w:tcPr>
            <w:tcW w:w="120" w:type="dxa"/>
            <w:vAlign w:val="bottom"/>
          </w:tcPr>
          <w:p>
            <w:pPr>
              <w:spacing w:after="0"/>
              <w:rPr>
                <w:sz w:val="10"/>
                <w:szCs w:val="10"/>
                <w:color w:val="auto"/>
              </w:rPr>
            </w:pPr>
          </w:p>
        </w:tc>
        <w:tc>
          <w:tcPr>
            <w:tcW w:w="11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05445E"/>
                <w:w w:val="99"/>
              </w:rPr>
              <w:t>NEOs</w:t>
            </w:r>
          </w:p>
        </w:tc>
        <w:tc>
          <w:tcPr>
            <w:tcW w:w="11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05445E"/>
                <w:w w:val="95"/>
              </w:rPr>
              <w:t>Non-PEO NEOs</w:t>
            </w:r>
          </w:p>
        </w:tc>
        <w:tc>
          <w:tcPr>
            <w:tcW w:w="10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05445E"/>
                <w:w w:val="95"/>
              </w:rPr>
              <w:t>Return</w:t>
            </w:r>
          </w:p>
        </w:tc>
        <w:tc>
          <w:tcPr>
            <w:tcW w:w="10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05445E"/>
                <w:w w:val="95"/>
              </w:rPr>
              <w:t>Return</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05445E"/>
                <w:w w:val="97"/>
              </w:rPr>
              <w:t>($ in</w:t>
            </w:r>
          </w:p>
        </w:tc>
        <w:tc>
          <w:tcPr>
            <w:tcW w:w="0" w:type="dxa"/>
            <w:vAlign w:val="bottom"/>
          </w:tcPr>
          <w:p>
            <w:pPr>
              <w:spacing w:after="0"/>
              <w:rPr>
                <w:sz w:val="1"/>
                <w:szCs w:val="1"/>
                <w:color w:val="auto"/>
              </w:rPr>
            </w:pPr>
          </w:p>
        </w:tc>
      </w:tr>
      <w:tr>
        <w:trPr>
          <w:trHeight w:val="175"/>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05445E"/>
                <w:w w:val="92"/>
              </w:rPr>
              <w:t>Year</w:t>
            </w:r>
          </w:p>
        </w:tc>
        <w:tc>
          <w:tcPr>
            <w:tcW w:w="80" w:type="dxa"/>
            <w:vAlign w:val="bottom"/>
            <w:tcBorders>
              <w:bottom w:val="single" w:sz="8" w:color="DBDBDB"/>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05445E"/>
                <w:w w:val="88"/>
              </w:rPr>
              <w:t>($)</w:t>
            </w:r>
          </w:p>
        </w:tc>
        <w:tc>
          <w:tcPr>
            <w:tcW w:w="80" w:type="dxa"/>
            <w:vAlign w:val="bottom"/>
            <w:tcBorders>
              <w:bottom w:val="single" w:sz="8" w:color="DBDBDB"/>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05445E"/>
                <w:w w:val="88"/>
              </w:rPr>
              <w:t>($)</w:t>
            </w:r>
            <w:r>
              <w:rPr>
                <w:rFonts w:ascii="Arial" w:cs="Arial" w:eastAsia="Arial" w:hAnsi="Arial"/>
                <w:sz w:val="14"/>
                <w:szCs w:val="14"/>
                <w:b w:val="1"/>
                <w:bCs w:val="1"/>
                <w:color w:val="05445E"/>
                <w:w w:val="88"/>
                <w:vertAlign w:val="superscript"/>
              </w:rPr>
              <w:t>(4)</w:t>
            </w:r>
          </w:p>
        </w:tc>
        <w:tc>
          <w:tcPr>
            <w:tcW w:w="100" w:type="dxa"/>
            <w:vAlign w:val="bottom"/>
            <w:tcBorders>
              <w:bottom w:val="single" w:sz="8" w:color="DBDBDB"/>
            </w:tcBorders>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05445E"/>
              </w:rPr>
              <w:t>($)</w:t>
            </w:r>
          </w:p>
        </w:tc>
        <w:tc>
          <w:tcPr>
            <w:tcW w:w="100" w:type="dxa"/>
            <w:vAlign w:val="bottom"/>
            <w:tcBorders>
              <w:bottom w:val="single" w:sz="8" w:color="DBDBDB"/>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05445E"/>
                <w:w w:val="88"/>
              </w:rPr>
              <w:t>($)</w:t>
            </w:r>
            <w:r>
              <w:rPr>
                <w:rFonts w:ascii="Arial" w:cs="Arial" w:eastAsia="Arial" w:hAnsi="Arial"/>
                <w:sz w:val="14"/>
                <w:szCs w:val="14"/>
                <w:b w:val="1"/>
                <w:bCs w:val="1"/>
                <w:color w:val="05445E"/>
                <w:w w:val="88"/>
                <w:vertAlign w:val="superscript"/>
              </w:rPr>
              <w:t>(4)</w:t>
            </w:r>
          </w:p>
        </w:tc>
        <w:tc>
          <w:tcPr>
            <w:tcW w:w="120" w:type="dxa"/>
            <w:vAlign w:val="bottom"/>
            <w:tcBorders>
              <w:bottom w:val="single" w:sz="8" w:color="DBDBDB"/>
            </w:tcBorders>
          </w:tcPr>
          <w:p>
            <w:pPr>
              <w:spacing w:after="0"/>
              <w:rPr>
                <w:sz w:val="15"/>
                <w:szCs w:val="15"/>
                <w:color w:val="auto"/>
              </w:rPr>
            </w:pPr>
          </w:p>
        </w:tc>
        <w:tc>
          <w:tcPr>
            <w:tcW w:w="1020" w:type="dxa"/>
            <w:vAlign w:val="bottom"/>
            <w:tcBorders>
              <w:bottom w:val="single" w:sz="8" w:color="auto"/>
            </w:tcBorders>
          </w:tcPr>
          <w:p>
            <w:pPr>
              <w:jc w:val="center"/>
              <w:ind w:right="326"/>
              <w:spacing w:after="0"/>
              <w:rPr>
                <w:sz w:val="20"/>
                <w:szCs w:val="20"/>
                <w:color w:val="auto"/>
              </w:rPr>
            </w:pPr>
            <w:r>
              <w:rPr>
                <w:rFonts w:ascii="Arial" w:cs="Arial" w:eastAsia="Arial" w:hAnsi="Arial"/>
                <w:sz w:val="11"/>
                <w:szCs w:val="11"/>
                <w:b w:val="1"/>
                <w:bCs w:val="1"/>
                <w:color w:val="05445E"/>
              </w:rPr>
              <w:t>($)</w:t>
            </w:r>
            <w:r>
              <w:rPr>
                <w:rFonts w:ascii="Arial" w:cs="Arial" w:eastAsia="Arial" w:hAnsi="Arial"/>
                <w:sz w:val="14"/>
                <w:szCs w:val="14"/>
                <w:b w:val="1"/>
                <w:bCs w:val="1"/>
                <w:color w:val="05445E"/>
                <w:vertAlign w:val="superscript"/>
              </w:rPr>
              <w:t>(3)</w:t>
            </w:r>
          </w:p>
        </w:tc>
        <w:tc>
          <w:tcPr>
            <w:tcW w:w="80" w:type="dxa"/>
            <w:vAlign w:val="bottom"/>
            <w:tcBorders>
              <w:bottom w:val="single" w:sz="8" w:color="DBDBDB"/>
            </w:tcBorders>
          </w:tcPr>
          <w:p>
            <w:pPr>
              <w:spacing w:after="0"/>
              <w:rPr>
                <w:sz w:val="15"/>
                <w:szCs w:val="15"/>
                <w:color w:val="auto"/>
              </w:rPr>
            </w:pPr>
          </w:p>
        </w:tc>
        <w:tc>
          <w:tcPr>
            <w:tcW w:w="1000" w:type="dxa"/>
            <w:vAlign w:val="bottom"/>
            <w:tcBorders>
              <w:bottom w:val="single" w:sz="8" w:color="auto"/>
            </w:tcBorders>
          </w:tcPr>
          <w:p>
            <w:pPr>
              <w:jc w:val="center"/>
              <w:ind w:right="266"/>
              <w:spacing w:after="0"/>
              <w:rPr>
                <w:sz w:val="20"/>
                <w:szCs w:val="20"/>
                <w:color w:val="auto"/>
              </w:rPr>
            </w:pPr>
            <w:r>
              <w:rPr>
                <w:rFonts w:ascii="Arial" w:cs="Arial" w:eastAsia="Arial" w:hAnsi="Arial"/>
                <w:sz w:val="11"/>
                <w:szCs w:val="11"/>
                <w:b w:val="1"/>
                <w:bCs w:val="1"/>
                <w:color w:val="05445E"/>
              </w:rPr>
              <w:t>($)</w:t>
            </w:r>
            <w:r>
              <w:rPr>
                <w:rFonts w:ascii="Arial" w:cs="Arial" w:eastAsia="Arial" w:hAnsi="Arial"/>
                <w:sz w:val="7"/>
                <w:szCs w:val="7"/>
                <w:b w:val="1"/>
                <w:bCs w:val="1"/>
                <w:color w:val="05445E"/>
              </w:rPr>
              <w:t>(3)(4)</w:t>
            </w:r>
          </w:p>
        </w:tc>
        <w:tc>
          <w:tcPr>
            <w:tcW w:w="100" w:type="dxa"/>
            <w:vAlign w:val="bottom"/>
            <w:tcBorders>
              <w:bottom w:val="single" w:sz="8" w:color="DBDBDB"/>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05445E"/>
                <w:w w:val="88"/>
              </w:rPr>
              <w:t>($)</w:t>
            </w:r>
            <w:r>
              <w:rPr>
                <w:rFonts w:ascii="Arial" w:cs="Arial" w:eastAsia="Arial" w:hAnsi="Arial"/>
                <w:sz w:val="14"/>
                <w:szCs w:val="14"/>
                <w:b w:val="1"/>
                <w:bCs w:val="1"/>
                <w:color w:val="05445E"/>
                <w:w w:val="88"/>
                <w:vertAlign w:val="superscript"/>
              </w:rPr>
              <w:t>(5)</w:t>
            </w:r>
          </w:p>
        </w:tc>
        <w:tc>
          <w:tcPr>
            <w:tcW w:w="80" w:type="dxa"/>
            <w:vAlign w:val="bottom"/>
            <w:tcBorders>
              <w:bottom w:val="single" w:sz="8" w:color="DBDBDB"/>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05445E"/>
                <w:w w:val="88"/>
              </w:rPr>
              <w:t>($)</w:t>
            </w:r>
            <w:r>
              <w:rPr>
                <w:rFonts w:ascii="Arial" w:cs="Arial" w:eastAsia="Arial" w:hAnsi="Arial"/>
                <w:sz w:val="14"/>
                <w:szCs w:val="14"/>
                <w:b w:val="1"/>
                <w:bCs w:val="1"/>
                <w:color w:val="05445E"/>
                <w:w w:val="88"/>
                <w:vertAlign w:val="superscript"/>
              </w:rPr>
              <w:t>(6)</w:t>
            </w:r>
          </w:p>
        </w:tc>
        <w:tc>
          <w:tcPr>
            <w:tcW w:w="100" w:type="dxa"/>
            <w:vAlign w:val="bottom"/>
            <w:tcBorders>
              <w:bottom w:val="single" w:sz="8" w:color="DBDBDB"/>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05445E"/>
                <w:w w:val="99"/>
              </w:rPr>
              <w:t>($ in '000s)</w:t>
            </w:r>
          </w:p>
        </w:tc>
        <w:tc>
          <w:tcPr>
            <w:tcW w:w="100" w:type="dxa"/>
            <w:vAlign w:val="bottom"/>
            <w:tcBorders>
              <w:bottom w:val="single" w:sz="8" w:color="DBDBDB"/>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05445E"/>
                <w:w w:val="97"/>
              </w:rPr>
              <w:t>'000s)</w:t>
            </w:r>
          </w:p>
        </w:tc>
        <w:tc>
          <w:tcPr>
            <w:tcW w:w="0" w:type="dxa"/>
            <w:vAlign w:val="bottom"/>
          </w:tcPr>
          <w:p>
            <w:pPr>
              <w:spacing w:after="0"/>
              <w:rPr>
                <w:sz w:val="1"/>
                <w:szCs w:val="1"/>
                <w:color w:val="auto"/>
              </w:rPr>
            </w:pPr>
          </w:p>
        </w:tc>
      </w:tr>
      <w:tr>
        <w:trPr>
          <w:trHeight w:val="163"/>
        </w:trPr>
        <w:tc>
          <w:tcPr>
            <w:tcW w:w="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1"/>
                <w:szCs w:val="11"/>
                <w:color w:val="auto"/>
                <w:w w:val="97"/>
              </w:rPr>
              <w:t>2025</w:t>
            </w:r>
          </w:p>
        </w:tc>
        <w:tc>
          <w:tcPr>
            <w:tcW w:w="8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1"/>
                <w:szCs w:val="11"/>
                <w:color w:val="auto"/>
                <w:w w:val="97"/>
              </w:rPr>
              <w:t>5,255,526</w:t>
            </w:r>
          </w:p>
        </w:tc>
        <w:tc>
          <w:tcPr>
            <w:tcW w:w="80" w:type="dxa"/>
            <w:vAlign w:val="bottom"/>
            <w:tcBorders>
              <w:bottom w:val="single" w:sz="8" w:color="DBDBDB"/>
            </w:tcBorders>
            <w:shd w:val="clear" w:color="auto" w:fill="DBDBDB"/>
          </w:tcPr>
          <w:p>
            <w:pPr>
              <w:spacing w:after="0"/>
              <w:rPr>
                <w:sz w:val="14"/>
                <w:szCs w:val="14"/>
                <w:color w:val="auto"/>
              </w:rPr>
            </w:pPr>
          </w:p>
        </w:tc>
        <w:tc>
          <w:tcPr>
            <w:tcW w:w="11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1"/>
                <w:szCs w:val="11"/>
                <w:color w:val="auto"/>
                <w:w w:val="97"/>
              </w:rPr>
              <w:t>3,955,797</w:t>
            </w:r>
          </w:p>
        </w:tc>
        <w:tc>
          <w:tcPr>
            <w:tcW w:w="100" w:type="dxa"/>
            <w:vAlign w:val="bottom"/>
            <w:tcBorders>
              <w:bottom w:val="single" w:sz="8" w:color="DBDBDB"/>
            </w:tcBorders>
            <w:shd w:val="clear" w:color="auto" w:fill="DBDBDB"/>
          </w:tcPr>
          <w:p>
            <w:pPr>
              <w:spacing w:after="0"/>
              <w:rPr>
                <w:sz w:val="14"/>
                <w:szCs w:val="14"/>
                <w:color w:val="auto"/>
              </w:rPr>
            </w:pPr>
          </w:p>
        </w:tc>
        <w:tc>
          <w:tcPr>
            <w:tcW w:w="1080" w:type="dxa"/>
            <w:vAlign w:val="bottom"/>
            <w:tcBorders>
              <w:bottom w:val="single" w:sz="8" w:color="DBDBDB"/>
            </w:tcBorders>
            <w:gridSpan w:val="3"/>
            <w:shd w:val="clear" w:color="auto" w:fill="DBDBDB"/>
          </w:tcPr>
          <w:p>
            <w:pPr>
              <w:jc w:val="center"/>
              <w:ind w:right="100"/>
              <w:spacing w:after="0"/>
              <w:rPr>
                <w:sz w:val="20"/>
                <w:szCs w:val="20"/>
                <w:color w:val="auto"/>
              </w:rPr>
            </w:pPr>
            <w:r>
              <w:rPr>
                <w:rFonts w:ascii="Arial" w:cs="Arial" w:eastAsia="Arial" w:hAnsi="Arial"/>
                <w:sz w:val="11"/>
                <w:szCs w:val="11"/>
                <w:color w:val="auto"/>
                <w:w w:val="90"/>
              </w:rPr>
              <w:t>—</w:t>
            </w:r>
          </w:p>
        </w:tc>
        <w:tc>
          <w:tcPr>
            <w:tcW w:w="9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1"/>
                <w:szCs w:val="11"/>
                <w:color w:val="auto"/>
                <w:w w:val="90"/>
              </w:rPr>
              <w:t>—</w:t>
            </w:r>
          </w:p>
        </w:tc>
        <w:tc>
          <w:tcPr>
            <w:tcW w:w="1140" w:type="dxa"/>
            <w:vAlign w:val="bottom"/>
            <w:tcBorders>
              <w:bottom w:val="single" w:sz="8" w:color="DBDBDB"/>
            </w:tcBorders>
            <w:gridSpan w:val="2"/>
            <w:shd w:val="clear" w:color="auto" w:fill="DBDBDB"/>
          </w:tcPr>
          <w:p>
            <w:pPr>
              <w:jc w:val="right"/>
              <w:ind w:right="86"/>
              <w:spacing w:after="0"/>
              <w:rPr>
                <w:sz w:val="20"/>
                <w:szCs w:val="20"/>
                <w:color w:val="auto"/>
              </w:rPr>
            </w:pPr>
            <w:r>
              <w:rPr>
                <w:rFonts w:ascii="Arial" w:cs="Arial" w:eastAsia="Arial" w:hAnsi="Arial"/>
                <w:sz w:val="11"/>
                <w:szCs w:val="11"/>
                <w:color w:val="auto"/>
              </w:rPr>
              <w:t>1,554,489</w:t>
            </w:r>
          </w:p>
        </w:tc>
        <w:tc>
          <w:tcPr>
            <w:tcW w:w="80" w:type="dxa"/>
            <w:vAlign w:val="bottom"/>
            <w:tcBorders>
              <w:bottom w:val="single" w:sz="8" w:color="DBDBDB"/>
            </w:tcBorders>
            <w:shd w:val="clear" w:color="auto" w:fill="DBDBDB"/>
          </w:tcPr>
          <w:p>
            <w:pPr>
              <w:spacing w:after="0"/>
              <w:rPr>
                <w:sz w:val="14"/>
                <w:szCs w:val="14"/>
                <w:color w:val="auto"/>
              </w:rPr>
            </w:pPr>
          </w:p>
        </w:tc>
        <w:tc>
          <w:tcPr>
            <w:tcW w:w="100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1,340,415</w:t>
            </w:r>
          </w:p>
        </w:tc>
        <w:tc>
          <w:tcPr>
            <w:tcW w:w="10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1"/>
                <w:szCs w:val="11"/>
                <w:color w:val="auto"/>
              </w:rPr>
              <w:t>176.84</w:t>
            </w:r>
          </w:p>
        </w:tc>
        <w:tc>
          <w:tcPr>
            <w:tcW w:w="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1"/>
                <w:szCs w:val="11"/>
                <w:color w:val="auto"/>
              </w:rPr>
              <w:t>210.66</w:t>
            </w:r>
          </w:p>
        </w:tc>
        <w:tc>
          <w:tcPr>
            <w:tcW w:w="100" w:type="dxa"/>
            <w:vAlign w:val="bottom"/>
            <w:tcBorders>
              <w:bottom w:val="single" w:sz="8" w:color="DBDBDB"/>
            </w:tcBorders>
            <w:shd w:val="clear" w:color="auto" w:fill="DBDBDB"/>
          </w:tcPr>
          <w:p>
            <w:pPr>
              <w:spacing w:after="0"/>
              <w:rPr>
                <w:sz w:val="14"/>
                <w:szCs w:val="14"/>
                <w:color w:val="auto"/>
              </w:rPr>
            </w:pPr>
          </w:p>
        </w:tc>
        <w:tc>
          <w:tcPr>
            <w:tcW w:w="8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85,052</w:t>
            </w:r>
          </w:p>
        </w:tc>
        <w:tc>
          <w:tcPr>
            <w:tcW w:w="10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146,617</w:t>
            </w:r>
          </w:p>
        </w:tc>
        <w:tc>
          <w:tcPr>
            <w:tcW w:w="0" w:type="dxa"/>
            <w:vAlign w:val="bottom"/>
          </w:tcPr>
          <w:p>
            <w:pPr>
              <w:spacing w:after="0"/>
              <w:rPr>
                <w:sz w:val="1"/>
                <w:szCs w:val="1"/>
                <w:color w:val="auto"/>
              </w:rPr>
            </w:pPr>
          </w:p>
        </w:tc>
      </w:tr>
      <w:tr>
        <w:trPr>
          <w:trHeight w:val="155"/>
        </w:trPr>
        <w:tc>
          <w:tcPr>
            <w:tcW w:w="540" w:type="dxa"/>
            <w:vAlign w:val="bottom"/>
          </w:tcPr>
          <w:p>
            <w:pPr>
              <w:jc w:val="center"/>
              <w:spacing w:after="0"/>
              <w:rPr>
                <w:sz w:val="20"/>
                <w:szCs w:val="20"/>
                <w:color w:val="auto"/>
              </w:rPr>
            </w:pPr>
            <w:r>
              <w:rPr>
                <w:rFonts w:ascii="Arial" w:cs="Arial" w:eastAsia="Arial" w:hAnsi="Arial"/>
                <w:sz w:val="11"/>
                <w:szCs w:val="11"/>
                <w:color w:val="auto"/>
                <w:w w:val="97"/>
              </w:rPr>
              <w:t>2024</w:t>
            </w: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5,498,397</w:t>
            </w: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1"/>
                <w:szCs w:val="11"/>
                <w:color w:val="auto"/>
                <w:w w:val="97"/>
              </w:rPr>
              <w:t>4,809,357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jc w:val="center"/>
              <w:ind w:right="386"/>
              <w:spacing w:after="0"/>
              <w:rPr>
                <w:sz w:val="20"/>
                <w:szCs w:val="20"/>
                <w:color w:val="auto"/>
              </w:rPr>
            </w:pPr>
            <w:r>
              <w:rPr>
                <w:rFonts w:ascii="Arial" w:cs="Arial" w:eastAsia="Arial" w:hAnsi="Arial"/>
                <w:sz w:val="11"/>
                <w:szCs w:val="11"/>
                <w:color w:val="auto"/>
                <w:strike w:val="1"/>
                <w:w w:val="90"/>
              </w:rPr>
              <w:t>—</w:t>
            </w: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strike w:val="1"/>
                <w:w w:val="90"/>
              </w:rPr>
              <w:t>—</w:t>
            </w:r>
          </w:p>
        </w:tc>
        <w:tc>
          <w:tcPr>
            <w:tcW w:w="1140" w:type="dxa"/>
            <w:vAlign w:val="bottom"/>
            <w:gridSpan w:val="2"/>
          </w:tcPr>
          <w:p>
            <w:pPr>
              <w:jc w:val="right"/>
              <w:ind w:right="86"/>
              <w:spacing w:after="0"/>
              <w:rPr>
                <w:sz w:val="20"/>
                <w:szCs w:val="20"/>
                <w:color w:val="auto"/>
              </w:rPr>
            </w:pPr>
            <w:r>
              <w:rPr>
                <w:rFonts w:ascii="Arial" w:cs="Arial" w:eastAsia="Arial" w:hAnsi="Arial"/>
                <w:sz w:val="11"/>
                <w:szCs w:val="11"/>
                <w:color w:val="auto"/>
              </w:rPr>
              <w:t>413,411</w:t>
            </w:r>
          </w:p>
        </w:tc>
        <w:tc>
          <w:tcPr>
            <w:tcW w:w="8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1,564,002</w:t>
            </w: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1"/>
                <w:szCs w:val="11"/>
                <w:color w:val="auto"/>
              </w:rPr>
              <w:t>207.19</w:t>
            </w:r>
          </w:p>
        </w:tc>
        <w:tc>
          <w:tcPr>
            <w:tcW w:w="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1"/>
                <w:szCs w:val="11"/>
                <w:color w:val="auto"/>
              </w:rPr>
              <w:t>195.04</w:t>
            </w:r>
          </w:p>
        </w:tc>
        <w:tc>
          <w:tcPr>
            <w:tcW w:w="10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99,613</w:t>
            </w:r>
          </w:p>
        </w:tc>
        <w:tc>
          <w:tcPr>
            <w:tcW w:w="1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143,638</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1"/>
                <w:szCs w:val="11"/>
                <w:color w:val="auto"/>
                <w:w w:val="97"/>
              </w:rPr>
              <w:t>2023</w:t>
            </w:r>
          </w:p>
        </w:tc>
        <w:tc>
          <w:tcPr>
            <w:tcW w:w="8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1"/>
                <w:szCs w:val="11"/>
                <w:color w:val="auto"/>
                <w:w w:val="97"/>
              </w:rPr>
              <w:t>4,030,529</w:t>
            </w:r>
          </w:p>
        </w:tc>
        <w:tc>
          <w:tcPr>
            <w:tcW w:w="80" w:type="dxa"/>
            <w:vAlign w:val="bottom"/>
            <w:tcBorders>
              <w:bottom w:val="single" w:sz="8" w:color="DBDBDB"/>
            </w:tcBorders>
            <w:shd w:val="clear" w:color="auto" w:fill="DBDBDB"/>
          </w:tcPr>
          <w:p>
            <w:pPr>
              <w:spacing w:after="0"/>
              <w:rPr>
                <w:sz w:val="14"/>
                <w:szCs w:val="14"/>
                <w:color w:val="auto"/>
              </w:rPr>
            </w:pPr>
          </w:p>
        </w:tc>
        <w:tc>
          <w:tcPr>
            <w:tcW w:w="11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1"/>
                <w:szCs w:val="11"/>
                <w:color w:val="auto"/>
                <w:w w:val="97"/>
              </w:rPr>
              <w:t>5,040,544</w:t>
            </w:r>
          </w:p>
        </w:tc>
        <w:tc>
          <w:tcPr>
            <w:tcW w:w="100" w:type="dxa"/>
            <w:vAlign w:val="bottom"/>
            <w:tcBorders>
              <w:bottom w:val="single" w:sz="8" w:color="DBDBDB"/>
            </w:tcBorders>
            <w:shd w:val="clear" w:color="auto" w:fill="DBDBDB"/>
          </w:tcPr>
          <w:p>
            <w:pPr>
              <w:spacing w:after="0"/>
              <w:rPr>
                <w:sz w:val="14"/>
                <w:szCs w:val="14"/>
                <w:color w:val="auto"/>
              </w:rPr>
            </w:pPr>
          </w:p>
        </w:tc>
        <w:tc>
          <w:tcPr>
            <w:tcW w:w="440" w:type="dxa"/>
            <w:vAlign w:val="bottom"/>
            <w:tcBorders>
              <w:bottom w:val="single" w:sz="8" w:color="DBDBDB"/>
            </w:tcBorders>
            <w:shd w:val="clear" w:color="auto" w:fill="DBDBDB"/>
          </w:tcPr>
          <w:p>
            <w:pPr>
              <w:spacing w:after="0"/>
              <w:rPr>
                <w:sz w:val="14"/>
                <w:szCs w:val="14"/>
                <w:color w:val="auto"/>
              </w:rPr>
            </w:pPr>
          </w:p>
        </w:tc>
        <w:tc>
          <w:tcPr>
            <w:tcW w:w="540" w:type="dxa"/>
            <w:vAlign w:val="bottom"/>
            <w:tcBorders>
              <w:bottom w:val="single" w:sz="8" w:color="DBDBDB"/>
            </w:tcBorders>
            <w:shd w:val="clear" w:color="auto" w:fill="DBDBDB"/>
          </w:tcPr>
          <w:p>
            <w:pPr>
              <w:jc w:val="center"/>
              <w:ind w:right="386"/>
              <w:spacing w:after="0"/>
              <w:rPr>
                <w:sz w:val="20"/>
                <w:szCs w:val="20"/>
                <w:color w:val="auto"/>
              </w:rPr>
            </w:pPr>
            <w:r>
              <w:rPr>
                <w:rFonts w:ascii="Arial" w:cs="Arial" w:eastAsia="Arial" w:hAnsi="Arial"/>
                <w:sz w:val="11"/>
                <w:szCs w:val="11"/>
                <w:color w:val="auto"/>
                <w:strike w:val="1"/>
                <w:w w:val="90"/>
              </w:rPr>
              <w:t>—</w:t>
            </w:r>
          </w:p>
        </w:tc>
        <w:tc>
          <w:tcPr>
            <w:tcW w:w="100" w:type="dxa"/>
            <w:vAlign w:val="bottom"/>
            <w:tcBorders>
              <w:bottom w:val="single" w:sz="8" w:color="DBDBDB"/>
            </w:tcBorders>
            <w:shd w:val="clear" w:color="auto" w:fill="DBDBDB"/>
          </w:tcPr>
          <w:p>
            <w:pPr>
              <w:spacing w:after="0"/>
              <w:rPr>
                <w:sz w:val="14"/>
                <w:szCs w:val="14"/>
                <w:color w:val="auto"/>
              </w:rPr>
            </w:pPr>
          </w:p>
        </w:tc>
        <w:tc>
          <w:tcPr>
            <w:tcW w:w="9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1"/>
                <w:szCs w:val="11"/>
                <w:color w:val="auto"/>
                <w:strike w:val="1"/>
                <w:w w:val="90"/>
              </w:rPr>
              <w:t>—</w:t>
            </w:r>
          </w:p>
        </w:tc>
        <w:tc>
          <w:tcPr>
            <w:tcW w:w="1140" w:type="dxa"/>
            <w:vAlign w:val="bottom"/>
            <w:tcBorders>
              <w:bottom w:val="single" w:sz="8" w:color="DBDBDB"/>
            </w:tcBorders>
            <w:gridSpan w:val="2"/>
            <w:shd w:val="clear" w:color="auto" w:fill="DBDBDB"/>
          </w:tcPr>
          <w:p>
            <w:pPr>
              <w:jc w:val="right"/>
              <w:ind w:right="86"/>
              <w:spacing w:after="0"/>
              <w:rPr>
                <w:sz w:val="20"/>
                <w:szCs w:val="20"/>
                <w:color w:val="auto"/>
              </w:rPr>
            </w:pPr>
            <w:r>
              <w:rPr>
                <w:rFonts w:ascii="Arial" w:cs="Arial" w:eastAsia="Arial" w:hAnsi="Arial"/>
                <w:sz w:val="11"/>
                <w:szCs w:val="11"/>
                <w:color w:val="auto"/>
              </w:rPr>
              <w:t>1,103,978</w:t>
            </w:r>
          </w:p>
        </w:tc>
        <w:tc>
          <w:tcPr>
            <w:tcW w:w="80" w:type="dxa"/>
            <w:vAlign w:val="bottom"/>
            <w:tcBorders>
              <w:bottom w:val="single" w:sz="8" w:color="DBDBDB"/>
            </w:tcBorders>
            <w:shd w:val="clear" w:color="auto" w:fill="DBDBDB"/>
          </w:tcPr>
          <w:p>
            <w:pPr>
              <w:spacing w:after="0"/>
              <w:rPr>
                <w:sz w:val="14"/>
                <w:szCs w:val="14"/>
                <w:color w:val="auto"/>
              </w:rPr>
            </w:pPr>
          </w:p>
        </w:tc>
        <w:tc>
          <w:tcPr>
            <w:tcW w:w="100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806,179</w:t>
            </w:r>
          </w:p>
        </w:tc>
        <w:tc>
          <w:tcPr>
            <w:tcW w:w="10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1"/>
                <w:szCs w:val="11"/>
                <w:color w:val="auto"/>
              </w:rPr>
              <w:t>162.99</w:t>
            </w:r>
          </w:p>
        </w:tc>
        <w:tc>
          <w:tcPr>
            <w:tcW w:w="8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1"/>
                <w:szCs w:val="11"/>
                <w:color w:val="auto"/>
              </w:rPr>
              <w:t>158.76</w:t>
            </w:r>
          </w:p>
        </w:tc>
        <w:tc>
          <w:tcPr>
            <w:tcW w:w="100" w:type="dxa"/>
            <w:vAlign w:val="bottom"/>
            <w:tcBorders>
              <w:bottom w:val="single" w:sz="8" w:color="DBDBDB"/>
            </w:tcBorders>
            <w:shd w:val="clear" w:color="auto" w:fill="DBDBDB"/>
          </w:tcPr>
          <w:p>
            <w:pPr>
              <w:spacing w:after="0"/>
              <w:rPr>
                <w:sz w:val="14"/>
                <w:szCs w:val="14"/>
                <w:color w:val="auto"/>
              </w:rPr>
            </w:pPr>
          </w:p>
        </w:tc>
        <w:tc>
          <w:tcPr>
            <w:tcW w:w="8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104,107</w:t>
            </w:r>
          </w:p>
        </w:tc>
        <w:tc>
          <w:tcPr>
            <w:tcW w:w="10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124,281</w:t>
            </w:r>
          </w:p>
        </w:tc>
        <w:tc>
          <w:tcPr>
            <w:tcW w:w="0" w:type="dxa"/>
            <w:vAlign w:val="bottom"/>
          </w:tcPr>
          <w:p>
            <w:pPr>
              <w:spacing w:after="0"/>
              <w:rPr>
                <w:sz w:val="1"/>
                <w:szCs w:val="1"/>
                <w:color w:val="auto"/>
              </w:rPr>
            </w:pPr>
          </w:p>
        </w:tc>
      </w:tr>
      <w:tr>
        <w:trPr>
          <w:trHeight w:val="155"/>
        </w:trPr>
        <w:tc>
          <w:tcPr>
            <w:tcW w:w="540" w:type="dxa"/>
            <w:vAlign w:val="bottom"/>
          </w:tcPr>
          <w:p>
            <w:pPr>
              <w:jc w:val="center"/>
              <w:spacing w:after="0"/>
              <w:rPr>
                <w:sz w:val="20"/>
                <w:szCs w:val="20"/>
                <w:color w:val="auto"/>
              </w:rPr>
            </w:pPr>
            <w:r>
              <w:rPr>
                <w:rFonts w:ascii="Arial" w:cs="Arial" w:eastAsia="Arial" w:hAnsi="Arial"/>
                <w:sz w:val="11"/>
                <w:szCs w:val="11"/>
                <w:color w:val="auto"/>
                <w:w w:val="97"/>
              </w:rPr>
              <w:t>2022</w:t>
            </w: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w w:val="97"/>
              </w:rPr>
              <w:t>3,199,648</w:t>
            </w:r>
          </w:p>
        </w:tc>
        <w:tc>
          <w:tcPr>
            <w:tcW w:w="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1"/>
                <w:szCs w:val="11"/>
                <w:color w:val="auto"/>
                <w:w w:val="97"/>
              </w:rPr>
              <w:t>4,021,469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jc w:val="center"/>
              <w:ind w:right="386"/>
              <w:spacing w:after="0"/>
              <w:rPr>
                <w:sz w:val="20"/>
                <w:szCs w:val="20"/>
                <w:color w:val="auto"/>
              </w:rPr>
            </w:pPr>
            <w:r>
              <w:rPr>
                <w:rFonts w:ascii="Arial" w:cs="Arial" w:eastAsia="Arial" w:hAnsi="Arial"/>
                <w:sz w:val="11"/>
                <w:szCs w:val="11"/>
                <w:color w:val="auto"/>
                <w:strike w:val="1"/>
                <w:w w:val="90"/>
              </w:rPr>
              <w:t>—</w:t>
            </w: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strike w:val="1"/>
                <w:w w:val="90"/>
              </w:rPr>
              <w:t>—</w:t>
            </w:r>
          </w:p>
        </w:tc>
        <w:tc>
          <w:tcPr>
            <w:tcW w:w="1140" w:type="dxa"/>
            <w:vAlign w:val="bottom"/>
            <w:gridSpan w:val="2"/>
          </w:tcPr>
          <w:p>
            <w:pPr>
              <w:jc w:val="right"/>
              <w:ind w:right="86"/>
              <w:spacing w:after="0"/>
              <w:rPr>
                <w:sz w:val="20"/>
                <w:szCs w:val="20"/>
                <w:color w:val="auto"/>
              </w:rPr>
            </w:pPr>
            <w:r>
              <w:rPr>
                <w:rFonts w:ascii="Arial" w:cs="Arial" w:eastAsia="Arial" w:hAnsi="Arial"/>
                <w:sz w:val="11"/>
                <w:szCs w:val="11"/>
                <w:color w:val="auto"/>
              </w:rPr>
              <w:t>1,162,101</w:t>
            </w:r>
          </w:p>
        </w:tc>
        <w:tc>
          <w:tcPr>
            <w:tcW w:w="8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1,433,330</w:t>
            </w: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1"/>
                <w:szCs w:val="11"/>
                <w:color w:val="auto"/>
              </w:rPr>
              <w:t>158.44</w:t>
            </w:r>
          </w:p>
        </w:tc>
        <w:tc>
          <w:tcPr>
            <w:tcW w:w="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1"/>
                <w:szCs w:val="11"/>
                <w:color w:val="auto"/>
              </w:rPr>
              <w:t>146.23</w:t>
            </w:r>
          </w:p>
        </w:tc>
        <w:tc>
          <w:tcPr>
            <w:tcW w:w="100" w:type="dxa"/>
            <w:vAlign w:val="bottom"/>
          </w:tcPr>
          <w:p>
            <w:pPr>
              <w:spacing w:after="0"/>
              <w:rPr>
                <w:sz w:val="13"/>
                <w:szCs w:val="13"/>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3,486</w:t>
            </w:r>
          </w:p>
        </w:tc>
        <w:tc>
          <w:tcPr>
            <w:tcW w:w="10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81,165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2021</w:t>
            </w:r>
          </w:p>
        </w:tc>
        <w:tc>
          <w:tcPr>
            <w:tcW w:w="80" w:type="dxa"/>
            <w:vAlign w:val="bottom"/>
            <w:shd w:val="clear" w:color="auto" w:fill="DBDBDB"/>
          </w:tcPr>
          <w:p>
            <w:pPr>
              <w:spacing w:after="0"/>
              <w:rPr>
                <w:sz w:val="13"/>
                <w:szCs w:val="13"/>
                <w:color w:val="auto"/>
              </w:rPr>
            </w:pPr>
          </w:p>
        </w:tc>
        <w:tc>
          <w:tcPr>
            <w:tcW w:w="88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1,759,313</w:t>
            </w:r>
          </w:p>
        </w:tc>
        <w:tc>
          <w:tcPr>
            <w:tcW w:w="80" w:type="dxa"/>
            <w:vAlign w:val="bottom"/>
            <w:shd w:val="clear" w:color="auto" w:fill="DBDBDB"/>
          </w:tcPr>
          <w:p>
            <w:pPr>
              <w:spacing w:after="0"/>
              <w:rPr>
                <w:sz w:val="13"/>
                <w:szCs w:val="13"/>
                <w:color w:val="auto"/>
              </w:rPr>
            </w:pPr>
          </w:p>
        </w:tc>
        <w:tc>
          <w:tcPr>
            <w:tcW w:w="110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2,067,075</w:t>
            </w:r>
          </w:p>
        </w:tc>
        <w:tc>
          <w:tcPr>
            <w:tcW w:w="100" w:type="dxa"/>
            <w:vAlign w:val="bottom"/>
            <w:shd w:val="clear" w:color="auto" w:fill="DBDBDB"/>
          </w:tcPr>
          <w:p>
            <w:pPr>
              <w:spacing w:after="0"/>
              <w:rPr>
                <w:sz w:val="13"/>
                <w:szCs w:val="13"/>
                <w:color w:val="auto"/>
              </w:rPr>
            </w:pPr>
          </w:p>
        </w:tc>
        <w:tc>
          <w:tcPr>
            <w:tcW w:w="980" w:type="dxa"/>
            <w:vAlign w:val="bottom"/>
            <w:gridSpan w:val="2"/>
            <w:shd w:val="clear" w:color="auto" w:fill="DBDBDB"/>
          </w:tcPr>
          <w:p>
            <w:pPr>
              <w:jc w:val="center"/>
              <w:spacing w:after="0"/>
              <w:rPr>
                <w:sz w:val="20"/>
                <w:szCs w:val="20"/>
                <w:color w:val="auto"/>
              </w:rPr>
            </w:pPr>
            <w:r>
              <w:rPr>
                <w:rFonts w:ascii="Arial" w:cs="Arial" w:eastAsia="Arial" w:hAnsi="Arial"/>
                <w:sz w:val="11"/>
                <w:szCs w:val="11"/>
                <w:color w:val="auto"/>
                <w:w w:val="97"/>
              </w:rPr>
              <w:t>4,275,337</w:t>
            </w:r>
          </w:p>
        </w:tc>
        <w:tc>
          <w:tcPr>
            <w:tcW w:w="100" w:type="dxa"/>
            <w:vAlign w:val="bottom"/>
            <w:shd w:val="clear" w:color="auto" w:fill="DBDBDB"/>
          </w:tcPr>
          <w:p>
            <w:pPr>
              <w:spacing w:after="0"/>
              <w:rPr>
                <w:sz w:val="13"/>
                <w:szCs w:val="13"/>
                <w:color w:val="auto"/>
              </w:rPr>
            </w:pPr>
          </w:p>
        </w:tc>
        <w:tc>
          <w:tcPr>
            <w:tcW w:w="98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6,149,762</w:t>
            </w:r>
          </w:p>
        </w:tc>
        <w:tc>
          <w:tcPr>
            <w:tcW w:w="1140" w:type="dxa"/>
            <w:vAlign w:val="bottom"/>
            <w:gridSpan w:val="2"/>
            <w:shd w:val="clear" w:color="auto" w:fill="DBDBDB"/>
          </w:tcPr>
          <w:p>
            <w:pPr>
              <w:jc w:val="right"/>
              <w:ind w:right="266"/>
              <w:spacing w:after="0"/>
              <w:rPr>
                <w:sz w:val="20"/>
                <w:szCs w:val="20"/>
                <w:color w:val="auto"/>
              </w:rPr>
            </w:pPr>
            <w:r>
              <w:rPr>
                <w:rFonts w:ascii="Arial" w:cs="Arial" w:eastAsia="Arial" w:hAnsi="Arial"/>
                <w:sz w:val="11"/>
                <w:szCs w:val="11"/>
                <w:color w:val="auto"/>
              </w:rPr>
              <w:t>960,766</w:t>
            </w:r>
          </w:p>
        </w:tc>
        <w:tc>
          <w:tcPr>
            <w:tcW w:w="80" w:type="dxa"/>
            <w:vAlign w:val="bottom"/>
            <w:shd w:val="clear" w:color="auto" w:fill="DBDBDB"/>
          </w:tcPr>
          <w:p>
            <w:pPr>
              <w:spacing w:after="0"/>
              <w:rPr>
                <w:sz w:val="13"/>
                <w:szCs w:val="13"/>
                <w:color w:val="auto"/>
              </w:rPr>
            </w:pPr>
          </w:p>
        </w:tc>
        <w:tc>
          <w:tcPr>
            <w:tcW w:w="100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1,437,708</w:t>
            </w: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127.65</w:t>
            </w:r>
          </w:p>
        </w:tc>
        <w:tc>
          <w:tcPr>
            <w:tcW w:w="80" w:type="dxa"/>
            <w:vAlign w:val="bottom"/>
            <w:shd w:val="clear" w:color="auto" w:fill="DBDBDB"/>
          </w:tcPr>
          <w:p>
            <w:pPr>
              <w:spacing w:after="0"/>
              <w:rPr>
                <w:sz w:val="13"/>
                <w:szCs w:val="13"/>
                <w:color w:val="auto"/>
              </w:rPr>
            </w:pPr>
          </w:p>
        </w:tc>
        <w:tc>
          <w:tcPr>
            <w:tcW w:w="94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123.70</w:t>
            </w: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jc w:val="center"/>
              <w:spacing w:after="0"/>
              <w:rPr>
                <w:sz w:val="20"/>
                <w:szCs w:val="20"/>
                <w:color w:val="auto"/>
              </w:rPr>
            </w:pPr>
            <w:r>
              <w:rPr>
                <w:rFonts w:ascii="Arial" w:cs="Arial" w:eastAsia="Arial" w:hAnsi="Arial"/>
                <w:sz w:val="11"/>
                <w:szCs w:val="11"/>
                <w:color w:val="auto"/>
              </w:rPr>
              <w:t>15,436</w:t>
            </w:r>
          </w:p>
        </w:tc>
        <w:tc>
          <w:tcPr>
            <w:tcW w:w="100" w:type="dxa"/>
            <w:vAlign w:val="bottom"/>
            <w:shd w:val="clear" w:color="auto" w:fill="DBDBDB"/>
          </w:tcPr>
          <w:p>
            <w:pPr>
              <w:spacing w:after="0"/>
              <w:rPr>
                <w:sz w:val="13"/>
                <w:szCs w:val="13"/>
                <w:color w:val="auto"/>
              </w:rPr>
            </w:pPr>
          </w:p>
        </w:tc>
        <w:tc>
          <w:tcPr>
            <w:tcW w:w="920" w:type="dxa"/>
            <w:vAlign w:val="bottom"/>
            <w:shd w:val="clear" w:color="auto" w:fill="DBDBDB"/>
          </w:tcPr>
          <w:p>
            <w:pPr>
              <w:jc w:val="right"/>
              <w:ind w:right="246"/>
              <w:spacing w:after="0"/>
              <w:rPr>
                <w:sz w:val="20"/>
                <w:szCs w:val="20"/>
                <w:color w:val="auto"/>
              </w:rPr>
            </w:pPr>
            <w:r>
              <w:rPr>
                <w:rFonts w:ascii="Arial" w:cs="Arial" w:eastAsia="Arial" w:hAnsi="Arial"/>
                <w:sz w:val="11"/>
                <w:szCs w:val="11"/>
                <w:color w:val="auto"/>
              </w:rPr>
              <w:t>88,614</w:t>
            </w:r>
          </w:p>
        </w:tc>
        <w:tc>
          <w:tcPr>
            <w:tcW w:w="0" w:type="dxa"/>
            <w:vAlign w:val="bottom"/>
          </w:tcPr>
          <w:p>
            <w:pPr>
              <w:spacing w:after="0"/>
              <w:rPr>
                <w:sz w:val="1"/>
                <w:szCs w:val="1"/>
                <w:color w:val="auto"/>
              </w:rPr>
            </w:pPr>
          </w:p>
        </w:tc>
      </w:tr>
      <w:tr>
        <w:trPr>
          <w:trHeight w:val="33"/>
        </w:trPr>
        <w:tc>
          <w:tcPr>
            <w:tcW w:w="5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440" w:type="dxa"/>
            <w:vAlign w:val="bottom"/>
            <w:shd w:val="clear" w:color="auto" w:fill="DBDBDB"/>
          </w:tcPr>
          <w:p>
            <w:pPr>
              <w:spacing w:after="0"/>
              <w:rPr>
                <w:sz w:val="2"/>
                <w:szCs w:val="2"/>
                <w:color w:val="auto"/>
              </w:rPr>
            </w:pPr>
          </w:p>
        </w:tc>
        <w:tc>
          <w:tcPr>
            <w:tcW w:w="5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0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9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180"/>
        <w:spacing w:after="0"/>
        <w:rPr>
          <w:sz w:val="20"/>
          <w:szCs w:val="20"/>
          <w:color w:val="auto"/>
        </w:rPr>
      </w:pPr>
      <w:r>
        <w:rPr>
          <w:rFonts w:ascii="Arial" w:cs="Arial" w:eastAsia="Arial" w:hAnsi="Arial"/>
          <w:sz w:val="11"/>
          <w:szCs w:val="11"/>
          <w:color w:val="auto"/>
        </w:rPr>
        <w:t>___________________________</w:t>
      </w:r>
    </w:p>
    <w:p>
      <w:pPr>
        <w:spacing w:after="0" w:line="112" w:lineRule="exact"/>
        <w:rPr>
          <w:sz w:val="20"/>
          <w:szCs w:val="20"/>
          <w:color w:val="auto"/>
        </w:rPr>
      </w:pPr>
    </w:p>
    <w:p>
      <w:pPr>
        <w:ind w:left="480" w:hanging="472"/>
        <w:spacing w:after="0"/>
        <w:tabs>
          <w:tab w:leader="none" w:pos="4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Ty R. Silberhorn became President and Chief Executive Officer effective January 4, 2021, which was near the end of our fiscal 2021.</w:t>
      </w:r>
    </w:p>
    <w:p>
      <w:pPr>
        <w:spacing w:after="0" w:line="107" w:lineRule="exact"/>
        <w:rPr>
          <w:rFonts w:ascii="Arial" w:cs="Arial" w:eastAsia="Arial" w:hAnsi="Arial"/>
          <w:sz w:val="13"/>
          <w:szCs w:val="13"/>
          <w:color w:val="auto"/>
        </w:rPr>
      </w:pPr>
    </w:p>
    <w:p>
      <w:pPr>
        <w:ind w:left="480" w:hanging="472"/>
        <w:spacing w:after="0"/>
        <w:tabs>
          <w:tab w:leader="none" w:pos="4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Joseph F. Puishys served as President and Chief Executive Officer from August 22, 2011 through January 3, 2021.</w:t>
      </w:r>
    </w:p>
    <w:p>
      <w:pPr>
        <w:spacing w:after="0" w:line="107" w:lineRule="exact"/>
        <w:rPr>
          <w:rFonts w:ascii="Arial" w:cs="Arial" w:eastAsia="Arial" w:hAnsi="Arial"/>
          <w:sz w:val="13"/>
          <w:szCs w:val="13"/>
          <w:color w:val="auto"/>
        </w:rPr>
      </w:pPr>
    </w:p>
    <w:p>
      <w:pPr>
        <w:ind w:left="480" w:hanging="472"/>
        <w:spacing w:after="0"/>
        <w:tabs>
          <w:tab w:leader="none" w:pos="4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following table lists the individuals who comprise the Non-PEO NEOs in each of the covered years: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80" w:type="dxa"/>
            <w:vAlign w:val="bottom"/>
            <w:tcBorders>
              <w:bottom w:val="single" w:sz="8" w:color="05445E"/>
            </w:tcBorders>
          </w:tcPr>
          <w:p>
            <w:pPr>
              <w:jc w:val="center"/>
              <w:spacing w:after="0"/>
              <w:rPr>
                <w:sz w:val="20"/>
                <w:szCs w:val="20"/>
                <w:color w:val="auto"/>
              </w:rPr>
            </w:pPr>
            <w:r>
              <w:rPr>
                <w:rFonts w:ascii="Arial" w:cs="Arial" w:eastAsia="Arial" w:hAnsi="Arial"/>
                <w:sz w:val="14"/>
                <w:szCs w:val="14"/>
                <w:b w:val="1"/>
                <w:bCs w:val="1"/>
                <w:color w:val="05445E"/>
              </w:rPr>
              <w:t>2025</w:t>
            </w:r>
          </w:p>
        </w:tc>
        <w:tc>
          <w:tcPr>
            <w:tcW w:w="80" w:type="dxa"/>
            <w:vAlign w:val="bottom"/>
            <w:tcBorders>
              <w:bottom w:val="single" w:sz="8" w:color="DBDBDB"/>
            </w:tcBorders>
          </w:tcPr>
          <w:p>
            <w:pPr>
              <w:spacing w:after="0"/>
              <w:rPr>
                <w:sz w:val="17"/>
                <w:szCs w:val="17"/>
                <w:color w:val="auto"/>
              </w:rPr>
            </w:pPr>
          </w:p>
        </w:tc>
        <w:tc>
          <w:tcPr>
            <w:tcW w:w="2580" w:type="dxa"/>
            <w:vAlign w:val="bottom"/>
            <w:tcBorders>
              <w:bottom w:val="single" w:sz="8" w:color="05445E"/>
            </w:tcBorders>
          </w:tcPr>
          <w:p>
            <w:pPr>
              <w:jc w:val="center"/>
              <w:spacing w:after="0"/>
              <w:rPr>
                <w:sz w:val="20"/>
                <w:szCs w:val="20"/>
                <w:color w:val="auto"/>
              </w:rPr>
            </w:pPr>
            <w:r>
              <w:rPr>
                <w:rFonts w:ascii="Arial" w:cs="Arial" w:eastAsia="Arial" w:hAnsi="Arial"/>
                <w:sz w:val="14"/>
                <w:szCs w:val="14"/>
                <w:b w:val="1"/>
                <w:bCs w:val="1"/>
                <w:color w:val="05445E"/>
              </w:rPr>
              <w:t>2024</w:t>
            </w:r>
          </w:p>
        </w:tc>
        <w:tc>
          <w:tcPr>
            <w:tcW w:w="100" w:type="dxa"/>
            <w:vAlign w:val="bottom"/>
            <w:tcBorders>
              <w:bottom w:val="single" w:sz="8" w:color="DBDBDB"/>
            </w:tcBorders>
          </w:tcPr>
          <w:p>
            <w:pPr>
              <w:spacing w:after="0"/>
              <w:rPr>
                <w:sz w:val="17"/>
                <w:szCs w:val="17"/>
                <w:color w:val="auto"/>
              </w:rPr>
            </w:pPr>
          </w:p>
        </w:tc>
        <w:tc>
          <w:tcPr>
            <w:tcW w:w="2600" w:type="dxa"/>
            <w:vAlign w:val="bottom"/>
            <w:tcBorders>
              <w:bottom w:val="single" w:sz="8" w:color="05445E"/>
            </w:tcBorders>
          </w:tcPr>
          <w:p>
            <w:pPr>
              <w:jc w:val="center"/>
              <w:spacing w:after="0"/>
              <w:rPr>
                <w:sz w:val="20"/>
                <w:szCs w:val="20"/>
                <w:color w:val="auto"/>
              </w:rPr>
            </w:pPr>
            <w:r>
              <w:rPr>
                <w:rFonts w:ascii="Arial" w:cs="Arial" w:eastAsia="Arial" w:hAnsi="Arial"/>
                <w:sz w:val="14"/>
                <w:szCs w:val="14"/>
                <w:b w:val="1"/>
                <w:bCs w:val="1"/>
                <w:color w:val="05445E"/>
              </w:rPr>
              <w:t>2023</w:t>
            </w:r>
          </w:p>
        </w:tc>
        <w:tc>
          <w:tcPr>
            <w:tcW w:w="80" w:type="dxa"/>
            <w:vAlign w:val="bottom"/>
            <w:tcBorders>
              <w:bottom w:val="single" w:sz="8" w:color="DBDBDB"/>
            </w:tcBorders>
          </w:tcPr>
          <w:p>
            <w:pPr>
              <w:spacing w:after="0"/>
              <w:rPr>
                <w:sz w:val="17"/>
                <w:szCs w:val="17"/>
                <w:color w:val="auto"/>
              </w:rPr>
            </w:pPr>
          </w:p>
        </w:tc>
        <w:tc>
          <w:tcPr>
            <w:tcW w:w="2600" w:type="dxa"/>
            <w:vAlign w:val="bottom"/>
            <w:tcBorders>
              <w:bottom w:val="single" w:sz="8" w:color="05445E"/>
            </w:tcBorders>
          </w:tcPr>
          <w:p>
            <w:pPr>
              <w:jc w:val="center"/>
              <w:spacing w:after="0"/>
              <w:rPr>
                <w:sz w:val="20"/>
                <w:szCs w:val="20"/>
                <w:color w:val="auto"/>
              </w:rPr>
            </w:pPr>
            <w:r>
              <w:rPr>
                <w:rFonts w:ascii="Arial" w:cs="Arial" w:eastAsia="Arial" w:hAnsi="Arial"/>
                <w:sz w:val="14"/>
                <w:szCs w:val="14"/>
                <w:b w:val="1"/>
                <w:bCs w:val="1"/>
                <w:color w:val="05445E"/>
              </w:rPr>
              <w:t>2022</w:t>
            </w:r>
          </w:p>
        </w:tc>
      </w:tr>
      <w:tr>
        <w:trPr>
          <w:trHeight w:val="210"/>
        </w:trPr>
        <w:tc>
          <w:tcPr>
            <w:tcW w:w="2660" w:type="dxa"/>
            <w:vAlign w:val="bottom"/>
            <w:tcBorders>
              <w:bottom w:val="single" w:sz="8" w:color="DBDBDB"/>
            </w:tcBorders>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Matthew J. Osberg</w:t>
            </w:r>
          </w:p>
        </w:tc>
        <w:tc>
          <w:tcPr>
            <w:tcW w:w="2680" w:type="dxa"/>
            <w:vAlign w:val="bottom"/>
            <w:tcBorders>
              <w:bottom w:val="single" w:sz="8" w:color="DBDBDB"/>
            </w:tcBorders>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Matthew J. Osberg</w:t>
            </w:r>
          </w:p>
        </w:tc>
        <w:tc>
          <w:tcPr>
            <w:tcW w:w="2680" w:type="dxa"/>
            <w:vAlign w:val="bottom"/>
            <w:tcBorders>
              <w:bottom w:val="single" w:sz="8" w:color="DBDBDB"/>
            </w:tcBorders>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Mark R. Augdahl</w:t>
            </w:r>
          </w:p>
        </w:tc>
        <w:tc>
          <w:tcPr>
            <w:tcW w:w="26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Nisheet Gupta</w:t>
            </w:r>
          </w:p>
        </w:tc>
      </w:tr>
      <w:tr>
        <w:trPr>
          <w:trHeight w:val="208"/>
        </w:trPr>
        <w:tc>
          <w:tcPr>
            <w:tcW w:w="2660" w:type="dxa"/>
            <w:vAlign w:val="bottom"/>
            <w:gridSpan w:val="2"/>
          </w:tcPr>
          <w:p>
            <w:pPr>
              <w:jc w:val="center"/>
              <w:ind w:right="80"/>
              <w:spacing w:after="0"/>
              <w:rPr>
                <w:sz w:val="20"/>
                <w:szCs w:val="20"/>
                <w:color w:val="auto"/>
              </w:rPr>
            </w:pPr>
            <w:r>
              <w:rPr>
                <w:rFonts w:ascii="Arial" w:cs="Arial" w:eastAsia="Arial" w:hAnsi="Arial"/>
                <w:sz w:val="14"/>
                <w:szCs w:val="14"/>
                <w:color w:val="auto"/>
              </w:rPr>
              <w:t>Brent C. Jewell</w:t>
            </w:r>
          </w:p>
        </w:tc>
        <w:tc>
          <w:tcPr>
            <w:tcW w:w="2680" w:type="dxa"/>
            <w:vAlign w:val="bottom"/>
            <w:gridSpan w:val="2"/>
          </w:tcPr>
          <w:p>
            <w:pPr>
              <w:jc w:val="center"/>
              <w:ind w:right="100"/>
              <w:spacing w:after="0"/>
              <w:rPr>
                <w:sz w:val="20"/>
                <w:szCs w:val="20"/>
                <w:color w:val="auto"/>
              </w:rPr>
            </w:pPr>
            <w:r>
              <w:rPr>
                <w:rFonts w:ascii="Arial" w:cs="Arial" w:eastAsia="Arial" w:hAnsi="Arial"/>
                <w:sz w:val="14"/>
                <w:szCs w:val="14"/>
                <w:color w:val="auto"/>
              </w:rPr>
              <w:t>Nicholas C. Longman</w:t>
            </w:r>
          </w:p>
        </w:tc>
        <w:tc>
          <w:tcPr>
            <w:tcW w:w="2680" w:type="dxa"/>
            <w:vAlign w:val="bottom"/>
            <w:gridSpan w:val="2"/>
          </w:tcPr>
          <w:p>
            <w:pPr>
              <w:jc w:val="center"/>
              <w:ind w:right="80"/>
              <w:spacing w:after="0"/>
              <w:rPr>
                <w:sz w:val="20"/>
                <w:szCs w:val="20"/>
                <w:color w:val="auto"/>
              </w:rPr>
            </w:pPr>
            <w:r>
              <w:rPr>
                <w:rFonts w:ascii="Arial" w:cs="Arial" w:eastAsia="Arial" w:hAnsi="Arial"/>
                <w:sz w:val="14"/>
                <w:szCs w:val="14"/>
                <w:color w:val="auto"/>
              </w:rPr>
              <w:t>Curtis J. Dobler</w:t>
            </w:r>
          </w:p>
        </w:tc>
        <w:tc>
          <w:tcPr>
            <w:tcW w:w="2600" w:type="dxa"/>
            <w:vAlign w:val="bottom"/>
          </w:tcPr>
          <w:p>
            <w:pPr>
              <w:jc w:val="center"/>
              <w:spacing w:after="0"/>
              <w:rPr>
                <w:sz w:val="20"/>
                <w:szCs w:val="20"/>
                <w:color w:val="auto"/>
              </w:rPr>
            </w:pPr>
            <w:r>
              <w:rPr>
                <w:rFonts w:ascii="Arial" w:cs="Arial" w:eastAsia="Arial" w:hAnsi="Arial"/>
                <w:sz w:val="14"/>
                <w:szCs w:val="14"/>
                <w:color w:val="auto"/>
              </w:rPr>
              <w:t>Curtis J. Dobler</w:t>
            </w:r>
          </w:p>
        </w:tc>
      </w:tr>
      <w:tr>
        <w:trPr>
          <w:trHeight w:val="22"/>
        </w:trPr>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10"/>
        </w:trPr>
        <w:tc>
          <w:tcPr>
            <w:tcW w:w="2660" w:type="dxa"/>
            <w:vAlign w:val="bottom"/>
            <w:tcBorders>
              <w:bottom w:val="single" w:sz="8" w:color="DBDBDB"/>
            </w:tcBorders>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Troy R. Johnson</w:t>
            </w:r>
          </w:p>
        </w:tc>
        <w:tc>
          <w:tcPr>
            <w:tcW w:w="2680" w:type="dxa"/>
            <w:vAlign w:val="bottom"/>
            <w:tcBorders>
              <w:bottom w:val="single" w:sz="8" w:color="DBDBDB"/>
            </w:tcBorders>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Curtis J. Dobler</w:t>
            </w:r>
          </w:p>
        </w:tc>
        <w:tc>
          <w:tcPr>
            <w:tcW w:w="2680" w:type="dxa"/>
            <w:vAlign w:val="bottom"/>
            <w:tcBorders>
              <w:bottom w:val="single" w:sz="8" w:color="DBDBDB"/>
            </w:tcBorders>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Brent C. Jewell</w:t>
            </w:r>
          </w:p>
        </w:tc>
        <w:tc>
          <w:tcPr>
            <w:tcW w:w="26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Brent C. Jewell</w:t>
            </w:r>
          </w:p>
        </w:tc>
      </w:tr>
      <w:tr>
        <w:trPr>
          <w:trHeight w:val="208"/>
        </w:trPr>
        <w:tc>
          <w:tcPr>
            <w:tcW w:w="2660" w:type="dxa"/>
            <w:vAlign w:val="bottom"/>
            <w:gridSpan w:val="2"/>
          </w:tcPr>
          <w:p>
            <w:pPr>
              <w:jc w:val="center"/>
              <w:ind w:right="80"/>
              <w:spacing w:after="0"/>
              <w:rPr>
                <w:sz w:val="20"/>
                <w:szCs w:val="20"/>
                <w:color w:val="auto"/>
              </w:rPr>
            </w:pPr>
            <w:r>
              <w:rPr>
                <w:rFonts w:ascii="Arial" w:cs="Arial" w:eastAsia="Arial" w:hAnsi="Arial"/>
                <w:sz w:val="14"/>
                <w:szCs w:val="14"/>
                <w:color w:val="auto"/>
              </w:rPr>
              <w:t>Raelyn A. Trende</w:t>
            </w:r>
          </w:p>
        </w:tc>
        <w:tc>
          <w:tcPr>
            <w:tcW w:w="2680" w:type="dxa"/>
            <w:vAlign w:val="bottom"/>
            <w:gridSpan w:val="2"/>
          </w:tcPr>
          <w:p>
            <w:pPr>
              <w:jc w:val="center"/>
              <w:ind w:right="80"/>
              <w:spacing w:after="0"/>
              <w:rPr>
                <w:sz w:val="20"/>
                <w:szCs w:val="20"/>
                <w:color w:val="auto"/>
              </w:rPr>
            </w:pPr>
            <w:r>
              <w:rPr>
                <w:rFonts w:ascii="Arial" w:cs="Arial" w:eastAsia="Arial" w:hAnsi="Arial"/>
                <w:sz w:val="14"/>
                <w:szCs w:val="14"/>
                <w:color w:val="auto"/>
              </w:rPr>
              <w:t>Brent C. Jewell</w:t>
            </w:r>
          </w:p>
        </w:tc>
        <w:tc>
          <w:tcPr>
            <w:tcW w:w="2680" w:type="dxa"/>
            <w:vAlign w:val="bottom"/>
            <w:gridSpan w:val="2"/>
          </w:tcPr>
          <w:p>
            <w:pPr>
              <w:jc w:val="center"/>
              <w:ind w:right="100"/>
              <w:spacing w:after="0"/>
              <w:rPr>
                <w:sz w:val="20"/>
                <w:szCs w:val="20"/>
                <w:color w:val="auto"/>
              </w:rPr>
            </w:pPr>
            <w:r>
              <w:rPr>
                <w:rFonts w:ascii="Arial" w:cs="Arial" w:eastAsia="Arial" w:hAnsi="Arial"/>
                <w:sz w:val="14"/>
                <w:szCs w:val="14"/>
                <w:color w:val="auto"/>
              </w:rPr>
              <w:t>Nicholas C. Longman</w:t>
            </w:r>
          </w:p>
        </w:tc>
        <w:tc>
          <w:tcPr>
            <w:tcW w:w="2600" w:type="dxa"/>
            <w:vAlign w:val="bottom"/>
          </w:tcPr>
          <w:p>
            <w:pPr>
              <w:jc w:val="center"/>
              <w:spacing w:after="0"/>
              <w:rPr>
                <w:sz w:val="20"/>
                <w:szCs w:val="20"/>
                <w:color w:val="auto"/>
              </w:rPr>
            </w:pPr>
            <w:r>
              <w:rPr>
                <w:rFonts w:ascii="Arial" w:cs="Arial" w:eastAsia="Arial" w:hAnsi="Arial"/>
                <w:sz w:val="14"/>
                <w:szCs w:val="14"/>
                <w:color w:val="auto"/>
              </w:rPr>
              <w:t>Troy R. Johnson</w:t>
            </w:r>
          </w:p>
        </w:tc>
      </w:tr>
      <w:tr>
        <w:trPr>
          <w:trHeight w:val="22"/>
        </w:trPr>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08"/>
        </w:trPr>
        <w:tc>
          <w:tcPr>
            <w:tcW w:w="25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8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Mark R. Augdahl</w:t>
            </w:r>
          </w:p>
        </w:tc>
        <w:tc>
          <w:tcPr>
            <w:tcW w:w="2680" w:type="dxa"/>
            <w:vAlign w:val="bottom"/>
            <w:gridSpan w:val="2"/>
            <w:shd w:val="clear" w:color="auto" w:fill="DBDBDB"/>
          </w:tcPr>
          <w:p>
            <w:pPr>
              <w:jc w:val="center"/>
              <w:ind w:right="80"/>
              <w:spacing w:after="0"/>
              <w:rPr>
                <w:sz w:val="20"/>
                <w:szCs w:val="20"/>
                <w:color w:val="auto"/>
              </w:rPr>
            </w:pPr>
            <w:r>
              <w:rPr>
                <w:rFonts w:ascii="Arial" w:cs="Arial" w:eastAsia="Arial" w:hAnsi="Arial"/>
                <w:sz w:val="14"/>
                <w:szCs w:val="14"/>
                <w:color w:val="auto"/>
              </w:rPr>
              <w:t>Nisheet Gupta</w:t>
            </w:r>
          </w:p>
        </w:tc>
        <w:tc>
          <w:tcPr>
            <w:tcW w:w="2600" w:type="dxa"/>
            <w:vAlign w:val="bottom"/>
            <w:shd w:val="clear" w:color="auto" w:fill="DBDBDB"/>
          </w:tcPr>
          <w:p>
            <w:pPr>
              <w:spacing w:after="0"/>
              <w:rPr>
                <w:sz w:val="18"/>
                <w:szCs w:val="18"/>
                <w:color w:val="auto"/>
              </w:rPr>
            </w:pPr>
          </w:p>
        </w:tc>
      </w:tr>
      <w:tr>
        <w:trPr>
          <w:trHeight w:val="22"/>
        </w:trPr>
        <w:tc>
          <w:tcPr>
            <w:tcW w:w="258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58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260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600" w:type="dxa"/>
            <w:vAlign w:val="bottom"/>
            <w:shd w:val="clear" w:color="auto" w:fill="DBDBDB"/>
          </w:tcPr>
          <w:p>
            <w:pPr>
              <w:spacing w:after="0" w:line="20" w:lineRule="exact"/>
              <w:rPr>
                <w:sz w:val="1"/>
                <w:szCs w:val="1"/>
                <w:color w:val="auto"/>
              </w:rPr>
            </w:pPr>
          </w:p>
        </w:tc>
      </w:tr>
    </w:tbl>
    <w:p>
      <w:pPr>
        <w:spacing w:after="0" w:line="185" w:lineRule="exact"/>
        <w:rPr>
          <w:sz w:val="20"/>
          <w:szCs w:val="20"/>
          <w:color w:val="auto"/>
        </w:rPr>
      </w:pPr>
    </w:p>
    <w:p>
      <w:pPr>
        <w:ind w:left="500" w:right="400" w:hanging="492"/>
        <w:spacing w:after="0" w:line="264" w:lineRule="auto"/>
        <w:tabs>
          <w:tab w:leader="none" w:pos="492" w:val="left"/>
        </w:tabs>
        <w:numPr>
          <w:ilvl w:val="0"/>
          <w:numId w:val="63"/>
        </w:numPr>
        <w:rPr>
          <w:rFonts w:ascii="Arial" w:cs="Arial" w:eastAsia="Arial" w:hAnsi="Arial"/>
          <w:sz w:val="13"/>
          <w:szCs w:val="13"/>
          <w:color w:val="auto"/>
        </w:rPr>
      </w:pPr>
      <w:r>
        <w:rPr>
          <w:rFonts w:ascii="Arial" w:cs="Arial" w:eastAsia="Arial" w:hAnsi="Arial"/>
          <w:sz w:val="13"/>
          <w:szCs w:val="13"/>
          <w:color w:val="auto"/>
        </w:rPr>
        <w:t xml:space="preserve">The table below sets forth the amounts deducted from and added to the "Summary Compensation Table" beginning on page </w:t>
      </w:r>
      <w:r>
        <w:rPr>
          <w:rFonts w:ascii="Arial" w:cs="Arial" w:eastAsia="Arial" w:hAnsi="Arial"/>
          <w:sz w:val="13"/>
          <w:szCs w:val="13"/>
          <w:u w:val="single" w:color="auto"/>
          <w:color w:val="0000FF"/>
        </w:rPr>
        <w:t>53</w:t>
      </w:r>
      <w:r>
        <w:rPr>
          <w:rFonts w:ascii="Arial" w:cs="Arial" w:eastAsia="Arial" w:hAnsi="Arial"/>
          <w:sz w:val="13"/>
          <w:szCs w:val="13"/>
          <w:color w:val="auto"/>
        </w:rPr>
        <w:t xml:space="preserve"> total compensation to calculate CAP to Mr. Silberhorn and average CAP to the Non-PEOs for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49"/>
        </w:trPr>
        <w:tc>
          <w:tcPr>
            <w:tcW w:w="7180" w:type="dxa"/>
            <w:vAlign w:val="bottom"/>
          </w:tcPr>
          <w:p>
            <w:pPr>
              <w:spacing w:after="0"/>
              <w:rPr>
                <w:sz w:val="13"/>
                <w:szCs w:val="13"/>
                <w:color w:val="auto"/>
              </w:rPr>
            </w:pPr>
          </w:p>
        </w:tc>
        <w:tc>
          <w:tcPr>
            <w:tcW w:w="2000" w:type="dxa"/>
            <w:vAlign w:val="bottom"/>
            <w:gridSpan w:val="2"/>
          </w:tcPr>
          <w:p>
            <w:pPr>
              <w:ind w:left="580"/>
              <w:spacing w:after="0"/>
              <w:rPr>
                <w:sz w:val="20"/>
                <w:szCs w:val="20"/>
                <w:color w:val="auto"/>
              </w:rPr>
            </w:pPr>
            <w:r>
              <w:rPr>
                <w:rFonts w:ascii="Arial" w:cs="Arial" w:eastAsia="Arial" w:hAnsi="Arial"/>
                <w:sz w:val="13"/>
                <w:szCs w:val="13"/>
                <w:b w:val="1"/>
                <w:bCs w:val="1"/>
                <w:color w:val="05445E"/>
              </w:rPr>
              <w:t>Current PEO</w:t>
            </w:r>
          </w:p>
        </w:tc>
        <w:tc>
          <w:tcPr>
            <w:tcW w:w="2060" w:type="dxa"/>
            <w:vAlign w:val="bottom"/>
          </w:tcPr>
          <w:p>
            <w:pPr>
              <w:ind w:left="220"/>
              <w:spacing w:after="0"/>
              <w:rPr>
                <w:sz w:val="20"/>
                <w:szCs w:val="20"/>
                <w:color w:val="auto"/>
              </w:rPr>
            </w:pPr>
            <w:r>
              <w:rPr>
                <w:rFonts w:ascii="Arial" w:cs="Arial" w:eastAsia="Arial" w:hAnsi="Arial"/>
                <w:sz w:val="13"/>
                <w:szCs w:val="13"/>
                <w:b w:val="1"/>
                <w:bCs w:val="1"/>
                <w:color w:val="05445E"/>
              </w:rPr>
              <w:t>Average of Non-PEO NEOs</w:t>
            </w:r>
          </w:p>
        </w:tc>
      </w:tr>
      <w:tr>
        <w:trPr>
          <w:trHeight w:val="172"/>
        </w:trPr>
        <w:tc>
          <w:tcPr>
            <w:tcW w:w="7180" w:type="dxa"/>
            <w:vAlign w:val="bottom"/>
          </w:tcPr>
          <w:p>
            <w:pPr>
              <w:ind w:left="20"/>
              <w:spacing w:after="0"/>
              <w:rPr>
                <w:sz w:val="20"/>
                <w:szCs w:val="20"/>
                <w:color w:val="auto"/>
              </w:rPr>
            </w:pPr>
            <w:r>
              <w:rPr>
                <w:rFonts w:ascii="Arial" w:cs="Arial" w:eastAsia="Arial" w:hAnsi="Arial"/>
                <w:sz w:val="13"/>
                <w:szCs w:val="13"/>
                <w:b w:val="1"/>
                <w:bCs w:val="1"/>
                <w:color w:val="auto"/>
              </w:rPr>
              <w:t>Adjustments</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05445E"/>
              </w:rPr>
              <w:t>($)</w:t>
            </w:r>
          </w:p>
        </w:tc>
        <w:tc>
          <w:tcPr>
            <w:tcW w:w="1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3"/>
                <w:szCs w:val="13"/>
                <w:b w:val="1"/>
                <w:bCs w:val="1"/>
                <w:color w:val="05445E"/>
                <w:w w:val="87"/>
              </w:rPr>
              <w:t>($)</w:t>
            </w:r>
          </w:p>
        </w:tc>
      </w:tr>
      <w:tr>
        <w:trPr>
          <w:trHeight w:val="22"/>
        </w:trPr>
        <w:tc>
          <w:tcPr>
            <w:tcW w:w="7180" w:type="dxa"/>
            <w:vAlign w:val="bottom"/>
            <w:tcBorders>
              <w:bottom w:val="single" w:sz="8" w:color="DBDBDB"/>
            </w:tcBorders>
          </w:tcPr>
          <w:p>
            <w:pPr>
              <w:spacing w:after="0" w:line="20" w:lineRule="exact"/>
              <w:rPr>
                <w:sz w:val="1"/>
                <w:szCs w:val="1"/>
                <w:color w:val="auto"/>
              </w:rPr>
            </w:pPr>
          </w:p>
        </w:tc>
        <w:tc>
          <w:tcPr>
            <w:tcW w:w="1900" w:type="dxa"/>
            <w:vAlign w:val="bottom"/>
            <w:tcBorders>
              <w:bottom w:val="single" w:sz="8" w:color="05445E"/>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60" w:type="dxa"/>
            <w:vAlign w:val="bottom"/>
            <w:tcBorders>
              <w:bottom w:val="single" w:sz="8" w:color="05445E"/>
            </w:tcBorders>
          </w:tcPr>
          <w:p>
            <w:pPr>
              <w:spacing w:after="0" w:line="20" w:lineRule="exact"/>
              <w:rPr>
                <w:sz w:val="1"/>
                <w:szCs w:val="1"/>
                <w:color w:val="auto"/>
              </w:rPr>
            </w:pPr>
          </w:p>
        </w:tc>
      </w:tr>
      <w:tr>
        <w:trPr>
          <w:trHeight w:val="176"/>
        </w:trPr>
        <w:tc>
          <w:tcPr>
            <w:tcW w:w="7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Total Compensation from Summary Compensation Table</w:t>
            </w:r>
          </w:p>
        </w:tc>
        <w:tc>
          <w:tcPr>
            <w:tcW w:w="19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96"/>
              </w:rPr>
              <w:t>5,255,526</w:t>
            </w:r>
          </w:p>
        </w:tc>
        <w:tc>
          <w:tcPr>
            <w:tcW w:w="100" w:type="dxa"/>
            <w:vAlign w:val="bottom"/>
            <w:tcBorders>
              <w:bottom w:val="single" w:sz="8" w:color="DBDBDB"/>
            </w:tcBorders>
            <w:shd w:val="clear" w:color="auto" w:fill="DBDBDB"/>
          </w:tcPr>
          <w:p>
            <w:pPr>
              <w:spacing w:after="0"/>
              <w:rPr>
                <w:sz w:val="15"/>
                <w:szCs w:val="15"/>
                <w:color w:val="auto"/>
              </w:rPr>
            </w:pPr>
          </w:p>
        </w:tc>
        <w:tc>
          <w:tcPr>
            <w:tcW w:w="20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96"/>
              </w:rPr>
              <w:t>1,554,489</w:t>
            </w:r>
          </w:p>
        </w:tc>
      </w:tr>
      <w:tr>
        <w:trPr>
          <w:trHeight w:val="181"/>
        </w:trPr>
        <w:tc>
          <w:tcPr>
            <w:tcW w:w="7180" w:type="dxa"/>
            <w:vAlign w:val="bottom"/>
          </w:tcPr>
          <w:p>
            <w:pPr>
              <w:ind w:left="20"/>
              <w:spacing w:after="0"/>
              <w:rPr>
                <w:sz w:val="20"/>
                <w:szCs w:val="20"/>
                <w:color w:val="auto"/>
              </w:rPr>
            </w:pPr>
            <w:r>
              <w:rPr>
                <w:rFonts w:ascii="Arial" w:cs="Arial" w:eastAsia="Arial" w:hAnsi="Arial"/>
                <w:sz w:val="13"/>
                <w:szCs w:val="13"/>
                <w:b w:val="1"/>
                <w:bCs w:val="1"/>
                <w:color w:val="auto"/>
              </w:rPr>
              <w:t>Adjustments for Equity Awards</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2"/>
        </w:trPr>
        <w:tc>
          <w:tcPr>
            <w:tcW w:w="7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83"/>
        </w:trPr>
        <w:tc>
          <w:tcPr>
            <w:tcW w:w="7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Subtract grant date values in Summary Compensation Table</w:t>
            </w:r>
          </w:p>
        </w:tc>
        <w:tc>
          <w:tcPr>
            <w:tcW w:w="19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96"/>
              </w:rPr>
              <w:t>(2,120,267)</w:t>
            </w:r>
          </w:p>
        </w:tc>
        <w:tc>
          <w:tcPr>
            <w:tcW w:w="100" w:type="dxa"/>
            <w:vAlign w:val="bottom"/>
            <w:tcBorders>
              <w:bottom w:val="single" w:sz="8" w:color="DBDBDB"/>
            </w:tcBorders>
            <w:shd w:val="clear" w:color="auto" w:fill="DBDBDB"/>
          </w:tcPr>
          <w:p>
            <w:pPr>
              <w:spacing w:after="0"/>
              <w:rPr>
                <w:sz w:val="15"/>
                <w:szCs w:val="15"/>
                <w:color w:val="auto"/>
              </w:rPr>
            </w:pPr>
          </w:p>
        </w:tc>
        <w:tc>
          <w:tcPr>
            <w:tcW w:w="20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96"/>
              </w:rPr>
              <w:t>(575,305)</w:t>
            </w:r>
          </w:p>
        </w:tc>
      </w:tr>
      <w:tr>
        <w:trPr>
          <w:trHeight w:val="175"/>
        </w:trPr>
        <w:tc>
          <w:tcPr>
            <w:tcW w:w="7180" w:type="dxa"/>
            <w:vAlign w:val="bottom"/>
          </w:tcPr>
          <w:p>
            <w:pPr>
              <w:ind w:left="20"/>
              <w:spacing w:after="0"/>
              <w:rPr>
                <w:sz w:val="20"/>
                <w:szCs w:val="20"/>
                <w:color w:val="auto"/>
              </w:rPr>
            </w:pPr>
            <w:r>
              <w:rPr>
                <w:rFonts w:ascii="Arial" w:cs="Arial" w:eastAsia="Arial" w:hAnsi="Arial"/>
                <w:sz w:val="13"/>
                <w:szCs w:val="13"/>
                <w:color w:val="auto"/>
              </w:rPr>
              <w:t>Add year-end fair value of unvested awards granted in current year</w:t>
            </w:r>
          </w:p>
        </w:tc>
        <w:tc>
          <w:tcPr>
            <w:tcW w:w="1900" w:type="dxa"/>
            <w:vAlign w:val="bottom"/>
          </w:tcPr>
          <w:p>
            <w:pPr>
              <w:jc w:val="center"/>
              <w:spacing w:after="0"/>
              <w:rPr>
                <w:sz w:val="20"/>
                <w:szCs w:val="20"/>
                <w:color w:val="auto"/>
              </w:rPr>
            </w:pPr>
            <w:r>
              <w:rPr>
                <w:rFonts w:ascii="Arial" w:cs="Arial" w:eastAsia="Arial" w:hAnsi="Arial"/>
                <w:sz w:val="13"/>
                <w:szCs w:val="13"/>
                <w:color w:val="auto"/>
                <w:w w:val="96"/>
              </w:rPr>
              <w:t>1,625,550</w:t>
            </w:r>
          </w:p>
        </w:tc>
        <w:tc>
          <w:tcPr>
            <w:tcW w:w="1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3"/>
                <w:szCs w:val="13"/>
                <w:color w:val="auto"/>
                <w:w w:val="97"/>
              </w:rPr>
              <w:t>448,119</w:t>
            </w:r>
          </w:p>
        </w:tc>
      </w:tr>
      <w:tr>
        <w:trPr>
          <w:trHeight w:val="28"/>
        </w:trPr>
        <w:tc>
          <w:tcPr>
            <w:tcW w:w="7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183"/>
        </w:trPr>
        <w:tc>
          <w:tcPr>
            <w:tcW w:w="7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Add year-over-year difference of year-end fair values for unvested awards granted in prior years</w:t>
            </w:r>
          </w:p>
        </w:tc>
        <w:tc>
          <w:tcPr>
            <w:tcW w:w="19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96"/>
              </w:rPr>
              <w:t>(1,008,678)</w:t>
            </w:r>
          </w:p>
        </w:tc>
        <w:tc>
          <w:tcPr>
            <w:tcW w:w="100" w:type="dxa"/>
            <w:vAlign w:val="bottom"/>
            <w:tcBorders>
              <w:bottom w:val="single" w:sz="8" w:color="DBDBDB"/>
            </w:tcBorders>
            <w:shd w:val="clear" w:color="auto" w:fill="DBDBDB"/>
          </w:tcPr>
          <w:p>
            <w:pPr>
              <w:spacing w:after="0"/>
              <w:rPr>
                <w:sz w:val="15"/>
                <w:szCs w:val="15"/>
                <w:color w:val="auto"/>
              </w:rPr>
            </w:pPr>
          </w:p>
        </w:tc>
        <w:tc>
          <w:tcPr>
            <w:tcW w:w="20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96"/>
              </w:rPr>
              <w:t>(130,556)</w:t>
            </w:r>
          </w:p>
        </w:tc>
      </w:tr>
      <w:tr>
        <w:trPr>
          <w:trHeight w:val="175"/>
        </w:trPr>
        <w:tc>
          <w:tcPr>
            <w:tcW w:w="7180" w:type="dxa"/>
            <w:vAlign w:val="bottom"/>
          </w:tcPr>
          <w:p>
            <w:pPr>
              <w:ind w:left="20"/>
              <w:spacing w:after="0"/>
              <w:rPr>
                <w:sz w:val="20"/>
                <w:szCs w:val="20"/>
                <w:color w:val="auto"/>
              </w:rPr>
            </w:pPr>
            <w:r>
              <w:rPr>
                <w:rFonts w:ascii="Arial" w:cs="Arial" w:eastAsia="Arial" w:hAnsi="Arial"/>
                <w:sz w:val="13"/>
                <w:szCs w:val="13"/>
                <w:color w:val="auto"/>
              </w:rPr>
              <w:t>Add fair values at vest date for awards granted and vested in current years</w:t>
            </w:r>
          </w:p>
        </w:tc>
        <w:tc>
          <w:tcPr>
            <w:tcW w:w="200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28"/>
        </w:trPr>
        <w:tc>
          <w:tcPr>
            <w:tcW w:w="7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183"/>
        </w:trPr>
        <w:tc>
          <w:tcPr>
            <w:tcW w:w="7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Add (subtract) difference between prior year-end fair values and vest date fair values for awards granted in prior years</w:t>
            </w:r>
          </w:p>
        </w:tc>
        <w:tc>
          <w:tcPr>
            <w:tcW w:w="19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97"/>
              </w:rPr>
              <w:t>128,344</w:t>
            </w:r>
          </w:p>
        </w:tc>
        <w:tc>
          <w:tcPr>
            <w:tcW w:w="100" w:type="dxa"/>
            <w:vAlign w:val="bottom"/>
            <w:tcBorders>
              <w:bottom w:val="single" w:sz="8" w:color="DBDBDB"/>
            </w:tcBorders>
            <w:shd w:val="clear" w:color="auto" w:fill="DBDBDB"/>
          </w:tcPr>
          <w:p>
            <w:pPr>
              <w:spacing w:after="0"/>
              <w:rPr>
                <w:sz w:val="15"/>
                <w:szCs w:val="15"/>
                <w:color w:val="auto"/>
              </w:rPr>
            </w:pPr>
          </w:p>
        </w:tc>
        <w:tc>
          <w:tcPr>
            <w:tcW w:w="20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95"/>
              </w:rPr>
              <w:t>33,057</w:t>
            </w:r>
          </w:p>
        </w:tc>
      </w:tr>
      <w:tr>
        <w:trPr>
          <w:trHeight w:val="175"/>
        </w:trPr>
        <w:tc>
          <w:tcPr>
            <w:tcW w:w="7180" w:type="dxa"/>
            <w:vAlign w:val="bottom"/>
          </w:tcPr>
          <w:p>
            <w:pPr>
              <w:ind w:left="20"/>
              <w:spacing w:after="0"/>
              <w:rPr>
                <w:sz w:val="20"/>
                <w:szCs w:val="20"/>
                <w:color w:val="auto"/>
              </w:rPr>
            </w:pPr>
            <w:r>
              <w:rPr>
                <w:rFonts w:ascii="Arial" w:cs="Arial" w:eastAsia="Arial" w:hAnsi="Arial"/>
                <w:sz w:val="13"/>
                <w:szCs w:val="13"/>
                <w:color w:val="auto"/>
              </w:rPr>
              <w:t>Subtract forfeitures during current year equal to prior year-end fair value</w:t>
            </w:r>
          </w:p>
        </w:tc>
        <w:tc>
          <w:tcPr>
            <w:tcW w:w="2000" w:type="dxa"/>
            <w:vAlign w:val="bottom"/>
            <w:gridSpan w:val="2"/>
          </w:tcPr>
          <w:p>
            <w:pPr>
              <w:jc w:val="center"/>
              <w:ind w:right="80"/>
              <w:spacing w:after="0"/>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28"/>
        </w:trPr>
        <w:tc>
          <w:tcPr>
            <w:tcW w:w="7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183"/>
        </w:trPr>
        <w:tc>
          <w:tcPr>
            <w:tcW w:w="7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Add dividends or dividend equivalents not otherwise included in total compensation</w:t>
            </w:r>
          </w:p>
        </w:tc>
        <w:tc>
          <w:tcPr>
            <w:tcW w:w="19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95"/>
              </w:rPr>
              <w:t>75,322</w:t>
            </w:r>
          </w:p>
        </w:tc>
        <w:tc>
          <w:tcPr>
            <w:tcW w:w="100" w:type="dxa"/>
            <w:vAlign w:val="bottom"/>
            <w:tcBorders>
              <w:bottom w:val="single" w:sz="8" w:color="DBDBDB"/>
            </w:tcBorders>
            <w:shd w:val="clear" w:color="auto" w:fill="DBDBDB"/>
          </w:tcPr>
          <w:p>
            <w:pPr>
              <w:spacing w:after="0"/>
              <w:rPr>
                <w:sz w:val="15"/>
                <w:szCs w:val="15"/>
                <w:color w:val="auto"/>
              </w:rPr>
            </w:pPr>
          </w:p>
        </w:tc>
        <w:tc>
          <w:tcPr>
            <w:tcW w:w="20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3"/>
                <w:szCs w:val="13"/>
                <w:color w:val="auto"/>
                <w:w w:val="95"/>
              </w:rPr>
              <w:t>10,611</w:t>
            </w:r>
          </w:p>
        </w:tc>
      </w:tr>
      <w:tr>
        <w:trPr>
          <w:trHeight w:val="181"/>
        </w:trPr>
        <w:tc>
          <w:tcPr>
            <w:tcW w:w="7180" w:type="dxa"/>
            <w:vAlign w:val="bottom"/>
          </w:tcPr>
          <w:p>
            <w:pPr>
              <w:ind w:left="20"/>
              <w:spacing w:after="0"/>
              <w:rPr>
                <w:sz w:val="20"/>
                <w:szCs w:val="20"/>
                <w:color w:val="auto"/>
              </w:rPr>
            </w:pPr>
            <w:r>
              <w:rPr>
                <w:rFonts w:ascii="Arial" w:cs="Arial" w:eastAsia="Arial" w:hAnsi="Arial"/>
                <w:sz w:val="13"/>
                <w:szCs w:val="13"/>
                <w:b w:val="1"/>
                <w:bCs w:val="1"/>
                <w:color w:val="auto"/>
              </w:rPr>
              <w:t>Compensation Actually Paid</w:t>
            </w:r>
          </w:p>
        </w:tc>
        <w:tc>
          <w:tcPr>
            <w:tcW w:w="1900" w:type="dxa"/>
            <w:vAlign w:val="bottom"/>
          </w:tcPr>
          <w:p>
            <w:pPr>
              <w:jc w:val="center"/>
              <w:spacing w:after="0"/>
              <w:rPr>
                <w:sz w:val="20"/>
                <w:szCs w:val="20"/>
                <w:color w:val="auto"/>
              </w:rPr>
            </w:pPr>
            <w:r>
              <w:rPr>
                <w:rFonts w:ascii="Arial" w:cs="Arial" w:eastAsia="Arial" w:hAnsi="Arial"/>
                <w:sz w:val="13"/>
                <w:szCs w:val="13"/>
                <w:color w:val="auto"/>
                <w:w w:val="96"/>
              </w:rPr>
              <w:t>3,955,797</w:t>
            </w:r>
          </w:p>
        </w:tc>
        <w:tc>
          <w:tcPr>
            <w:tcW w:w="1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3"/>
                <w:szCs w:val="13"/>
                <w:color w:val="auto"/>
                <w:w w:val="96"/>
              </w:rPr>
              <w:t>1,340,415</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620395</wp:posOffset>
            </wp:positionV>
            <wp:extent cx="25717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ind w:left="500" w:hanging="492"/>
        <w:spacing w:after="0" w:line="264" w:lineRule="auto"/>
        <w:tabs>
          <w:tab w:leader="none" w:pos="492"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This value is based on the Company’s TSR for the period beginning on the last trading day of the year preceding the earliest year presented in the table and ending on the last trading day of the covered year, which includes the reinvestment of dividends paid on our common stock during the relevant period.</w:t>
      </w:r>
    </w:p>
    <w:p>
      <w:pPr>
        <w:spacing w:after="0" w:line="76" w:lineRule="exact"/>
        <w:rPr>
          <w:rFonts w:ascii="Arial" w:cs="Arial" w:eastAsia="Arial" w:hAnsi="Arial"/>
          <w:sz w:val="13"/>
          <w:szCs w:val="13"/>
          <w:color w:val="auto"/>
        </w:rPr>
      </w:pPr>
    </w:p>
    <w:p>
      <w:pPr>
        <w:jc w:val="both"/>
        <w:ind w:left="500" w:right="20" w:hanging="492"/>
        <w:spacing w:after="0" w:line="254" w:lineRule="auto"/>
        <w:tabs>
          <w:tab w:leader="none" w:pos="492"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peer group used in this Pay Versus Performance table is the S&amp;P 600 Industrials Index, which is the same industry index the Company uses for purposes of the stock performance graph in our 2024 Annual Report on Form 10-K. We believe that the S&amp;P Industrials Index is the best available published industry index, composed of companies with similar market capitalization and a mix of GICS classifications that reasonably reflect our diverse business activities, although most of the direct competitors in our various business units are either privately owned or are divisions of larger, publicly owned companies.</w:t>
      </w:r>
    </w:p>
    <w:p>
      <w:pPr>
        <w:spacing w:after="0" w:line="82" w:lineRule="exact"/>
        <w:rPr>
          <w:rFonts w:ascii="Arial" w:cs="Arial" w:eastAsia="Arial" w:hAnsi="Arial"/>
          <w:sz w:val="13"/>
          <w:szCs w:val="13"/>
          <w:color w:val="auto"/>
        </w:rPr>
      </w:pPr>
    </w:p>
    <w:p>
      <w:pPr>
        <w:ind w:left="500" w:hanging="492"/>
        <w:spacing w:after="0" w:line="264" w:lineRule="auto"/>
        <w:tabs>
          <w:tab w:leader="none" w:pos="492" w:val="left"/>
        </w:tabs>
        <w:numPr>
          <w:ilvl w:val="0"/>
          <w:numId w:val="64"/>
        </w:numPr>
        <w:rPr>
          <w:rFonts w:ascii="Arial" w:cs="Arial" w:eastAsia="Arial" w:hAnsi="Arial"/>
          <w:sz w:val="13"/>
          <w:szCs w:val="13"/>
          <w:color w:val="auto"/>
        </w:rPr>
      </w:pPr>
      <w:r>
        <w:rPr>
          <w:rFonts w:ascii="Arial" w:cs="Arial" w:eastAsia="Arial" w:hAnsi="Arial"/>
          <w:sz w:val="13"/>
          <w:szCs w:val="13"/>
          <w:color w:val="auto"/>
        </w:rPr>
        <w:t>Fiscal 2023 Net Income was incorrectly reported as $87,900,000 in the Pay Versus Performance table of our 2023 Proxy Statement. In this Proxy Statement, Fiscal 2023 Net Income has been updated to match the Company's 2023 Annual Report on Form 10-K.</w:t>
      </w:r>
    </w:p>
    <w:p>
      <w:pPr>
        <w:spacing w:after="0" w:line="76" w:lineRule="exact"/>
        <w:rPr>
          <w:rFonts w:ascii="Arial" w:cs="Arial" w:eastAsia="Arial" w:hAnsi="Arial"/>
          <w:sz w:val="13"/>
          <w:szCs w:val="13"/>
          <w:color w:val="auto"/>
        </w:rPr>
      </w:pPr>
    </w:p>
    <w:p>
      <w:pPr>
        <w:jc w:val="both"/>
        <w:ind w:left="500" w:hanging="492"/>
        <w:spacing w:after="0" w:line="262" w:lineRule="auto"/>
        <w:tabs>
          <w:tab w:leader="none" w:pos="492" w:val="left"/>
        </w:tabs>
        <w:numPr>
          <w:ilvl w:val="0"/>
          <w:numId w:val="64"/>
        </w:numPr>
        <w:rPr>
          <w:rFonts w:ascii="Arial" w:cs="Arial" w:eastAsia="Arial" w:hAnsi="Arial"/>
          <w:sz w:val="13"/>
          <w:szCs w:val="13"/>
          <w:color w:val="auto"/>
        </w:rPr>
      </w:pPr>
      <w:r>
        <w:rPr>
          <w:rFonts w:ascii="Arial" w:cs="Arial" w:eastAsia="Arial" w:hAnsi="Arial"/>
          <w:sz w:val="13"/>
          <w:szCs w:val="13"/>
          <w:color w:val="auto"/>
        </w:rPr>
        <w:t xml:space="preserve">Our company-selected measure, which is the measure we believe represents the most important financial performance not otherwise presented in the table above that we use to link compensation actually paid to our PEO and non-PEO NEOs for fiscal 2024 to our performance is Adjusted EBIT, a non-GAAP financial measure which is further defined on page </w:t>
      </w:r>
      <w:r>
        <w:rPr>
          <w:rFonts w:ascii="Arial" w:cs="Arial" w:eastAsia="Arial" w:hAnsi="Arial"/>
          <w:sz w:val="13"/>
          <w:szCs w:val="13"/>
          <w:u w:val="single" w:color="auto"/>
          <w:color w:val="0000FF"/>
        </w:rPr>
        <w:t>35</w:t>
      </w:r>
      <w:r>
        <w:rPr>
          <w:rFonts w:ascii="Arial" w:cs="Arial" w:eastAsia="Arial" w:hAnsi="Arial"/>
          <w:sz w:val="13"/>
          <w:szCs w:val="13"/>
          <w:color w:val="auto"/>
        </w:rPr>
        <w:t>, and in Appendix A to this Proxy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Important Financial Measures</w:t>
      </w:r>
    </w:p>
    <w:p>
      <w:pPr>
        <w:spacing w:after="0" w:line="16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table below lists the most important financial measures used by the Company to link compensation actually paid to the Company’s PEO and non-PEO NEOs to the Company's performance during fiscal 2025.</w:t>
      </w:r>
    </w:p>
    <w:p>
      <w:pPr>
        <w:spacing w:after="0" w:line="217"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Most Important Measures for Determining NEO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32385</wp:posOffset>
            </wp:positionV>
            <wp:extent cx="3171825" cy="7886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171825" cy="788670"/>
                    </a:xfrm>
                    <a:prstGeom prst="rect">
                      <a:avLst/>
                    </a:prstGeom>
                    <a:noFill/>
                  </pic:spPr>
                </pic:pic>
              </a:graphicData>
            </a:graphic>
          </wp:anchor>
        </w:drawing>
      </w:r>
    </w:p>
    <w:p>
      <w:pPr>
        <w:spacing w:after="0" w:line="62" w:lineRule="exact"/>
        <w:rPr>
          <w:sz w:val="20"/>
          <w:szCs w:val="20"/>
          <w:color w:val="auto"/>
        </w:rPr>
      </w:pPr>
    </w:p>
    <w:p>
      <w:pPr>
        <w:ind w:left="3460"/>
        <w:spacing w:after="0"/>
        <w:rPr>
          <w:sz w:val="20"/>
          <w:szCs w:val="20"/>
          <w:color w:val="auto"/>
        </w:rPr>
      </w:pPr>
      <w:r>
        <w:rPr>
          <w:rFonts w:ascii="Arial" w:cs="Arial" w:eastAsia="Arial" w:hAnsi="Arial"/>
          <w:sz w:val="14"/>
          <w:szCs w:val="14"/>
          <w:color w:val="auto"/>
        </w:rPr>
        <w:t>Adjusted Earnings before Interest and Taxes (either Consolidated or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Operating Segment) (</w:t>
      </w:r>
      <w:r>
        <w:rPr>
          <w:rFonts w:ascii="Arial" w:cs="Arial" w:eastAsia="Arial" w:hAnsi="Arial"/>
          <w:sz w:val="17"/>
          <w:szCs w:val="17"/>
          <w:color w:val="auto"/>
        </w:rPr>
        <w:t>“</w:t>
      </w:r>
      <w:r>
        <w:rPr>
          <w:rFonts w:ascii="Arial" w:cs="Arial" w:eastAsia="Arial" w:hAnsi="Arial"/>
          <w:sz w:val="14"/>
          <w:szCs w:val="14"/>
          <w:color w:val="auto"/>
        </w:rPr>
        <w:t>Adjusted EBIT</w:t>
      </w:r>
      <w:r>
        <w:rPr>
          <w:rFonts w:ascii="Arial" w:cs="Arial" w:eastAsia="Arial" w:hAnsi="Arial"/>
          <w:sz w:val="17"/>
          <w:szCs w:val="17"/>
          <w:color w:val="auto"/>
        </w:rPr>
        <w:t>”</w:t>
      </w:r>
      <w:r>
        <w:rPr>
          <w:rFonts w:ascii="Arial" w:cs="Arial" w:eastAsia="Arial" w:hAnsi="Arial"/>
          <w:sz w:val="14"/>
          <w:szCs w:val="14"/>
          <w:color w:val="auto"/>
        </w:rPr>
        <w:t>)</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Adjusted Diluted EPS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Adjusted Return on Invested Capital (</w:t>
      </w:r>
      <w:r>
        <w:rPr>
          <w:rFonts w:ascii="Arial" w:cs="Arial" w:eastAsia="Arial" w:hAnsi="Arial"/>
          <w:sz w:val="17"/>
          <w:szCs w:val="17"/>
          <w:color w:val="auto"/>
        </w:rPr>
        <w:t>“</w:t>
      </w:r>
      <w:r>
        <w:rPr>
          <w:rFonts w:ascii="Arial" w:cs="Arial" w:eastAsia="Arial" w:hAnsi="Arial"/>
          <w:sz w:val="14"/>
          <w:szCs w:val="14"/>
          <w:color w:val="auto"/>
        </w:rPr>
        <w:t>Adjusted ROIC")</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Net Sales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Relationship Between Pay and Performance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charts below present a graphical comparison of compensation actually paid to our current PEO, prior PEO and the average compensation actually paid to our Non-PEO NEOs set forth in the Pay Versus Performance Table above, as compared against the following performance measures: the Company’s (1) TSR, (2) Net Income, and (3) Adjusted EBIT.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5254625" cy="67119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54625" cy="671195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type w:val="continuous"/>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254625" cy="32575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72390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25"/>
          <w:szCs w:val="25"/>
          <w:b w:val="1"/>
          <w:bCs w:val="1"/>
          <w:color w:val="auto"/>
        </w:rPr>
        <w:t>Proposal 2: Advisory Approval of Apogee’s Executive Compensation</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Pursuant to Section 14A of the Exchange Act, we are providing shareholders with an advisory (non-binding) vote on the compensation of our Named Executive Officers as disclosed in this Proxy Statement in accordance with the rules of the SEC.</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asking our shareholders to indicate their support for the compensation of our Named Executive Officers. We believe that our executive compensation program is structured in the best manner possible to support our Company and its business objectives. It has been designed to implement certain core compensation principles, which include:</w:t>
      </w:r>
    </w:p>
    <w:p>
      <w:pPr>
        <w:spacing w:after="0" w:line="171" w:lineRule="exact"/>
        <w:rPr>
          <w:sz w:val="20"/>
          <w:szCs w:val="20"/>
          <w:color w:val="auto"/>
        </w:rPr>
      </w:pPr>
    </w:p>
    <w:p>
      <w:pPr>
        <w:ind w:left="660" w:hanging="328"/>
        <w:spacing w:after="0" w:line="28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Alignment of management’s interests with our shareholders’ interests to support long-term value creation through our equity compensation programs and share ownership guidelines;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Pay-for-performance, which is demonstrated by linking annual cash incentives and long-term incentives to key financial measures;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Providing a flexible compensation package that reflects the cyclical nature of our business and fairly compensates our executives over our business cycle; and</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Linking compensation to market levels of compensation paid to executive officers in the competitive market so that we can attract, motivate and retain executives who are able to drive the long-term success of Apogee.</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our executive compensation program reflects a strong pay-for-performance philosophy and is well-aligned with our shareholders’ long-term interests. Our executive compensation program is designed to motivate our executives, drive desirable behaviors, be competitive, promote retention and reward successful performance. We ask for your support for the reasons listed below.</w:t>
      </w:r>
    </w:p>
    <w:p>
      <w:pPr>
        <w:spacing w:after="0" w:line="171" w:lineRule="exact"/>
        <w:rPr>
          <w:sz w:val="20"/>
          <w:szCs w:val="20"/>
          <w:color w:val="auto"/>
        </w:rPr>
      </w:pPr>
    </w:p>
    <w:p>
      <w:pPr>
        <w:jc w:val="both"/>
        <w:ind w:left="660" w:hanging="328"/>
        <w:spacing w:after="0" w:line="268"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compensation programs are substantially tied to achievement of our key financial and business objectives. A significant portion of each Named Executive Officer’s potential total annual cash compensation and long-term compensation is at-risk and linked to our operating performance.</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compensation programs are designed to take into account the cyclical nature of our business and to fairly compensate our executives over the non-residential construction cycle.</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compensation programs for executive officers deliver a significant portion of potential total compensation in the form of equity. If the value we deliver to our shareholders declines, so does the compensation we deliver to our executive officers.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have stock ownership guidelines for our executive officers.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offer very limited perquisites to our executive officers and do not provide tax reimbursement or “gross-ups” on perquisites.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our Named Executive Officers is expected to demonstrate exceptional individual performance in order to continue serving as a member of the executive team.</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continue to refine our executive compensation program to reflect evolving executive compensation practices.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that the information provided above and within the “Executive Compensation” section of this Proxy Statement demonstrates that our executive compensation program was designed appropriately and is working to ensure management’s interests are aligned with our shareholders’ interests to support long-term value creation. Accordingly, we are asking our shareholders to vote “FOR” the following resolution at the Annual Meeting:</w:t>
      </w:r>
    </w:p>
    <w:p>
      <w:pPr>
        <w:spacing w:after="0" w:line="17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“RESOLVED, that the shareholders approve, on an advisory basis, the compensation of Apogee’s Named Executive Officers, as disclosed in Apogee’s Proxy Statement for the 2025 Annual Meeting of Shareholders pursuant to Item 402 of Regulation S-K, including the Compensation Discussion and Analysis, compensation tables and other related narrative disclosures.”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75" w:name="page76"/>
    <w:bookmarkEnd w:id="75"/>
    <w:p>
      <w:pPr>
        <w:jc w:val="both"/>
        <w:spacing w:after="0" w:line="262" w:lineRule="auto"/>
        <w:rPr>
          <w:sz w:val="20"/>
          <w:szCs w:val="20"/>
          <w:color w:val="auto"/>
        </w:rPr>
      </w:pPr>
      <w:r>
        <w:rPr>
          <w:rFonts w:ascii="Arial" w:cs="Arial" w:eastAsia="Arial" w:hAnsi="Arial"/>
          <w:sz w:val="18"/>
          <w:szCs w:val="18"/>
          <w:color w:val="auto"/>
        </w:rPr>
        <w:t>This advisory vote on executive compensation is not binding on Apogee, our Compensation Committee or our Board of Directors. However, our Compensation Committee and Board of Directors will take into account the result of the vote when determining future executive compensation arrangements. We currently conduct annual advisory votes on executive compensation, and we expect to conduct our next advisory vote at our 2026 Annual Meeting of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Board Recommendation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Our Board of Directors recommends that you vote FOR the Say on Pay Proposal. Proxies will be voted FOR the proposal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5"/>
          <w:szCs w:val="25"/>
          <w:b w:val="1"/>
          <w:bCs w:val="1"/>
          <w:color w:val="auto"/>
        </w:rPr>
        <w:t>Proposal 3: Ratification of Appointment of Independent</w:t>
      </w:r>
    </w:p>
    <w:p>
      <w:pPr>
        <w:jc w:val="center"/>
        <w:spacing w:after="0"/>
        <w:rPr>
          <w:sz w:val="20"/>
          <w:szCs w:val="20"/>
          <w:color w:val="auto"/>
        </w:rPr>
      </w:pPr>
      <w:r>
        <w:rPr>
          <w:rFonts w:ascii="Arial" w:cs="Arial" w:eastAsia="Arial" w:hAnsi="Arial"/>
          <w:sz w:val="25"/>
          <w:szCs w:val="25"/>
          <w:b w:val="1"/>
          <w:bCs w:val="1"/>
          <w:color w:val="auto"/>
        </w:rPr>
        <w:t>Registered Public Accounting Firm</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Committee has appointed Deloitte &amp; Touche LLP (“Deloitte”) as our independent registered public accounting firm for the fiscal year ending February 28, 2026, subject to a satisfactory evaluation of the firm’s performance in conducting our fiscal 2025 audit. Deloitte has served as our independent registered public accounting firm since fiscal 2003. The Audit Committee is responsible for the appointment, compensation and oversight of Deloitte and believes that the retention of Deloitte is in the best interests of the Company and its shareholders.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While it is not required to do so, our Board of Directors is submitting the appointment of Deloitte to serve as our independent registered public accounting firm for the fiscal year ending February 28, 2026, to our shareholders for ratification as a matter of good corporate governance.</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shareholders do not ratify the selection of Deloitte, the Audit Committee will consider whether it is appropriate to select another Independent Accounting Firm. Even if the selection of Deloitte is ratified by shareholders, the Audit Committee may, in its discretion, appoint a different firm of Independent Auditors at any time during the year if it determines that such a change would be in the best interests of the Company and our shareholders.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been advised that a representative from Deloitte will be present at the Annual Meeting. The representative will be available to respond to appropriate questions and will be given the opportunity to make a statement if the firm so desires.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Board Recommendation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Our Board of Directors recommends that you vote FOR the proposal to ratify the appointment of Deloitte &amp; Touche LLP as our independent registered public accounting firm for the fiscal year ending February 28, 2026. Proxies will be voted FOR the proposal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25"/>
          <w:szCs w:val="25"/>
          <w:b w:val="1"/>
          <w:bCs w:val="1"/>
          <w:color w:val="auto"/>
        </w:rPr>
        <w:t>Audit Committee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This report is furnished by the Audit Committee with respect to our financial statements for fiscal 2025.</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Committee oversees our financial reporting process (including our system of financial controls and internal and external auditing procedures) on behalf of our Board; oversees our program to ensure compliance with legal and regulatory requirements and ethical business practices; assesses and establishes policies and procedures to manage our financial reporting risk; and assesses our compliance with financial covenants in our debt instruments. Our Audit Committee is responsible for the appointment, compensation, retention and oversight of the work of our independent registered public accounting firm.</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Audit Committee reviewed and discussed the Company’s audited financial statements for the fiscal year ended March 1, 2025 with senior management and with Deloitte &amp; Touche LLP, the Company’s independent registered public accounting firm.</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performing its oversight role, the Audit Committee also (i) discussed with Deloitte &amp; Touche LLP the matters required to be discussed pursuant to applicable requirements of the Public Company Accounting Oversight Board and the Securities and Exchange Commission, (ii) discussed with Deloitte &amp; Touche LLP their independence and concluded that it is independent from the Company and management, and (iii) received the written disclosures and the letter from Deloitte &amp; Touche LLP required by applicable requirements of the Public Company Accounting Oversight Board regarding the independent accountant’s communications with the Audit Committee concerning independence.</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the review and discussions referred to above, the Audit Committee recommended to the Company’s Board of Directors that the audited financial statements be included in the Company’s Annual Report on Form 10-K for the fiscal year ended March 1, 2025, for filing with the Securities and Exchange Commission.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of Apogee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Mark A. Pompa, </w:t>
      </w:r>
      <w:r>
        <w:rPr>
          <w:rFonts w:ascii="Arial" w:cs="Arial" w:eastAsia="Arial" w:hAnsi="Arial"/>
          <w:sz w:val="18"/>
          <w:szCs w:val="18"/>
          <w:i w:val="1"/>
          <w:iCs w:val="1"/>
          <w:color w:val="auto"/>
        </w:rPr>
        <w:t>Chair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Christina M. Alvord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Frank G. Heard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Lloyd E. Johnson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Elizabeth M. Lilly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78" w:name="page79"/>
    <w:bookmarkEnd w:id="78"/>
    <w:p>
      <w:pPr>
        <w:ind w:left="1960"/>
        <w:spacing w:after="0"/>
        <w:rPr>
          <w:sz w:val="20"/>
          <w:szCs w:val="20"/>
          <w:color w:val="auto"/>
        </w:rPr>
      </w:pPr>
      <w:r>
        <w:rPr>
          <w:rFonts w:ascii="Arial" w:cs="Arial" w:eastAsia="Arial" w:hAnsi="Arial"/>
          <w:sz w:val="25"/>
          <w:szCs w:val="25"/>
          <w:b w:val="1"/>
          <w:bCs w:val="1"/>
          <w:color w:val="auto"/>
        </w:rPr>
        <w:t>Fees Paid to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Audit Fees, Audit-Related Fees, Tax Fees and All Other Fees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fiscal 2025 and 2024, we incurred the fees shown in the following table for professional services provided by Deloitte &amp; Touche LLP, the member firms of Deloitte Touche Tohmatsu, and their respective affiliates (collectively, the “Deloitte Entities”).</w:t>
      </w:r>
    </w:p>
    <w:p>
      <w:pPr>
        <w:spacing w:after="0" w:line="207" w:lineRule="exact"/>
        <w:rPr>
          <w:sz w:val="20"/>
          <w:szCs w:val="20"/>
          <w:color w:val="auto"/>
        </w:rPr>
      </w:pPr>
    </w:p>
    <w:tbl>
      <w:tblPr>
        <w:tblLayout w:type="fixed"/>
        <w:tblInd w:w="1300" w:type="dxa"/>
        <w:tblCellMar>
          <w:top w:w="0" w:type="dxa"/>
          <w:left w:w="0" w:type="dxa"/>
          <w:bottom w:w="0" w:type="dxa"/>
          <w:right w:w="0" w:type="dxa"/>
        </w:tblCellMar>
      </w:tblPr>
      <w:tr>
        <w:trPr>
          <w:trHeight w:val="255"/>
        </w:trPr>
        <w:tc>
          <w:tcPr>
            <w:tcW w:w="4160" w:type="dxa"/>
            <w:vAlign w:val="bottom"/>
          </w:tcPr>
          <w:p>
            <w:pPr>
              <w:spacing w:after="0"/>
              <w:rPr>
                <w:sz w:val="22"/>
                <w:szCs w:val="22"/>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05445E"/>
                <w:w w:val="99"/>
              </w:rPr>
              <w:t>Fiscal 2025</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05445E"/>
              </w:rPr>
              <w:t>Fiscal 2024</w:t>
            </w:r>
          </w:p>
        </w:tc>
      </w:tr>
      <w:tr>
        <w:trPr>
          <w:trHeight w:val="270"/>
        </w:trPr>
        <w:tc>
          <w:tcPr>
            <w:tcW w:w="4160" w:type="dxa"/>
            <w:vAlign w:val="bottom"/>
            <w:tcBorders>
              <w:top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1620" w:type="dxa"/>
            <w:vAlign w:val="bottom"/>
            <w:tcBorders>
              <w:top w:val="single" w:sz="8" w:color="auto"/>
            </w:tcBorders>
            <w:shd w:val="clear" w:color="auto" w:fill="D9D9D9"/>
          </w:tcPr>
          <w:p>
            <w:pPr>
              <w:ind w:left="240"/>
              <w:spacing w:after="0"/>
              <w:rPr>
                <w:sz w:val="20"/>
                <w:szCs w:val="20"/>
                <w:color w:val="auto"/>
              </w:rPr>
            </w:pPr>
            <w:r>
              <w:rPr>
                <w:rFonts w:ascii="Arial" w:cs="Arial" w:eastAsia="Arial" w:hAnsi="Arial"/>
                <w:sz w:val="18"/>
                <w:szCs w:val="18"/>
                <w:color w:val="auto"/>
              </w:rPr>
              <w:t>2,246,162</w:t>
            </w:r>
          </w:p>
        </w:tc>
        <w:tc>
          <w:tcPr>
            <w:tcW w:w="140" w:type="dxa"/>
            <w:vAlign w:val="bottom"/>
            <w:tcBorders>
              <w:top w:val="single" w:sz="8" w:color="D9D9D9"/>
            </w:tcBorders>
            <w:shd w:val="clear" w:color="auto" w:fill="D9D9D9"/>
          </w:tcPr>
          <w:p>
            <w:pPr>
              <w:spacing w:after="0"/>
              <w:rPr>
                <w:sz w:val="23"/>
                <w:szCs w:val="23"/>
                <w:color w:val="auto"/>
              </w:rPr>
            </w:pPr>
          </w:p>
        </w:tc>
        <w:tc>
          <w:tcPr>
            <w:tcW w:w="1620" w:type="dxa"/>
            <w:vAlign w:val="bottom"/>
            <w:tcBorders>
              <w:top w:val="single" w:sz="8" w:color="auto"/>
            </w:tcBorders>
            <w:shd w:val="clear" w:color="auto" w:fill="D9D9D9"/>
          </w:tcPr>
          <w:p>
            <w:pPr>
              <w:jc w:val="right"/>
              <w:ind w:right="490"/>
              <w:spacing w:after="0"/>
              <w:rPr>
                <w:sz w:val="20"/>
                <w:szCs w:val="20"/>
                <w:color w:val="auto"/>
              </w:rPr>
            </w:pPr>
            <w:r>
              <w:rPr>
                <w:rFonts w:ascii="Arial" w:cs="Arial" w:eastAsia="Arial" w:hAnsi="Arial"/>
                <w:sz w:val="18"/>
                <w:szCs w:val="18"/>
                <w:color w:val="auto"/>
              </w:rPr>
              <w:t>2,024,284</w:t>
            </w:r>
          </w:p>
        </w:tc>
      </w:tr>
      <w:tr>
        <w:trPr>
          <w:trHeight w:val="283"/>
        </w:trPr>
        <w:tc>
          <w:tcPr>
            <w:tcW w:w="4160" w:type="dxa"/>
            <w:vAlign w:val="bottom"/>
          </w:tcPr>
          <w:p>
            <w:pPr>
              <w:ind w:left="2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37,200</w:t>
            </w:r>
          </w:p>
        </w:tc>
      </w:tr>
      <w:tr>
        <w:trPr>
          <w:trHeight w:val="283"/>
        </w:trPr>
        <w:tc>
          <w:tcPr>
            <w:tcW w:w="4160" w:type="dxa"/>
            <w:vAlign w:val="bottom"/>
            <w:shd w:val="clear" w:color="auto" w:fill="D9D9D9"/>
          </w:tcPr>
          <w:p>
            <w:pPr>
              <w:ind w:left="20"/>
              <w:spacing w:after="0"/>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1620" w:type="dxa"/>
            <w:vAlign w:val="bottom"/>
            <w:shd w:val="clear" w:color="auto" w:fill="D9D9D9"/>
          </w:tcPr>
          <w:p>
            <w:pPr>
              <w:jc w:val="right"/>
              <w:ind w:right="430"/>
              <w:spacing w:after="0"/>
              <w:rPr>
                <w:sz w:val="20"/>
                <w:szCs w:val="20"/>
                <w:color w:val="auto"/>
              </w:rPr>
            </w:pPr>
            <w:r>
              <w:rPr>
                <w:rFonts w:ascii="Arial" w:cs="Arial" w:eastAsia="Arial" w:hAnsi="Arial"/>
                <w:sz w:val="18"/>
                <w:szCs w:val="18"/>
                <w:color w:val="auto"/>
              </w:rPr>
              <w:t>254,975</w:t>
            </w:r>
          </w:p>
        </w:tc>
        <w:tc>
          <w:tcPr>
            <w:tcW w:w="140" w:type="dxa"/>
            <w:vAlign w:val="bottom"/>
            <w:shd w:val="clear" w:color="auto" w:fill="D9D9D9"/>
          </w:tcPr>
          <w:p>
            <w:pPr>
              <w:spacing w:after="0"/>
              <w:rPr>
                <w:sz w:val="24"/>
                <w:szCs w:val="24"/>
                <w:color w:val="auto"/>
              </w:rPr>
            </w:pPr>
          </w:p>
        </w:tc>
        <w:tc>
          <w:tcPr>
            <w:tcW w:w="1620" w:type="dxa"/>
            <w:vAlign w:val="bottom"/>
            <w:shd w:val="clear" w:color="auto" w:fill="D9D9D9"/>
          </w:tcPr>
          <w:p>
            <w:pPr>
              <w:jc w:val="right"/>
              <w:ind w:right="430"/>
              <w:spacing w:after="0"/>
              <w:rPr>
                <w:sz w:val="20"/>
                <w:szCs w:val="20"/>
                <w:color w:val="auto"/>
              </w:rPr>
            </w:pPr>
            <w:r>
              <w:rPr>
                <w:rFonts w:ascii="Arial" w:cs="Arial" w:eastAsia="Arial" w:hAnsi="Arial"/>
                <w:sz w:val="18"/>
                <w:szCs w:val="18"/>
                <w:color w:val="auto"/>
              </w:rPr>
              <w:t>281,348</w:t>
            </w:r>
          </w:p>
        </w:tc>
      </w:tr>
      <w:tr>
        <w:trPr>
          <w:trHeight w:val="283"/>
        </w:trPr>
        <w:tc>
          <w:tcPr>
            <w:tcW w:w="4160" w:type="dxa"/>
            <w:vAlign w:val="bottom"/>
            <w:tcBorders>
              <w:bottom w:val="single" w:sz="8" w:color="D9D9D9"/>
            </w:tcBorders>
          </w:tcPr>
          <w:p>
            <w:pPr>
              <w:ind w:left="20"/>
              <w:spacing w:after="0"/>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(4)</w:t>
            </w:r>
          </w:p>
        </w:tc>
        <w:tc>
          <w:tcPr>
            <w:tcW w:w="1620" w:type="dxa"/>
            <w:vAlign w:val="bottom"/>
            <w:tcBorders>
              <w:bottom w:val="single" w:sz="8" w:color="242424"/>
            </w:tcBorders>
          </w:tcPr>
          <w:p>
            <w:pPr>
              <w:jc w:val="center"/>
              <w:spacing w:after="0"/>
              <w:rPr>
                <w:sz w:val="20"/>
                <w:szCs w:val="20"/>
                <w:color w:val="auto"/>
              </w:rPr>
            </w:pPr>
            <w:r>
              <w:rPr>
                <w:rFonts w:ascii="Arial" w:cs="Arial" w:eastAsia="Arial" w:hAnsi="Arial"/>
                <w:sz w:val="18"/>
                <w:szCs w:val="18"/>
                <w:color w:val="auto"/>
              </w:rPr>
              <w:t>36,895</w:t>
            </w:r>
          </w:p>
        </w:tc>
        <w:tc>
          <w:tcPr>
            <w:tcW w:w="140" w:type="dxa"/>
            <w:vAlign w:val="bottom"/>
            <w:tcBorders>
              <w:bottom w:val="single" w:sz="8" w:color="D9D9D9"/>
            </w:tcBorders>
          </w:tcPr>
          <w:p>
            <w:pPr>
              <w:spacing w:after="0"/>
              <w:rPr>
                <w:sz w:val="24"/>
                <w:szCs w:val="24"/>
                <w:color w:val="auto"/>
              </w:rPr>
            </w:pPr>
          </w:p>
        </w:tc>
        <w:tc>
          <w:tcPr>
            <w:tcW w:w="1620" w:type="dxa"/>
            <w:vAlign w:val="bottom"/>
            <w:tcBorders>
              <w:bottom w:val="single" w:sz="8" w:color="242424"/>
            </w:tcBorders>
          </w:tcPr>
          <w:p>
            <w:pPr>
              <w:jc w:val="right"/>
              <w:ind w:right="410"/>
              <w:spacing w:after="0"/>
              <w:rPr>
                <w:sz w:val="20"/>
                <w:szCs w:val="20"/>
                <w:color w:val="auto"/>
              </w:rPr>
            </w:pPr>
            <w:r>
              <w:rPr>
                <w:rFonts w:ascii="Arial" w:cs="Arial" w:eastAsia="Arial" w:hAnsi="Arial"/>
                <w:sz w:val="18"/>
                <w:szCs w:val="18"/>
                <w:color w:val="auto"/>
              </w:rPr>
              <w:t>1,895</w:t>
            </w:r>
          </w:p>
        </w:tc>
      </w:tr>
      <w:tr>
        <w:trPr>
          <w:trHeight w:val="288"/>
        </w:trPr>
        <w:tc>
          <w:tcPr>
            <w:tcW w:w="4160" w:type="dxa"/>
            <w:vAlign w:val="bottom"/>
            <w:tcBorders>
              <w:bottom w:val="single" w:sz="8" w:color="D9D9D9"/>
            </w:tcBorders>
            <w:shd w:val="clear" w:color="auto" w:fill="D9D9D9"/>
          </w:tcPr>
          <w:p>
            <w:pPr>
              <w:ind w:left="26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D9D9D9"/>
          </w:tcPr>
          <w:p>
            <w:pPr>
              <w:ind w:left="240"/>
              <w:spacing w:after="0"/>
              <w:rPr>
                <w:sz w:val="20"/>
                <w:szCs w:val="20"/>
                <w:color w:val="auto"/>
              </w:rPr>
            </w:pPr>
            <w:r>
              <w:rPr>
                <w:rFonts w:ascii="Arial" w:cs="Arial" w:eastAsia="Arial" w:hAnsi="Arial"/>
                <w:sz w:val="18"/>
                <w:szCs w:val="18"/>
                <w:color w:val="auto"/>
              </w:rPr>
              <w:t>$2,538,032</w:t>
            </w:r>
          </w:p>
        </w:tc>
        <w:tc>
          <w:tcPr>
            <w:tcW w:w="140" w:type="dxa"/>
            <w:vAlign w:val="bottom"/>
            <w:tcBorders>
              <w:bottom w:val="single" w:sz="8" w:color="D9D9D9"/>
            </w:tcBorders>
            <w:shd w:val="clear" w:color="auto" w:fill="D9D9D9"/>
          </w:tcPr>
          <w:p>
            <w:pPr>
              <w:spacing w:after="0"/>
              <w:rPr>
                <w:sz w:val="24"/>
                <w:szCs w:val="24"/>
                <w:color w:val="auto"/>
              </w:rPr>
            </w:pPr>
          </w:p>
        </w:tc>
        <w:tc>
          <w:tcPr>
            <w:tcW w:w="1620" w:type="dxa"/>
            <w:vAlign w:val="bottom"/>
            <w:tcBorders>
              <w:bottom w:val="single" w:sz="8" w:color="auto"/>
            </w:tcBorders>
            <w:shd w:val="clear" w:color="auto" w:fill="D9D9D9"/>
          </w:tcPr>
          <w:p>
            <w:pPr>
              <w:jc w:val="right"/>
              <w:ind w:right="270"/>
              <w:spacing w:after="0"/>
              <w:rPr>
                <w:sz w:val="20"/>
                <w:szCs w:val="20"/>
                <w:color w:val="auto"/>
              </w:rPr>
            </w:pPr>
            <w:r>
              <w:rPr>
                <w:rFonts w:ascii="Arial" w:cs="Arial" w:eastAsia="Arial" w:hAnsi="Arial"/>
                <w:sz w:val="18"/>
                <w:szCs w:val="18"/>
                <w:color w:val="auto"/>
              </w:rPr>
              <w:t>$2,344,727</w:t>
            </w:r>
          </w:p>
        </w:tc>
      </w:tr>
      <w:tr>
        <w:trPr>
          <w:trHeight w:val="20"/>
        </w:trPr>
        <w:tc>
          <w:tcPr>
            <w:tcW w:w="4160" w:type="dxa"/>
            <w:vAlign w:val="bottom"/>
            <w:tcBorders>
              <w:top w:val="single" w:sz="8" w:color="D9D9D9"/>
            </w:tcBorders>
          </w:tcPr>
          <w:p>
            <w:pPr>
              <w:spacing w:after="0" w:line="20" w:lineRule="exact"/>
              <w:rPr>
                <w:sz w:val="1"/>
                <w:szCs w:val="1"/>
                <w:color w:val="auto"/>
              </w:rPr>
            </w:pPr>
          </w:p>
        </w:tc>
        <w:tc>
          <w:tcPr>
            <w:tcW w:w="1620" w:type="dxa"/>
            <w:vAlign w:val="bottom"/>
            <w:tcBorders>
              <w:top w:val="single" w:sz="8" w:color="D9D9D9"/>
              <w:bottom w:val="single" w:sz="8" w:color="auto"/>
            </w:tcBorders>
          </w:tcPr>
          <w:p>
            <w:pPr>
              <w:spacing w:after="0" w:line="20" w:lineRule="exact"/>
              <w:rPr>
                <w:sz w:val="1"/>
                <w:szCs w:val="1"/>
                <w:color w:val="auto"/>
              </w:rPr>
            </w:pPr>
          </w:p>
        </w:tc>
        <w:tc>
          <w:tcPr>
            <w:tcW w:w="140" w:type="dxa"/>
            <w:vAlign w:val="bottom"/>
            <w:tcBorders>
              <w:top w:val="single" w:sz="8" w:color="D9D9D9"/>
            </w:tcBorders>
          </w:tcPr>
          <w:p>
            <w:pPr>
              <w:spacing w:after="0" w:line="20" w:lineRule="exact"/>
              <w:rPr>
                <w:sz w:val="1"/>
                <w:szCs w:val="1"/>
                <w:color w:val="auto"/>
              </w:rPr>
            </w:pPr>
          </w:p>
        </w:tc>
        <w:tc>
          <w:tcPr>
            <w:tcW w:w="1620" w:type="dxa"/>
            <w:vAlign w:val="bottom"/>
            <w:tcBorders>
              <w:top w:val="single" w:sz="8" w:color="D9D9D9"/>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-573405</wp:posOffset>
            </wp:positionV>
            <wp:extent cx="21431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Arial" w:cs="Arial" w:eastAsia="Arial" w:hAnsi="Arial"/>
          <w:sz w:val="11"/>
          <w:szCs w:val="11"/>
          <w:color w:val="auto"/>
        </w:rPr>
        <w:t>___________________________</w:t>
      </w:r>
    </w:p>
    <w:p>
      <w:pPr>
        <w:spacing w:after="0" w:line="111" w:lineRule="exact"/>
        <w:rPr>
          <w:sz w:val="20"/>
          <w:szCs w:val="20"/>
          <w:color w:val="auto"/>
        </w:rPr>
      </w:pPr>
    </w:p>
    <w:p>
      <w:pPr>
        <w:jc w:val="both"/>
        <w:ind w:left="1800" w:hanging="496"/>
        <w:spacing w:after="0" w:line="268" w:lineRule="auto"/>
        <w:tabs>
          <w:tab w:leader="none" w:pos="17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Audit fees consisted primarily of audit work related to preparation of our annual financial statements, audit of internal controls over financial reporting, review of the quarterly financial statements included in our quarterly reports on Form 10-Q, audit work related to acquisitions, and review of other SEC filings.</w:t>
      </w:r>
    </w:p>
    <w:p>
      <w:pPr>
        <w:spacing w:after="0" w:line="62" w:lineRule="exact"/>
        <w:rPr>
          <w:rFonts w:ascii="Arial" w:cs="Arial" w:eastAsia="Arial" w:hAnsi="Arial"/>
          <w:sz w:val="18"/>
          <w:szCs w:val="18"/>
          <w:color w:val="auto"/>
        </w:rPr>
      </w:pPr>
    </w:p>
    <w:p>
      <w:pPr>
        <w:ind w:left="1780" w:hanging="476"/>
        <w:spacing w:after="0"/>
        <w:tabs>
          <w:tab w:leader="none" w:pos="1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Audit-related fees consisted primarily of fees for the audit of our employee benefit plan.</w:t>
      </w:r>
    </w:p>
    <w:p>
      <w:pPr>
        <w:spacing w:after="0" w:line="117" w:lineRule="exact"/>
        <w:rPr>
          <w:rFonts w:ascii="Arial" w:cs="Arial" w:eastAsia="Arial" w:hAnsi="Arial"/>
          <w:sz w:val="18"/>
          <w:szCs w:val="18"/>
          <w:color w:val="auto"/>
        </w:rPr>
      </w:pPr>
    </w:p>
    <w:p>
      <w:pPr>
        <w:ind w:left="1780" w:hanging="476"/>
        <w:spacing w:after="0"/>
        <w:tabs>
          <w:tab w:leader="none" w:pos="1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Tax fees consisted primarily of fees for tax compliance and return preparation and tax planning and advice.</w:t>
      </w:r>
    </w:p>
    <w:p>
      <w:pPr>
        <w:spacing w:after="0" w:line="117" w:lineRule="exact"/>
        <w:rPr>
          <w:rFonts w:ascii="Arial" w:cs="Arial" w:eastAsia="Arial" w:hAnsi="Arial"/>
          <w:sz w:val="18"/>
          <w:szCs w:val="18"/>
          <w:color w:val="auto"/>
        </w:rPr>
      </w:pPr>
    </w:p>
    <w:p>
      <w:pPr>
        <w:ind w:left="1780" w:hanging="476"/>
        <w:spacing w:after="0"/>
        <w:tabs>
          <w:tab w:leader="none" w:pos="1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other fees consisted of $36,895 for the Deloitte online accounting research tool and educational-related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Policy on Audit Committee Pre-Approval of Audit and Permissible Non-Audit Services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with policies of the SEC regarding auditor independence, our Audit Committee has responsibility for appointing, setting compensation and overseeing the work of our independent registered public accounting firm. In recognition of this responsibility, our Audit Committee established a policy to require pre-approval of all audit and permissible non-audit services provided by our independent registered public accounting firm. As permitted by regulations of the SEC, our Audit Committee delegated the authority to pre-approve services provided by our independent registered public accounting firm to the Chair of our Audit Committee, who reports any pre-approval decisions to our Audit Committee at its next regularly scheduled meeting.</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All of the services provided by our independent registered public accounting firm in fiscal 2025 and 2024, including services related to the audit-related fees, tax fees and all other fees described above, were approved by our Audit Committee under its pre-approval policy.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25"/>
          <w:szCs w:val="25"/>
          <w:b w:val="1"/>
          <w:bCs w:val="1"/>
          <w:color w:val="auto"/>
        </w:rPr>
        <w:t>Frequently Asked Questions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Who is entitled to vote at the meeting?</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Board of Directors has set April 28, 2025, as the record date for the Annual Meeting. If you were a shareholder at the close of business on the record date, you are entitled to notice of and to vote at the Annual Meeting.</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the record date, 21,573,126 shares of common stock, par value $0.33-1/3, were issued and outstanding and, therefore, eligible to vote at the Annual Meeting.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What are my voting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common stock are entitled to one vote per share. Therefore, 21,573,126 votes are entitled to be cast at the Annual Meeting.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is no cumulative voting for the 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How many shares must be present to hold the meeting?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accordance with our Amended and Restated By-laws, shares equal to at least a majority of the voting power of the outstanding shares of our common stock as of the record date must be present at the Annual Meeting in order to hold the Annual Meeting and conduct business. This is called a quorum. Your shares are counted as present at the Annual Meeting if:</w:t>
      </w:r>
    </w:p>
    <w:p>
      <w:pPr>
        <w:spacing w:after="0" w:line="171"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you are present and vote in person at the Annual Meeting, with virtual participation constituting in person presence at the meeting;</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you have properly submitted a proxy via the Internet, by telephone, or by mail, even if you abstain from voting on one or more matters; or</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you hold your shares in street name (as discussed under “What is the difference between a shareholder of record and a “street name” holder?” beginning on page </w:t>
      </w:r>
      <w:r>
        <w:rPr>
          <w:rFonts w:ascii="Arial" w:cs="Arial" w:eastAsia="Arial" w:hAnsi="Arial"/>
          <w:sz w:val="18"/>
          <w:szCs w:val="18"/>
          <w:u w:val="single" w:color="auto"/>
          <w:color w:val="0000FF"/>
        </w:rPr>
        <w:t>80</w:t>
      </w:r>
      <w:r>
        <w:rPr>
          <w:rFonts w:ascii="Arial" w:cs="Arial" w:eastAsia="Arial" w:hAnsi="Arial"/>
          <w:sz w:val="18"/>
          <w:szCs w:val="18"/>
          <w:color w:val="auto"/>
        </w:rPr>
        <w:t>) and you did not provide voting instructions to your broker and your broker uses its discretionary authority to vote your shares on the ratification of the appointment of our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How can I attend the meeting?</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order to expand access to the Annual Meeting, we are holding the Annual Meeting in a virtual-only meeting format. You will not be able to attend the Annual Meeting at a physical location.</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are a registered shareholder or beneficial owner of common stock holding shares at the close of business on the record date April 28, 2025, you may attend the Annual Meeting by visiting the meeting website at www.virtualshareholdermeeting.com/APOG2025 and logging in by entering the 16-digit control number found on your proxy card, voter instruction form, or Notice, as applicable. You may also attend the meeting by visiting www.virtualshareholdermeeting.com/APOG2025 and registering as a guest. If you enter the meeting as a guest, you will not be able to vote your shares or submit questions during the meeting.</w:t>
      </w:r>
    </w:p>
    <w:p>
      <w:pPr>
        <w:spacing w:after="0" w:line="17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You may log into the meeting website at www.virtualshareholdermeeting.com/APOG2025 beginning at 8:00 a.m. Central Time on June 25, 2025. The Annual Meeting will begin promptly at 8:00 a.m. Central Time on June 25, 2025. If you experience any technical difficulties during the meeting, a toll-free number will be available on our meeting website for assistance.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05445E"/>
        </w:rPr>
        <w:t>What am I voting on, what vote is required to approve each proposal and how does the Board recommend I vote?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table below summarizes the proposals that will be voted on, the vote required to approve each item, how votes are counted and how the Board recommends you vote.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05445E"/>
              </w:rPr>
              <w:t>Impact</w:t>
            </w:r>
          </w:p>
        </w:tc>
      </w:tr>
      <w:tr>
        <w:trPr>
          <w:trHeight w:val="189"/>
        </w:trPr>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05445E"/>
              </w:rPr>
              <w:t>Broker</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05445E"/>
              </w:rPr>
              <w:t>of</w:t>
            </w:r>
          </w:p>
        </w:tc>
      </w:tr>
      <w:tr>
        <w:trPr>
          <w:trHeight w:val="203"/>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05445E"/>
              </w:rPr>
              <w:t>Discretionary</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05445E"/>
              </w:rPr>
              <w:t>Broker</w:t>
            </w:r>
          </w:p>
        </w:tc>
      </w:tr>
      <w:tr>
        <w:trPr>
          <w:trHeight w:val="189"/>
        </w:trPr>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80"/>
              <w:spacing w:after="0"/>
              <w:rPr>
                <w:sz w:val="20"/>
                <w:szCs w:val="20"/>
                <w:color w:val="auto"/>
              </w:rPr>
            </w:pPr>
            <w:r>
              <w:rPr>
                <w:rFonts w:ascii="Arial" w:cs="Arial" w:eastAsia="Arial" w:hAnsi="Arial"/>
                <w:sz w:val="16"/>
                <w:szCs w:val="16"/>
                <w:b w:val="1"/>
                <w:bCs w:val="1"/>
                <w:color w:val="05445E"/>
              </w:rPr>
              <w:t>Voting</w:t>
            </w:r>
          </w:p>
        </w:tc>
        <w:tc>
          <w:tcPr>
            <w:tcW w:w="19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05445E"/>
                <w:w w:val="99"/>
              </w:rPr>
              <w:t>Board</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05445E"/>
                <w:w w:val="96"/>
              </w:rPr>
              <w:t>Voting</w:t>
            </w: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05445E"/>
              </w:rPr>
              <w:t>Impact of</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05445E"/>
                <w:w w:val="98"/>
              </w:rPr>
              <w:t>Non-</w:t>
            </w:r>
          </w:p>
        </w:tc>
      </w:tr>
      <w:tr>
        <w:trPr>
          <w:trHeight w:val="244"/>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5445E"/>
              </w:rPr>
              <w:t>Proposal</w:t>
            </w:r>
          </w:p>
        </w:tc>
        <w:tc>
          <w:tcPr>
            <w:tcW w:w="80" w:type="dxa"/>
            <w:vAlign w:val="bottom"/>
            <w:tcBorders>
              <w:bottom w:val="single" w:sz="8" w:color="D9D9D9"/>
            </w:tcBorders>
          </w:tcPr>
          <w:p>
            <w:pPr>
              <w:spacing w:after="0"/>
              <w:rPr>
                <w:sz w:val="21"/>
                <w:szCs w:val="21"/>
                <w:color w:val="auto"/>
              </w:rPr>
            </w:pPr>
          </w:p>
        </w:tc>
        <w:tc>
          <w:tcPr>
            <w:tcW w:w="212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05445E"/>
              </w:rPr>
              <w:t>Vote Required</w:t>
            </w:r>
          </w:p>
        </w:tc>
        <w:tc>
          <w:tcPr>
            <w:tcW w:w="100" w:type="dxa"/>
            <w:vAlign w:val="bottom"/>
            <w:tcBorders>
              <w:bottom w:val="single" w:sz="8" w:color="D9D9D9"/>
            </w:tcBorders>
          </w:tcPr>
          <w:p>
            <w:pPr>
              <w:spacing w:after="0"/>
              <w:rPr>
                <w:sz w:val="21"/>
                <w:szCs w:val="21"/>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05445E"/>
              </w:rPr>
              <w:t>Options</w:t>
            </w:r>
          </w:p>
        </w:tc>
        <w:tc>
          <w:tcPr>
            <w:tcW w:w="100" w:type="dxa"/>
            <w:vAlign w:val="bottom"/>
            <w:tcBorders>
              <w:bottom w:val="single" w:sz="8" w:color="D9D9D9"/>
            </w:tcBorders>
          </w:tcPr>
          <w:p>
            <w:pPr>
              <w:spacing w:after="0"/>
              <w:rPr>
                <w:sz w:val="21"/>
                <w:szCs w:val="21"/>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5445E"/>
              </w:rPr>
              <w:t>Recommendation</w:t>
            </w:r>
          </w:p>
        </w:tc>
        <w:tc>
          <w:tcPr>
            <w:tcW w:w="100" w:type="dxa"/>
            <w:vAlign w:val="bottom"/>
            <w:tcBorders>
              <w:bottom w:val="single" w:sz="8" w:color="D9D9D9"/>
            </w:tcBorders>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5445E"/>
                <w:w w:val="96"/>
              </w:rPr>
              <w:t>Allowed</w:t>
            </w:r>
            <w:r>
              <w:rPr>
                <w:rFonts w:ascii="Arial" w:cs="Arial" w:eastAsia="Arial" w:hAnsi="Arial"/>
                <w:sz w:val="21"/>
                <w:szCs w:val="21"/>
                <w:b w:val="1"/>
                <w:bCs w:val="1"/>
                <w:color w:val="05445E"/>
                <w:w w:val="96"/>
                <w:vertAlign w:val="superscript"/>
              </w:rPr>
              <w:t>(1)</w:t>
            </w:r>
          </w:p>
        </w:tc>
        <w:tc>
          <w:tcPr>
            <w:tcW w:w="80" w:type="dxa"/>
            <w:vAlign w:val="bottom"/>
            <w:tcBorders>
              <w:bottom w:val="single" w:sz="8" w:color="D9D9D9"/>
            </w:tcBorders>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5445E"/>
              </w:rPr>
              <w:t>Abstention</w:t>
            </w:r>
          </w:p>
        </w:tc>
        <w:tc>
          <w:tcPr>
            <w:tcW w:w="100" w:type="dxa"/>
            <w:vAlign w:val="bottom"/>
            <w:tcBorders>
              <w:bottom w:val="single" w:sz="8" w:color="D9D9D9"/>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5445E"/>
                <w:w w:val="97"/>
              </w:rPr>
              <w:t>Vote</w:t>
            </w:r>
          </w:p>
        </w:tc>
      </w:tr>
      <w:tr>
        <w:trPr>
          <w:trHeight w:val="195"/>
        </w:trPr>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b w:val="1"/>
                <w:bCs w:val="1"/>
                <w:color w:val="auto"/>
              </w:rPr>
              <w:t xml:space="preserve">Proposal 1 – </w:t>
            </w:r>
            <w:r>
              <w:rPr>
                <w:rFonts w:ascii="Arial" w:cs="Arial" w:eastAsia="Arial" w:hAnsi="Arial"/>
                <w:sz w:val="16"/>
                <w:szCs w:val="16"/>
                <w:color w:val="auto"/>
              </w:rPr>
              <w:t>Election of two</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Majority of votes cast (votes</w:t>
            </w:r>
          </w:p>
        </w:tc>
        <w:tc>
          <w:tcPr>
            <w:tcW w:w="1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FOR,</w:t>
            </w:r>
          </w:p>
        </w:tc>
        <w:tc>
          <w:tcPr>
            <w:tcW w:w="1940" w:type="dxa"/>
            <w:vAlign w:val="bottom"/>
            <w:gridSpan w:val="2"/>
            <w:shd w:val="clear" w:color="auto" w:fill="D9D9D9"/>
          </w:tcPr>
          <w:p>
            <w:pPr>
              <w:jc w:val="center"/>
              <w:ind w:right="120"/>
              <w:spacing w:after="0"/>
              <w:rPr>
                <w:sz w:val="20"/>
                <w:szCs w:val="20"/>
                <w:color w:val="auto"/>
              </w:rPr>
            </w:pPr>
            <w:r>
              <w:rPr>
                <w:rFonts w:ascii="Arial" w:cs="Arial" w:eastAsia="Arial" w:hAnsi="Arial"/>
                <w:sz w:val="16"/>
                <w:szCs w:val="16"/>
                <w:color w:val="auto"/>
              </w:rPr>
              <w:t>FOR</w:t>
            </w:r>
          </w:p>
        </w:tc>
        <w:tc>
          <w:tcPr>
            <w:tcW w:w="1500" w:type="dxa"/>
            <w:vAlign w:val="bottom"/>
            <w:gridSpan w:val="2"/>
            <w:shd w:val="clear" w:color="auto" w:fill="D9D9D9"/>
          </w:tcPr>
          <w:p>
            <w:pPr>
              <w:jc w:val="center"/>
              <w:ind w:right="100"/>
              <w:spacing w:after="0"/>
              <w:rPr>
                <w:sz w:val="20"/>
                <w:szCs w:val="20"/>
                <w:color w:val="auto"/>
              </w:rPr>
            </w:pPr>
            <w:r>
              <w:rPr>
                <w:rFonts w:ascii="Arial" w:cs="Arial" w:eastAsia="Arial" w:hAnsi="Arial"/>
                <w:sz w:val="16"/>
                <w:szCs w:val="16"/>
                <w:color w:val="auto"/>
                <w:w w:val="97"/>
              </w:rPr>
              <w:t>No</w:t>
            </w:r>
          </w:p>
        </w:tc>
        <w:tc>
          <w:tcPr>
            <w:tcW w:w="1300" w:type="dxa"/>
            <w:vAlign w:val="bottom"/>
            <w:gridSpan w:val="2"/>
            <w:shd w:val="clear" w:color="auto" w:fill="D9D9D9"/>
          </w:tcPr>
          <w:p>
            <w:pPr>
              <w:jc w:val="center"/>
              <w:ind w:right="80"/>
              <w:spacing w:after="0"/>
              <w:rPr>
                <w:sz w:val="20"/>
                <w:szCs w:val="20"/>
                <w:color w:val="auto"/>
              </w:rPr>
            </w:pPr>
            <w:r>
              <w:rPr>
                <w:rFonts w:ascii="Arial" w:cs="Arial" w:eastAsia="Arial" w:hAnsi="Arial"/>
                <w:sz w:val="16"/>
                <w:szCs w:val="16"/>
                <w:color w:val="auto"/>
                <w:w w:val="99"/>
              </w:rPr>
              <w:t>None</w:t>
            </w:r>
          </w:p>
        </w:tc>
        <w:tc>
          <w:tcPr>
            <w:tcW w:w="88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None</w:t>
            </w:r>
          </w:p>
        </w:tc>
      </w:tr>
      <w:tr>
        <w:trPr>
          <w:trHeight w:val="203"/>
        </w:trPr>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Class III directors for terms</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cast “For” must exceed</w:t>
            </w:r>
          </w:p>
        </w:tc>
        <w:tc>
          <w:tcPr>
            <w:tcW w:w="1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AGAINST,</w:t>
            </w:r>
          </w:p>
        </w:tc>
        <w:tc>
          <w:tcPr>
            <w:tcW w:w="184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4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r>
      <w:tr>
        <w:trPr>
          <w:trHeight w:val="189"/>
        </w:trPr>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expiring at our 2028 Annual</w:t>
            </w:r>
          </w:p>
        </w:tc>
        <w:tc>
          <w:tcPr>
            <w:tcW w:w="2220" w:type="dxa"/>
            <w:vAlign w:val="bottom"/>
            <w:gridSpan w:val="2"/>
            <w:shd w:val="clear" w:color="auto" w:fill="D9D9D9"/>
          </w:tcPr>
          <w:p>
            <w:pPr>
              <w:ind w:left="20"/>
              <w:spacing w:after="0" w:line="189" w:lineRule="exact"/>
              <w:rPr>
                <w:sz w:val="20"/>
                <w:szCs w:val="20"/>
                <w:color w:val="auto"/>
              </w:rPr>
            </w:pPr>
            <w:r>
              <w:rPr>
                <w:rFonts w:ascii="Arial" w:cs="Arial" w:eastAsia="Arial" w:hAnsi="Arial"/>
                <w:sz w:val="16"/>
                <w:szCs w:val="16"/>
                <w:color w:val="auto"/>
              </w:rPr>
              <w:t>votes cast “Against”)</w:t>
            </w:r>
            <w:r>
              <w:rPr>
                <w:rFonts w:ascii="Arial" w:cs="Arial" w:eastAsia="Arial" w:hAnsi="Arial"/>
                <w:sz w:val="21"/>
                <w:szCs w:val="21"/>
                <w:color w:val="auto"/>
                <w:vertAlign w:val="superscript"/>
              </w:rPr>
              <w:t>(2)</w:t>
            </w:r>
          </w:p>
        </w:tc>
        <w:tc>
          <w:tcPr>
            <w:tcW w:w="1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ABSTAIN</w:t>
            </w:r>
          </w:p>
        </w:tc>
        <w:tc>
          <w:tcPr>
            <w:tcW w:w="184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42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120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880" w:type="dxa"/>
            <w:vAlign w:val="bottom"/>
            <w:shd w:val="clear" w:color="auto" w:fill="D9D9D9"/>
          </w:tcPr>
          <w:p>
            <w:pPr>
              <w:spacing w:after="0"/>
              <w:rPr>
                <w:sz w:val="16"/>
                <w:szCs w:val="16"/>
                <w:color w:val="auto"/>
              </w:rPr>
            </w:pPr>
          </w:p>
        </w:tc>
      </w:tr>
      <w:tr>
        <w:trPr>
          <w:trHeight w:val="224"/>
        </w:trPr>
        <w:tc>
          <w:tcPr>
            <w:tcW w:w="220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6"/>
                <w:szCs w:val="16"/>
                <w:color w:val="auto"/>
              </w:rPr>
              <w:t>Meeting of Shareholders</w:t>
            </w:r>
          </w:p>
        </w:tc>
        <w:tc>
          <w:tcPr>
            <w:tcW w:w="2120" w:type="dxa"/>
            <w:vAlign w:val="bottom"/>
            <w:tcBorders>
              <w:bottom w:val="single" w:sz="8" w:color="D9D9D9"/>
            </w:tcBorders>
            <w:shd w:val="clear" w:color="auto" w:fill="D9D9D9"/>
          </w:tcPr>
          <w:p>
            <w:pPr>
              <w:spacing w:after="0"/>
              <w:rPr>
                <w:sz w:val="19"/>
                <w:szCs w:val="19"/>
                <w:color w:val="auto"/>
              </w:rPr>
            </w:pPr>
          </w:p>
        </w:tc>
        <w:tc>
          <w:tcPr>
            <w:tcW w:w="100" w:type="dxa"/>
            <w:vAlign w:val="bottom"/>
            <w:tcBorders>
              <w:bottom w:val="single" w:sz="8" w:color="D9D9D9"/>
            </w:tcBorders>
            <w:shd w:val="clear" w:color="auto" w:fill="D9D9D9"/>
          </w:tcPr>
          <w:p>
            <w:pPr>
              <w:spacing w:after="0"/>
              <w:rPr>
                <w:sz w:val="19"/>
                <w:szCs w:val="19"/>
                <w:color w:val="auto"/>
              </w:rPr>
            </w:pPr>
          </w:p>
        </w:tc>
        <w:tc>
          <w:tcPr>
            <w:tcW w:w="1100" w:type="dxa"/>
            <w:vAlign w:val="bottom"/>
            <w:tcBorders>
              <w:bottom w:val="single" w:sz="8" w:color="D9D9D9"/>
            </w:tcBorders>
            <w:shd w:val="clear" w:color="auto" w:fill="D9D9D9"/>
          </w:tcPr>
          <w:p>
            <w:pPr>
              <w:spacing w:after="0"/>
              <w:rPr>
                <w:sz w:val="19"/>
                <w:szCs w:val="19"/>
                <w:color w:val="auto"/>
              </w:rPr>
            </w:pPr>
          </w:p>
        </w:tc>
        <w:tc>
          <w:tcPr>
            <w:tcW w:w="100" w:type="dxa"/>
            <w:vAlign w:val="bottom"/>
            <w:tcBorders>
              <w:bottom w:val="single" w:sz="8" w:color="D9D9D9"/>
            </w:tcBorders>
            <w:shd w:val="clear" w:color="auto" w:fill="D9D9D9"/>
          </w:tcPr>
          <w:p>
            <w:pPr>
              <w:spacing w:after="0"/>
              <w:rPr>
                <w:sz w:val="19"/>
                <w:szCs w:val="19"/>
                <w:color w:val="auto"/>
              </w:rPr>
            </w:pPr>
          </w:p>
        </w:tc>
        <w:tc>
          <w:tcPr>
            <w:tcW w:w="1840" w:type="dxa"/>
            <w:vAlign w:val="bottom"/>
            <w:tcBorders>
              <w:bottom w:val="single" w:sz="8" w:color="D9D9D9"/>
            </w:tcBorders>
            <w:shd w:val="clear" w:color="auto" w:fill="D9D9D9"/>
          </w:tcPr>
          <w:p>
            <w:pPr>
              <w:spacing w:after="0"/>
              <w:rPr>
                <w:sz w:val="19"/>
                <w:szCs w:val="19"/>
                <w:color w:val="auto"/>
              </w:rPr>
            </w:pPr>
          </w:p>
        </w:tc>
        <w:tc>
          <w:tcPr>
            <w:tcW w:w="100" w:type="dxa"/>
            <w:vAlign w:val="bottom"/>
            <w:tcBorders>
              <w:bottom w:val="single" w:sz="8" w:color="D9D9D9"/>
            </w:tcBorders>
            <w:shd w:val="clear" w:color="auto" w:fill="D9D9D9"/>
          </w:tcPr>
          <w:p>
            <w:pPr>
              <w:spacing w:after="0"/>
              <w:rPr>
                <w:sz w:val="19"/>
                <w:szCs w:val="19"/>
                <w:color w:val="auto"/>
              </w:rPr>
            </w:pPr>
          </w:p>
        </w:tc>
        <w:tc>
          <w:tcPr>
            <w:tcW w:w="1420" w:type="dxa"/>
            <w:vAlign w:val="bottom"/>
            <w:tcBorders>
              <w:bottom w:val="single" w:sz="8" w:color="D9D9D9"/>
            </w:tcBorders>
            <w:shd w:val="clear" w:color="auto" w:fill="D9D9D9"/>
          </w:tcPr>
          <w:p>
            <w:pPr>
              <w:spacing w:after="0"/>
              <w:rPr>
                <w:sz w:val="19"/>
                <w:szCs w:val="19"/>
                <w:color w:val="auto"/>
              </w:rPr>
            </w:pPr>
          </w:p>
        </w:tc>
        <w:tc>
          <w:tcPr>
            <w:tcW w:w="80" w:type="dxa"/>
            <w:vAlign w:val="bottom"/>
            <w:tcBorders>
              <w:bottom w:val="single" w:sz="8" w:color="D9D9D9"/>
            </w:tcBorders>
            <w:shd w:val="clear" w:color="auto" w:fill="D9D9D9"/>
          </w:tcPr>
          <w:p>
            <w:pPr>
              <w:spacing w:after="0"/>
              <w:rPr>
                <w:sz w:val="19"/>
                <w:szCs w:val="19"/>
                <w:color w:val="auto"/>
              </w:rPr>
            </w:pPr>
          </w:p>
        </w:tc>
        <w:tc>
          <w:tcPr>
            <w:tcW w:w="1200" w:type="dxa"/>
            <w:vAlign w:val="bottom"/>
            <w:tcBorders>
              <w:bottom w:val="single" w:sz="8" w:color="D9D9D9"/>
            </w:tcBorders>
            <w:shd w:val="clear" w:color="auto" w:fill="D9D9D9"/>
          </w:tcPr>
          <w:p>
            <w:pPr>
              <w:spacing w:after="0"/>
              <w:rPr>
                <w:sz w:val="19"/>
                <w:szCs w:val="19"/>
                <w:color w:val="auto"/>
              </w:rPr>
            </w:pPr>
          </w:p>
        </w:tc>
        <w:tc>
          <w:tcPr>
            <w:tcW w:w="100" w:type="dxa"/>
            <w:vAlign w:val="bottom"/>
            <w:tcBorders>
              <w:bottom w:val="single" w:sz="8" w:color="D9D9D9"/>
            </w:tcBorders>
            <w:shd w:val="clear" w:color="auto" w:fill="D9D9D9"/>
          </w:tcPr>
          <w:p>
            <w:pPr>
              <w:spacing w:after="0"/>
              <w:rPr>
                <w:sz w:val="19"/>
                <w:szCs w:val="19"/>
                <w:color w:val="auto"/>
              </w:rPr>
            </w:pPr>
          </w:p>
        </w:tc>
        <w:tc>
          <w:tcPr>
            <w:tcW w:w="880" w:type="dxa"/>
            <w:vAlign w:val="bottom"/>
            <w:tcBorders>
              <w:bottom w:val="single" w:sz="8" w:color="D9D9D9"/>
            </w:tcBorders>
            <w:shd w:val="clear" w:color="auto" w:fill="D9D9D9"/>
          </w:tcPr>
          <w:p>
            <w:pPr>
              <w:spacing w:after="0"/>
              <w:rPr>
                <w:sz w:val="19"/>
                <w:szCs w:val="19"/>
                <w:color w:val="auto"/>
              </w:rPr>
            </w:pPr>
          </w:p>
        </w:tc>
      </w:tr>
      <w:tr>
        <w:trPr>
          <w:trHeight w:val="202"/>
        </w:trPr>
        <w:tc>
          <w:tcPr>
            <w:tcW w:w="220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Proposal 2 – </w:t>
            </w:r>
            <w:r>
              <w:rPr>
                <w:rFonts w:ascii="Arial" w:cs="Arial" w:eastAsia="Arial" w:hAnsi="Arial"/>
                <w:sz w:val="16"/>
                <w:szCs w:val="16"/>
                <w:color w:val="auto"/>
              </w:rPr>
              <w:t>“Say on Pay”</w:t>
            </w:r>
          </w:p>
        </w:tc>
        <w:tc>
          <w:tcPr>
            <w:tcW w:w="2220" w:type="dxa"/>
            <w:vAlign w:val="bottom"/>
            <w:gridSpan w:val="2"/>
          </w:tcPr>
          <w:p>
            <w:pPr>
              <w:ind w:left="20"/>
              <w:spacing w:after="0"/>
              <w:rPr>
                <w:sz w:val="20"/>
                <w:szCs w:val="20"/>
                <w:color w:val="auto"/>
              </w:rPr>
            </w:pPr>
            <w:r>
              <w:rPr>
                <w:rFonts w:ascii="Arial" w:cs="Arial" w:eastAsia="Arial" w:hAnsi="Arial"/>
                <w:sz w:val="16"/>
                <w:szCs w:val="16"/>
                <w:color w:val="auto"/>
              </w:rPr>
              <w:t>Majority of votes present in</w:t>
            </w: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FOR,</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rPr>
              <w:t>FOR</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No</w:t>
            </w:r>
          </w:p>
        </w:tc>
        <w:tc>
          <w:tcPr>
            <w:tcW w:w="1300" w:type="dxa"/>
            <w:vAlign w:val="bottom"/>
            <w:gridSpan w:val="2"/>
          </w:tcPr>
          <w:p>
            <w:pPr>
              <w:jc w:val="center"/>
              <w:ind w:right="80"/>
              <w:spacing w:after="0"/>
              <w:rPr>
                <w:sz w:val="20"/>
                <w:szCs w:val="20"/>
                <w:color w:val="auto"/>
              </w:rPr>
            </w:pPr>
            <w:r>
              <w:rPr>
                <w:rFonts w:ascii="Arial" w:cs="Arial" w:eastAsia="Arial" w:hAnsi="Arial"/>
                <w:sz w:val="16"/>
                <w:szCs w:val="16"/>
                <w:color w:val="auto"/>
              </w:rPr>
              <w:t>Against</w:t>
            </w:r>
          </w:p>
        </w:tc>
        <w:tc>
          <w:tcPr>
            <w:tcW w:w="880" w:type="dxa"/>
            <w:vAlign w:val="bottom"/>
          </w:tcPr>
          <w:p>
            <w:pPr>
              <w:jc w:val="center"/>
              <w:spacing w:after="0"/>
              <w:rPr>
                <w:sz w:val="20"/>
                <w:szCs w:val="20"/>
                <w:color w:val="auto"/>
              </w:rPr>
            </w:pPr>
            <w:r>
              <w:rPr>
                <w:rFonts w:ascii="Arial" w:cs="Arial" w:eastAsia="Arial" w:hAnsi="Arial"/>
                <w:sz w:val="16"/>
                <w:szCs w:val="16"/>
                <w:color w:val="auto"/>
              </w:rPr>
              <w:t>None</w:t>
            </w:r>
          </w:p>
        </w:tc>
      </w:tr>
      <w:tr>
        <w:trPr>
          <w:trHeight w:val="203"/>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Advisory vote to approve</w:t>
            </w:r>
          </w:p>
        </w:tc>
        <w:tc>
          <w:tcPr>
            <w:tcW w:w="2220" w:type="dxa"/>
            <w:vAlign w:val="bottom"/>
            <w:gridSpan w:val="2"/>
          </w:tcPr>
          <w:p>
            <w:pPr>
              <w:ind w:left="20"/>
              <w:spacing w:after="0"/>
              <w:rPr>
                <w:sz w:val="20"/>
                <w:szCs w:val="20"/>
                <w:color w:val="auto"/>
              </w:rPr>
            </w:pPr>
            <w:r>
              <w:rPr>
                <w:rFonts w:ascii="Arial" w:cs="Arial" w:eastAsia="Arial" w:hAnsi="Arial"/>
                <w:sz w:val="16"/>
                <w:szCs w:val="16"/>
                <w:color w:val="auto"/>
              </w:rPr>
              <w:t>person (i.e., online) or by</w:t>
            </w: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AGAINST,</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9"/>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Apogee’s executive</w:t>
            </w:r>
          </w:p>
        </w:tc>
        <w:tc>
          <w:tcPr>
            <w:tcW w:w="2220" w:type="dxa"/>
            <w:vAlign w:val="bottom"/>
            <w:gridSpan w:val="2"/>
          </w:tcPr>
          <w:p>
            <w:pPr>
              <w:ind w:left="20"/>
              <w:spacing w:after="0"/>
              <w:rPr>
                <w:sz w:val="20"/>
                <w:szCs w:val="20"/>
                <w:color w:val="auto"/>
              </w:rPr>
            </w:pPr>
            <w:r>
              <w:rPr>
                <w:rFonts w:ascii="Arial" w:cs="Arial" w:eastAsia="Arial" w:hAnsi="Arial"/>
                <w:sz w:val="16"/>
                <w:szCs w:val="16"/>
                <w:color w:val="auto"/>
              </w:rPr>
              <w:t>proxy and entitled to vote on</w:t>
            </w:r>
          </w:p>
        </w:tc>
        <w:tc>
          <w:tcPr>
            <w:tcW w:w="1200" w:type="dxa"/>
            <w:vAlign w:val="bottom"/>
            <w:gridSpan w:val="2"/>
          </w:tcPr>
          <w:p>
            <w:pPr>
              <w:ind w:left="20"/>
              <w:spacing w:after="0"/>
              <w:rPr>
                <w:sz w:val="20"/>
                <w:szCs w:val="20"/>
                <w:color w:val="auto"/>
              </w:rPr>
            </w:pPr>
            <w:r>
              <w:rPr>
                <w:rFonts w:ascii="Arial" w:cs="Arial" w:eastAsia="Arial" w:hAnsi="Arial"/>
                <w:sz w:val="16"/>
                <w:szCs w:val="16"/>
                <w:color w:val="auto"/>
              </w:rPr>
              <w:t>ABSTAIN</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4"/>
        </w:trPr>
        <w:tc>
          <w:tcPr>
            <w:tcW w:w="2200" w:type="dxa"/>
            <w:vAlign w:val="bottom"/>
            <w:gridSpan w:val="2"/>
          </w:tcPr>
          <w:p>
            <w:pPr>
              <w:ind w:left="20"/>
              <w:spacing w:after="0"/>
              <w:rPr>
                <w:sz w:val="20"/>
                <w:szCs w:val="20"/>
                <w:color w:val="auto"/>
              </w:rPr>
            </w:pPr>
            <w:r>
              <w:rPr>
                <w:rFonts w:ascii="Arial" w:cs="Arial" w:eastAsia="Arial" w:hAnsi="Arial"/>
                <w:sz w:val="16"/>
                <w:szCs w:val="16"/>
                <w:color w:val="auto"/>
              </w:rPr>
              <w:t>compensation</w:t>
            </w:r>
          </w:p>
        </w:tc>
        <w:tc>
          <w:tcPr>
            <w:tcW w:w="2220" w:type="dxa"/>
            <w:vAlign w:val="bottom"/>
            <w:gridSpan w:val="2"/>
          </w:tcPr>
          <w:p>
            <w:pPr>
              <w:ind w:left="20"/>
              <w:spacing w:after="0"/>
              <w:rPr>
                <w:sz w:val="20"/>
                <w:szCs w:val="20"/>
                <w:color w:val="auto"/>
              </w:rPr>
            </w:pPr>
            <w:r>
              <w:rPr>
                <w:rFonts w:ascii="Arial" w:cs="Arial" w:eastAsia="Arial" w:hAnsi="Arial"/>
                <w:sz w:val="16"/>
                <w:szCs w:val="16"/>
                <w:color w:val="auto"/>
              </w:rPr>
              <w:t>this item</w:t>
            </w:r>
            <w:r>
              <w:rPr>
                <w:rFonts w:ascii="Arial" w:cs="Arial" w:eastAsia="Arial" w:hAnsi="Arial"/>
                <w:sz w:val="21"/>
                <w:szCs w:val="21"/>
                <w:color w:val="auto"/>
                <w:vertAlign w:val="superscript"/>
              </w:rPr>
              <w:t>(3)</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2"/>
        </w:trPr>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b w:val="1"/>
                <w:bCs w:val="1"/>
                <w:color w:val="auto"/>
              </w:rPr>
              <w:t xml:space="preserve">Proposal 3 - </w:t>
            </w:r>
            <w:r>
              <w:rPr>
                <w:rFonts w:ascii="Arial" w:cs="Arial" w:eastAsia="Arial" w:hAnsi="Arial"/>
                <w:sz w:val="16"/>
                <w:szCs w:val="16"/>
                <w:color w:val="auto"/>
              </w:rPr>
              <w:t>Ratification of</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Majority of votes present in</w:t>
            </w:r>
          </w:p>
        </w:tc>
        <w:tc>
          <w:tcPr>
            <w:tcW w:w="1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FOR,</w:t>
            </w:r>
          </w:p>
        </w:tc>
        <w:tc>
          <w:tcPr>
            <w:tcW w:w="1940" w:type="dxa"/>
            <w:vAlign w:val="bottom"/>
            <w:gridSpan w:val="2"/>
            <w:shd w:val="clear" w:color="auto" w:fill="D9D9D9"/>
          </w:tcPr>
          <w:p>
            <w:pPr>
              <w:jc w:val="center"/>
              <w:ind w:right="120"/>
              <w:spacing w:after="0"/>
              <w:rPr>
                <w:sz w:val="20"/>
                <w:szCs w:val="20"/>
                <w:color w:val="auto"/>
              </w:rPr>
            </w:pPr>
            <w:r>
              <w:rPr>
                <w:rFonts w:ascii="Arial" w:cs="Arial" w:eastAsia="Arial" w:hAnsi="Arial"/>
                <w:sz w:val="16"/>
                <w:szCs w:val="16"/>
                <w:color w:val="auto"/>
              </w:rPr>
              <w:t>FOR</w:t>
            </w:r>
          </w:p>
        </w:tc>
        <w:tc>
          <w:tcPr>
            <w:tcW w:w="1500" w:type="dxa"/>
            <w:vAlign w:val="bottom"/>
            <w:gridSpan w:val="2"/>
            <w:shd w:val="clear" w:color="auto" w:fill="D9D9D9"/>
          </w:tcPr>
          <w:p>
            <w:pPr>
              <w:jc w:val="center"/>
              <w:ind w:right="80"/>
              <w:spacing w:after="0"/>
              <w:rPr>
                <w:sz w:val="20"/>
                <w:szCs w:val="20"/>
                <w:color w:val="auto"/>
              </w:rPr>
            </w:pPr>
            <w:r>
              <w:rPr>
                <w:rFonts w:ascii="Arial" w:cs="Arial" w:eastAsia="Arial" w:hAnsi="Arial"/>
                <w:sz w:val="16"/>
                <w:szCs w:val="16"/>
                <w:color w:val="auto"/>
                <w:w w:val="94"/>
              </w:rPr>
              <w:t>Yes</w:t>
            </w:r>
          </w:p>
        </w:tc>
        <w:tc>
          <w:tcPr>
            <w:tcW w:w="1300" w:type="dxa"/>
            <w:vAlign w:val="bottom"/>
            <w:gridSpan w:val="2"/>
            <w:shd w:val="clear" w:color="auto" w:fill="D9D9D9"/>
          </w:tcPr>
          <w:p>
            <w:pPr>
              <w:jc w:val="center"/>
              <w:ind w:right="80"/>
              <w:spacing w:after="0"/>
              <w:rPr>
                <w:sz w:val="20"/>
                <w:szCs w:val="20"/>
                <w:color w:val="auto"/>
              </w:rPr>
            </w:pPr>
            <w:r>
              <w:rPr>
                <w:rFonts w:ascii="Arial" w:cs="Arial" w:eastAsia="Arial" w:hAnsi="Arial"/>
                <w:sz w:val="16"/>
                <w:szCs w:val="16"/>
                <w:color w:val="auto"/>
              </w:rPr>
              <w:t>Against</w:t>
            </w:r>
          </w:p>
        </w:tc>
        <w:tc>
          <w:tcPr>
            <w:tcW w:w="88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N/A</w:t>
            </w:r>
          </w:p>
        </w:tc>
      </w:tr>
      <w:tr>
        <w:trPr>
          <w:trHeight w:val="203"/>
        </w:trPr>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the appointment of Deloitte</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person (i.e., online) or by</w:t>
            </w:r>
          </w:p>
        </w:tc>
        <w:tc>
          <w:tcPr>
            <w:tcW w:w="1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AGAINST,</w:t>
            </w:r>
          </w:p>
        </w:tc>
        <w:tc>
          <w:tcPr>
            <w:tcW w:w="184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4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r>
      <w:tr>
        <w:trPr>
          <w:trHeight w:val="189"/>
        </w:trPr>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&amp; Touche LLP as our</w:t>
            </w:r>
          </w:p>
        </w:tc>
        <w:tc>
          <w:tcPr>
            <w:tcW w:w="222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proxy and entitled to vote on</w:t>
            </w:r>
          </w:p>
        </w:tc>
        <w:tc>
          <w:tcPr>
            <w:tcW w:w="1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ABSTAIN</w:t>
            </w:r>
          </w:p>
        </w:tc>
        <w:tc>
          <w:tcPr>
            <w:tcW w:w="184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42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120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880" w:type="dxa"/>
            <w:vAlign w:val="bottom"/>
            <w:shd w:val="clear" w:color="auto" w:fill="D9D9D9"/>
          </w:tcPr>
          <w:p>
            <w:pPr>
              <w:spacing w:after="0"/>
              <w:rPr>
                <w:sz w:val="16"/>
                <w:szCs w:val="16"/>
                <w:color w:val="auto"/>
              </w:rPr>
            </w:pPr>
          </w:p>
        </w:tc>
      </w:tr>
      <w:tr>
        <w:trPr>
          <w:trHeight w:val="203"/>
        </w:trPr>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independent registered</w:t>
            </w:r>
          </w:p>
        </w:tc>
        <w:tc>
          <w:tcPr>
            <w:tcW w:w="2220" w:type="dxa"/>
            <w:vAlign w:val="bottom"/>
            <w:gridSpan w:val="2"/>
            <w:shd w:val="clear" w:color="auto" w:fill="D9D9D9"/>
          </w:tcPr>
          <w:p>
            <w:pPr>
              <w:ind w:left="20"/>
              <w:spacing w:after="0" w:line="203" w:lineRule="exact"/>
              <w:rPr>
                <w:sz w:val="20"/>
                <w:szCs w:val="20"/>
                <w:color w:val="auto"/>
              </w:rPr>
            </w:pPr>
            <w:r>
              <w:rPr>
                <w:rFonts w:ascii="Arial" w:cs="Arial" w:eastAsia="Arial" w:hAnsi="Arial"/>
                <w:sz w:val="16"/>
                <w:szCs w:val="16"/>
                <w:color w:val="auto"/>
              </w:rPr>
              <w:t>this item</w:t>
            </w:r>
            <w:r>
              <w:rPr>
                <w:rFonts w:ascii="Arial" w:cs="Arial" w:eastAsia="Arial" w:hAnsi="Arial"/>
                <w:sz w:val="21"/>
                <w:szCs w:val="21"/>
                <w:color w:val="auto"/>
                <w:vertAlign w:val="superscript"/>
              </w:rPr>
              <w:t>(3)</w:t>
            </w:r>
          </w:p>
        </w:tc>
        <w:tc>
          <w:tcPr>
            <w:tcW w:w="110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84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142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r>
      <w:tr>
        <w:trPr>
          <w:trHeight w:val="189"/>
        </w:trPr>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public accounting firm for</w:t>
            </w:r>
          </w:p>
        </w:tc>
        <w:tc>
          <w:tcPr>
            <w:tcW w:w="21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10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84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42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120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880" w:type="dxa"/>
            <w:vAlign w:val="bottom"/>
            <w:shd w:val="clear" w:color="auto" w:fill="D9D9D9"/>
          </w:tcPr>
          <w:p>
            <w:pPr>
              <w:spacing w:after="0"/>
              <w:rPr>
                <w:sz w:val="16"/>
                <w:szCs w:val="16"/>
                <w:color w:val="auto"/>
              </w:rPr>
            </w:pPr>
          </w:p>
        </w:tc>
      </w:tr>
      <w:tr>
        <w:trPr>
          <w:trHeight w:val="189"/>
        </w:trPr>
        <w:tc>
          <w:tcPr>
            <w:tcW w:w="2200" w:type="dxa"/>
            <w:vAlign w:val="bottom"/>
            <w:gridSpan w:val="2"/>
            <w:shd w:val="clear" w:color="auto" w:fill="D9D9D9"/>
          </w:tcPr>
          <w:p>
            <w:pPr>
              <w:ind w:left="20"/>
              <w:spacing w:after="0"/>
              <w:rPr>
                <w:sz w:val="20"/>
                <w:szCs w:val="20"/>
                <w:color w:val="auto"/>
              </w:rPr>
            </w:pPr>
            <w:r>
              <w:rPr>
                <w:rFonts w:ascii="Arial" w:cs="Arial" w:eastAsia="Arial" w:hAnsi="Arial"/>
                <w:sz w:val="16"/>
                <w:szCs w:val="16"/>
                <w:color w:val="auto"/>
              </w:rPr>
              <w:t>the fiscal year ending</w:t>
            </w:r>
          </w:p>
        </w:tc>
        <w:tc>
          <w:tcPr>
            <w:tcW w:w="21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10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84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42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120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880" w:type="dxa"/>
            <w:vAlign w:val="bottom"/>
            <w:shd w:val="clear" w:color="auto" w:fill="D9D9D9"/>
          </w:tcPr>
          <w:p>
            <w:pPr>
              <w:spacing w:after="0"/>
              <w:rPr>
                <w:sz w:val="16"/>
                <w:szCs w:val="16"/>
                <w:color w:val="auto"/>
              </w:rPr>
            </w:pPr>
          </w:p>
        </w:tc>
      </w:tr>
      <w:tr>
        <w:trPr>
          <w:trHeight w:val="224"/>
        </w:trPr>
        <w:tc>
          <w:tcPr>
            <w:tcW w:w="220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6"/>
                <w:szCs w:val="16"/>
                <w:color w:val="auto"/>
              </w:rPr>
              <w:t>February 28, 2026</w:t>
            </w:r>
          </w:p>
        </w:tc>
        <w:tc>
          <w:tcPr>
            <w:tcW w:w="2120" w:type="dxa"/>
            <w:vAlign w:val="bottom"/>
            <w:tcBorders>
              <w:bottom w:val="single" w:sz="8" w:color="D9D9D9"/>
            </w:tcBorders>
            <w:shd w:val="clear" w:color="auto" w:fill="D9D9D9"/>
          </w:tcPr>
          <w:p>
            <w:pPr>
              <w:spacing w:after="0"/>
              <w:rPr>
                <w:sz w:val="19"/>
                <w:szCs w:val="19"/>
                <w:color w:val="auto"/>
              </w:rPr>
            </w:pPr>
          </w:p>
        </w:tc>
        <w:tc>
          <w:tcPr>
            <w:tcW w:w="100" w:type="dxa"/>
            <w:vAlign w:val="bottom"/>
            <w:tcBorders>
              <w:bottom w:val="single" w:sz="8" w:color="D9D9D9"/>
            </w:tcBorders>
            <w:shd w:val="clear" w:color="auto" w:fill="D9D9D9"/>
          </w:tcPr>
          <w:p>
            <w:pPr>
              <w:spacing w:after="0"/>
              <w:rPr>
                <w:sz w:val="19"/>
                <w:szCs w:val="19"/>
                <w:color w:val="auto"/>
              </w:rPr>
            </w:pPr>
          </w:p>
        </w:tc>
        <w:tc>
          <w:tcPr>
            <w:tcW w:w="1100" w:type="dxa"/>
            <w:vAlign w:val="bottom"/>
            <w:tcBorders>
              <w:bottom w:val="single" w:sz="8" w:color="D9D9D9"/>
            </w:tcBorders>
            <w:shd w:val="clear" w:color="auto" w:fill="D9D9D9"/>
          </w:tcPr>
          <w:p>
            <w:pPr>
              <w:spacing w:after="0"/>
              <w:rPr>
                <w:sz w:val="19"/>
                <w:szCs w:val="19"/>
                <w:color w:val="auto"/>
              </w:rPr>
            </w:pPr>
          </w:p>
        </w:tc>
        <w:tc>
          <w:tcPr>
            <w:tcW w:w="100" w:type="dxa"/>
            <w:vAlign w:val="bottom"/>
            <w:tcBorders>
              <w:bottom w:val="single" w:sz="8" w:color="D9D9D9"/>
            </w:tcBorders>
            <w:shd w:val="clear" w:color="auto" w:fill="D9D9D9"/>
          </w:tcPr>
          <w:p>
            <w:pPr>
              <w:spacing w:after="0"/>
              <w:rPr>
                <w:sz w:val="19"/>
                <w:szCs w:val="19"/>
                <w:color w:val="auto"/>
              </w:rPr>
            </w:pPr>
          </w:p>
        </w:tc>
        <w:tc>
          <w:tcPr>
            <w:tcW w:w="1840" w:type="dxa"/>
            <w:vAlign w:val="bottom"/>
            <w:tcBorders>
              <w:bottom w:val="single" w:sz="8" w:color="D9D9D9"/>
            </w:tcBorders>
            <w:shd w:val="clear" w:color="auto" w:fill="D9D9D9"/>
          </w:tcPr>
          <w:p>
            <w:pPr>
              <w:spacing w:after="0"/>
              <w:rPr>
                <w:sz w:val="19"/>
                <w:szCs w:val="19"/>
                <w:color w:val="auto"/>
              </w:rPr>
            </w:pPr>
          </w:p>
        </w:tc>
        <w:tc>
          <w:tcPr>
            <w:tcW w:w="100" w:type="dxa"/>
            <w:vAlign w:val="bottom"/>
            <w:tcBorders>
              <w:bottom w:val="single" w:sz="8" w:color="D9D9D9"/>
            </w:tcBorders>
            <w:shd w:val="clear" w:color="auto" w:fill="D9D9D9"/>
          </w:tcPr>
          <w:p>
            <w:pPr>
              <w:spacing w:after="0"/>
              <w:rPr>
                <w:sz w:val="19"/>
                <w:szCs w:val="19"/>
                <w:color w:val="auto"/>
              </w:rPr>
            </w:pPr>
          </w:p>
        </w:tc>
        <w:tc>
          <w:tcPr>
            <w:tcW w:w="1420" w:type="dxa"/>
            <w:vAlign w:val="bottom"/>
            <w:tcBorders>
              <w:bottom w:val="single" w:sz="8" w:color="D9D9D9"/>
            </w:tcBorders>
            <w:shd w:val="clear" w:color="auto" w:fill="D9D9D9"/>
          </w:tcPr>
          <w:p>
            <w:pPr>
              <w:spacing w:after="0"/>
              <w:rPr>
                <w:sz w:val="19"/>
                <w:szCs w:val="19"/>
                <w:color w:val="auto"/>
              </w:rPr>
            </w:pPr>
          </w:p>
        </w:tc>
        <w:tc>
          <w:tcPr>
            <w:tcW w:w="80" w:type="dxa"/>
            <w:vAlign w:val="bottom"/>
            <w:tcBorders>
              <w:bottom w:val="single" w:sz="8" w:color="D9D9D9"/>
            </w:tcBorders>
            <w:shd w:val="clear" w:color="auto" w:fill="D9D9D9"/>
          </w:tcPr>
          <w:p>
            <w:pPr>
              <w:spacing w:after="0"/>
              <w:rPr>
                <w:sz w:val="19"/>
                <w:szCs w:val="19"/>
                <w:color w:val="auto"/>
              </w:rPr>
            </w:pPr>
          </w:p>
        </w:tc>
        <w:tc>
          <w:tcPr>
            <w:tcW w:w="1200" w:type="dxa"/>
            <w:vAlign w:val="bottom"/>
            <w:tcBorders>
              <w:bottom w:val="single" w:sz="8" w:color="D9D9D9"/>
            </w:tcBorders>
            <w:shd w:val="clear" w:color="auto" w:fill="D9D9D9"/>
          </w:tcPr>
          <w:p>
            <w:pPr>
              <w:spacing w:after="0"/>
              <w:rPr>
                <w:sz w:val="19"/>
                <w:szCs w:val="19"/>
                <w:color w:val="auto"/>
              </w:rPr>
            </w:pPr>
          </w:p>
        </w:tc>
        <w:tc>
          <w:tcPr>
            <w:tcW w:w="100" w:type="dxa"/>
            <w:vAlign w:val="bottom"/>
            <w:tcBorders>
              <w:bottom w:val="single" w:sz="8" w:color="D9D9D9"/>
            </w:tcBorders>
            <w:shd w:val="clear" w:color="auto" w:fill="D9D9D9"/>
          </w:tcPr>
          <w:p>
            <w:pPr>
              <w:spacing w:after="0"/>
              <w:rPr>
                <w:sz w:val="19"/>
                <w:szCs w:val="19"/>
                <w:color w:val="auto"/>
              </w:rPr>
            </w:pPr>
          </w:p>
        </w:tc>
        <w:tc>
          <w:tcPr>
            <w:tcW w:w="880" w:type="dxa"/>
            <w:vAlign w:val="bottom"/>
            <w:tcBorders>
              <w:bottom w:val="single" w:sz="8" w:color="D9D9D9"/>
            </w:tcBorders>
            <w:shd w:val="clear" w:color="auto" w:fill="D9D9D9"/>
          </w:tcPr>
          <w:p>
            <w:pPr>
              <w:spacing w:after="0"/>
              <w:rPr>
                <w:sz w:val="19"/>
                <w:szCs w:val="19"/>
                <w:color w:val="auto"/>
              </w:rPr>
            </w:pPr>
          </w:p>
        </w:tc>
      </w:tr>
      <w:tr>
        <w:trPr>
          <w:trHeight w:val="223"/>
        </w:trPr>
        <w:tc>
          <w:tcPr>
            <w:tcW w:w="2120" w:type="dxa"/>
            <w:vAlign w:val="bottom"/>
          </w:tcPr>
          <w:p>
            <w:pPr>
              <w:spacing w:after="0"/>
              <w:rPr>
                <w:sz w:val="20"/>
                <w:szCs w:val="20"/>
                <w:color w:val="auto"/>
              </w:rPr>
            </w:pPr>
            <w:r>
              <w:rPr>
                <w:rFonts w:ascii="Arial" w:cs="Arial" w:eastAsia="Arial" w:hAnsi="Arial"/>
                <w:sz w:val="11"/>
                <w:szCs w:val="11"/>
                <w:color w:val="auto"/>
              </w:rPr>
              <w:t>___________________________</w:t>
            </w: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82" w:lineRule="exact"/>
        <w:rPr>
          <w:sz w:val="20"/>
          <w:szCs w:val="20"/>
          <w:color w:val="auto"/>
        </w:rPr>
      </w:pPr>
    </w:p>
    <w:p>
      <w:pPr>
        <w:jc w:val="both"/>
        <w:ind w:left="500" w:hanging="492"/>
        <w:spacing w:after="0" w:line="259" w:lineRule="auto"/>
        <w:tabs>
          <w:tab w:leader="none" w:pos="4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“broker non-vote” occurs when a nominee holding shares for a beneficial owner does not vote on a particular proposal because the nominee does not have discretionary voting power with respect to that proposal and has not received voting instructions from the beneficial owner. If a broker returns a “non-vote” proxy indicating a lack of authority to vote on a proposal, then the shares covered by such a “non-vote” proxy will be deemed present at the meeting for purposes of determining a quorum, but generally are not counted or deemed to be present in person or by proxy for the purpose of voting on Proposals 1 and 2.</w:t>
      </w:r>
    </w:p>
    <w:p>
      <w:pPr>
        <w:spacing w:after="0" w:line="71" w:lineRule="exact"/>
        <w:rPr>
          <w:rFonts w:ascii="Arial" w:cs="Arial" w:eastAsia="Arial" w:hAnsi="Arial"/>
          <w:sz w:val="18"/>
          <w:szCs w:val="18"/>
          <w:color w:val="auto"/>
        </w:rPr>
      </w:pPr>
    </w:p>
    <w:p>
      <w:pPr>
        <w:jc w:val="both"/>
        <w:ind w:left="500" w:hanging="492"/>
        <w:spacing w:after="0" w:line="255" w:lineRule="auto"/>
        <w:tabs>
          <w:tab w:leader="none" w:pos="4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Section 5.02 of the Company’s Articles of Incorporation requires that a director nominee will be elected only if they receive a majority of the votes cast with respect to their election in an uncontested election, that is, the number of shares “for” that nominee exceeds the number of votes cast “against” that nominee. A vote to “abstain” will not have any effect on determining the election results. If a director nominee is not elected and the nominee is an incumbent director, that director shall promptly tender their resignation to the Board of Directors, subject to acceptance by the Board of Directors. In that event, the Nominating and Corporate Governance Committee must make a recommendation to the Board on whether to accept or reject the tender of resignation. The Board, after taking into account the recommendation, must publicly disclose its decision and rationale within 90 days after the election. The director who failed to receive a majority vote will not participate in the decision.</w:t>
      </w:r>
    </w:p>
    <w:p>
      <w:pPr>
        <w:spacing w:after="0" w:line="76" w:lineRule="exact"/>
        <w:rPr>
          <w:rFonts w:ascii="Arial" w:cs="Arial" w:eastAsia="Arial" w:hAnsi="Arial"/>
          <w:sz w:val="18"/>
          <w:szCs w:val="18"/>
          <w:color w:val="auto"/>
        </w:rPr>
      </w:pPr>
    </w:p>
    <w:p>
      <w:pPr>
        <w:ind w:left="500" w:hanging="492"/>
        <w:spacing w:after="0" w:line="287" w:lineRule="auto"/>
        <w:tabs>
          <w:tab w:leader="none" w:pos="4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voting standard assumes that the number of shares voted in favor of such proposal constitute more than 25% of the outstanding shares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How can I ask questions during the Annual Meeting?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may submit questions in real time during the Annual Meeting following the formal business portion of the meeting, by entering them into the field provided on the meeting website. The directors and executive management will answer appropriate questions from shareholders. To allow us to answer questions from as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1" w:name="page82"/>
    <w:bookmarkEnd w:id="81"/>
    <w:p>
      <w:pPr>
        <w:spacing w:after="0" w:line="287" w:lineRule="auto"/>
        <w:rPr>
          <w:sz w:val="20"/>
          <w:szCs w:val="20"/>
          <w:color w:val="auto"/>
        </w:rPr>
      </w:pPr>
      <w:r>
        <w:rPr>
          <w:rFonts w:ascii="Arial" w:cs="Arial" w:eastAsia="Arial" w:hAnsi="Arial"/>
          <w:sz w:val="18"/>
          <w:szCs w:val="18"/>
          <w:color w:val="auto"/>
        </w:rPr>
        <w:t>many shareholders as possible, we will limit each shareholder to two questions. It will help us if questions are succinct and cover only one topic.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How do I cast my vote?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Your vote is important</w:t>
      </w:r>
      <w:r>
        <w:rPr>
          <w:rFonts w:ascii="Arial" w:cs="Arial" w:eastAsia="Arial" w:hAnsi="Arial"/>
          <w:sz w:val="18"/>
          <w:szCs w:val="18"/>
          <w:color w:val="auto"/>
        </w:rPr>
        <w:t>. If you are a shareholder of record, you can give a proxy to be voted at the Annual Meeting in any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ways:</w:t>
      </w:r>
    </w:p>
    <w:p>
      <w:pPr>
        <w:spacing w:after="0" w:line="153" w:lineRule="exact"/>
        <w:rPr>
          <w:sz w:val="20"/>
          <w:szCs w:val="20"/>
          <w:color w:val="auto"/>
        </w:rPr>
      </w:pPr>
    </w:p>
    <w:p>
      <w:pPr>
        <w:ind w:left="660" w:hanging="328"/>
        <w:spacing w:after="0" w:line="28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electronically via the Internet by following the “Vote by Internet” instructions on the Notice or, if you received paper copies of our proxy materials, on the enclosed proxy card;</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by telephone by following the “Vote by Telephone” instructions on the Notice or, if you received paper copies of our proxy materials, on the proxy card;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by completing, signing and mailing the proxy card (if you received paper copies of our proxy materials);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by attending the virtual Annual Meeting and voting online on the meeting website.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you are an employee and received our 2025 proxy materials electronically via the Internet at your company email address, you will only be able to give a proxy to be voted at the Annual Meeting electronically via the Internet as described under “How do I vote if my shares are held in the Employee Stock Purchase Plan or other plans of Apogee?” below.</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you hold your shares in street name, you must vote your shares in the manner prescribed by your broker or other nominee. Your broker or other nominee has enclosed or otherwise provided a voting instruction card for you to use in directing the broker or other nominee how to vote your shares.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you properly submit your proxy via the Internet, by telephone or return your executed proxy by mail and do not revoke your proxy, it will be voted in the manner you specify. If you submit a proxy without giving specific voting instructions, the proxies will vote those shares as recommended by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How do I vote if my shares are held in the Employee Stock Purchase Plan or other plans of Apogee?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If you hold any shares in our Employee Stock Purchase Plan or other plans of Apogee, your Internet proxy vote or completed proxy card will serve as voting instructions to the plan trustee or plan custodian, as applicable. </w:t>
      </w:r>
      <w:r>
        <w:rPr>
          <w:rFonts w:ascii="Arial" w:cs="Arial" w:eastAsia="Arial" w:hAnsi="Arial"/>
          <w:sz w:val="18"/>
          <w:szCs w:val="18"/>
          <w:b w:val="1"/>
          <w:bCs w:val="1"/>
          <w:u w:val="single" w:color="auto"/>
          <w:color w:val="auto"/>
        </w:rPr>
        <w:t>However, your voting instructions for these plans must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be received by 12:00 p.m. (noon) Eastern Time on Monday, June 23, 2025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highlight w:val="white"/>
        </w:rPr>
        <w:t>order to count</w:t>
      </w:r>
      <w:r>
        <w:rPr>
          <w:rFonts w:ascii="Arial" w:cs="Arial" w:eastAsia="Arial" w:hAnsi="Arial"/>
          <w:sz w:val="18"/>
          <w:szCs w:val="18"/>
          <w:color w:val="auto"/>
          <w:highlight w:val="white"/>
        </w:rPr>
        <w:t>. If you are a participant in our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Stock Purchase Plan, the plan custodian cannot vote your shares unless it receives timely instructions from you.</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If you hold shares in our Employee Stock Purchase Plan or other plans of Apogee and have a company email address, you will receive our 2025 Proxy Statement and 2025 Annual Report to Shareholders electronically at your company email address instead of receiving paper copies of these documents in the mail. The email will provide instructions and a control number to use to provide voting instructions to the plan trustee via the Internet. </w:t>
      </w:r>
      <w:r>
        <w:rPr>
          <w:rFonts w:ascii="Arial" w:cs="Arial" w:eastAsia="Arial" w:hAnsi="Arial"/>
          <w:sz w:val="18"/>
          <w:szCs w:val="18"/>
          <w:u w:val="single" w:color="auto"/>
          <w:color w:val="auto"/>
        </w:rPr>
        <w:t>If you receive our 2025 Proxy Statement and 2025 Annual Report to Shareholders electronically, you may only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 voting instructions to the plan trustee or plan custodian, as applicable, via the Internet and you will not receive a proxy card that can be returned by mail</w:t>
      </w:r>
      <w:r>
        <w:rPr>
          <w:rFonts w:ascii="Arial" w:cs="Arial" w:eastAsia="Arial" w:hAnsi="Arial"/>
          <w:sz w:val="18"/>
          <w:szCs w:val="18"/>
          <w:color w:val="auto"/>
        </w:rPr>
        <w:t>.</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you are an employee who received our 2025 Proxy Statement and 2025 Annual Report to Shareholders electronically and you wish to receive a paper copy of these materials, you should contact:</w:t>
      </w:r>
    </w:p>
    <w:p>
      <w:pPr>
        <w:spacing w:after="0" w:line="207" w:lineRule="exact"/>
        <w:rPr>
          <w:sz w:val="20"/>
          <w:szCs w:val="20"/>
          <w:color w:val="auto"/>
        </w:rPr>
      </w:pPr>
    </w:p>
    <w:p>
      <w:pPr>
        <w:ind w:left="3020"/>
        <w:spacing w:after="0"/>
        <w:tabs>
          <w:tab w:leader="none" w:pos="4720" w:val="left"/>
        </w:tabs>
        <w:rPr>
          <w:sz w:val="20"/>
          <w:szCs w:val="20"/>
          <w:color w:val="auto"/>
        </w:rPr>
      </w:pPr>
      <w:r>
        <w:rPr>
          <w:rFonts w:ascii="Arial" w:cs="Arial" w:eastAsia="Arial" w:hAnsi="Arial"/>
          <w:sz w:val="18"/>
          <w:szCs w:val="18"/>
          <w:color w:val="auto"/>
        </w:rPr>
        <w:t>Internet:</w:t>
      </w:r>
      <w:r>
        <w:rPr>
          <w:sz w:val="20"/>
          <w:szCs w:val="20"/>
          <w:color w:val="auto"/>
        </w:rPr>
        <w:tab/>
      </w:r>
      <w:r>
        <w:rPr>
          <w:rFonts w:ascii="Arial" w:cs="Arial" w:eastAsia="Arial" w:hAnsi="Arial"/>
          <w:sz w:val="18"/>
          <w:szCs w:val="18"/>
          <w:color w:val="auto"/>
        </w:rPr>
        <w:t>www.apog.com</w:t>
      </w:r>
    </w:p>
    <w:p>
      <w:pPr>
        <w:spacing w:after="0" w:line="63" w:lineRule="exact"/>
        <w:rPr>
          <w:sz w:val="20"/>
          <w:szCs w:val="20"/>
          <w:color w:val="auto"/>
        </w:rPr>
      </w:pPr>
    </w:p>
    <w:p>
      <w:pPr>
        <w:ind w:left="3020"/>
        <w:spacing w:after="0"/>
        <w:tabs>
          <w:tab w:leader="none" w:pos="47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IR@apog.com</w:t>
      </w:r>
    </w:p>
    <w:p>
      <w:pPr>
        <w:spacing w:after="0" w:line="63" w:lineRule="exact"/>
        <w:rPr>
          <w:sz w:val="20"/>
          <w:szCs w:val="20"/>
          <w:color w:val="auto"/>
        </w:rPr>
      </w:pPr>
    </w:p>
    <w:p>
      <w:pPr>
        <w:ind w:left="3020"/>
        <w:spacing w:after="0"/>
        <w:tabs>
          <w:tab w:leader="none" w:pos="47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(877) 752-3432</w:t>
      </w:r>
    </w:p>
    <w:p>
      <w:pPr>
        <w:spacing w:after="0" w:line="63" w:lineRule="exact"/>
        <w:rPr>
          <w:sz w:val="20"/>
          <w:szCs w:val="20"/>
          <w:color w:val="auto"/>
        </w:rPr>
      </w:pPr>
    </w:p>
    <w:p>
      <w:pPr>
        <w:ind w:left="3020"/>
        <w:spacing w:after="0"/>
        <w:tabs>
          <w:tab w:leader="none" w:pos="4720" w:val="left"/>
        </w:tabs>
        <w:rPr>
          <w:sz w:val="20"/>
          <w:szCs w:val="20"/>
          <w:color w:val="auto"/>
        </w:rPr>
      </w:pPr>
      <w:r>
        <w:rPr>
          <w:rFonts w:ascii="Arial" w:cs="Arial" w:eastAsia="Arial" w:hAnsi="Arial"/>
          <w:sz w:val="18"/>
          <w:szCs w:val="18"/>
          <w:color w:val="auto"/>
        </w:rPr>
        <w:t>Mail:</w:t>
      </w:r>
      <w:r>
        <w:rPr>
          <w:sz w:val="20"/>
          <w:szCs w:val="20"/>
          <w:color w:val="auto"/>
        </w:rPr>
        <w:tab/>
      </w:r>
      <w:r>
        <w:rPr>
          <w:rFonts w:ascii="Arial" w:cs="Arial" w:eastAsia="Arial" w:hAnsi="Arial"/>
          <w:sz w:val="18"/>
          <w:szCs w:val="18"/>
          <w:color w:val="auto"/>
        </w:rPr>
        <w:t>Investor Relations</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Apogee Enterprises, Inc.</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4400 West 78th Street, Suite 520</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Minneapolis, Minnesota 55435</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b w:val="1"/>
          <w:bCs w:val="1"/>
          <w:color w:val="05445E"/>
        </w:rPr>
        <w:t>What does it mean if I receive more than one proxy card?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you receive more than one proxy card, it means that you hold shares registered in more than one account in different names or variations of your name. To ensure that all of your shares are voted, if you submit your proxy vote via the Internet or by telephone vote once for each proxy card you received or sign and return each proxy card.</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You may prefer to hold your shares in more than one account, and you are welcome to do so. However, please contact our Investor Relations Department at IR@apog.com or (877) 752-3432 (telephone) for information on how to merge your accounts.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Who will count the vote?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Representatives of Broadridge Financial Solutions, Inc., our tabulating agent, will tabulate the votes and act as independent inspector of election.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What if I do not specify how I want my shares voted?</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If you submit your proxy via the Internet or telephone or a signed proxy card and do not specify how you want to vote your shares, we will vote your shares </w:t>
      </w:r>
      <w:r>
        <w:rPr>
          <w:rFonts w:ascii="Arial" w:cs="Arial" w:eastAsia="Arial" w:hAnsi="Arial"/>
          <w:sz w:val="18"/>
          <w:szCs w:val="18"/>
          <w:b w:val="1"/>
          <w:bCs w:val="1"/>
          <w:color w:val="auto"/>
        </w:rPr>
        <w:t>FOR all nominees and proposals.</w:t>
      </w:r>
      <w:r>
        <w:rPr>
          <w:rFonts w:ascii="Arial" w:cs="Arial" w:eastAsia="Arial" w:hAnsi="Arial"/>
          <w:sz w:val="18"/>
          <w:szCs w:val="18"/>
          <w:color w:val="auto"/>
        </w:rPr>
        <w:t xml:space="preserve"> As of the date of this Proxy Statement, we know of no other matters that will be presented for a shareholder vote at the Annual Meeting. If any other matters properly come before the Annual Meeting for a shareholder vote, they will be voted in the discretion of the persons named in the proxy.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Can I change my vote after submitting my proxy or voting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Yes. If you are a shareholder of record, you may revoke your proxy and change your vote at any time before your proxy is voted at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in any of the following ways:</w:t>
      </w:r>
    </w:p>
    <w:p>
      <w:pPr>
        <w:spacing w:after="0" w:line="207"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sending a written notice of revocation to our Corporate Secretary;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submitting a later-dated proxy to our Corporate Secretary;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submitting a later-dated proxy via the Internet;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submitting a later-dated proxy by telephone;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voting in person at the meeting.</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If you hold your shares in street name, you should contact your broker, bank, trust or other nominee for information on how to revoke your voting instructions and provide new voting instructions.</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If you hold shares in our Employee Stock Purchase Plan or other plans of Apogee, you may revoke your proxy and change your voting instructions at any time, but no later than 12:00 p.m. (noon) Eastern Time on Monday, June 23, 2025, in any of the following ways:</w:t>
      </w:r>
    </w:p>
    <w:p>
      <w:pPr>
        <w:spacing w:after="0" w:line="153"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by sending a written notice of revocation to the plan trustee or plan custodian;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by submitting a later-dated voting instruction or proxy to the plan trustee or plan custodian;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by submitting a later-dated voting instruction or proxy via the Internet;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by submitting a later-dated voting instruction by 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05445E"/>
        </w:rPr>
        <w:t>How can I get a copy of the Company’s 2025 Annual Report on Form 10-K?</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Shareholders who wish to obtain additional copies of our 2025 Annual Report to Shareholders on Form 10-K may do so without charge by contacting us through one of the following methods:</w:t>
      </w:r>
    </w:p>
    <w:p>
      <w:pPr>
        <w:sectPr>
          <w:pgSz w:w="11900" w:h="16838" w:orient="portrait"/>
          <w:cols w:equalWidth="0" w:num="1">
            <w:col w:w="11240"/>
          </w:cols>
          <w:pgMar w:left="320" w:top="1147" w:right="339" w:bottom="1440" w:gutter="0" w:footer="0" w:header="0"/>
        </w:sectPr>
      </w:pPr>
    </w:p>
    <w:p>
      <w:pPr>
        <w:spacing w:after="0" w:line="207"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Internet: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www.apog.com</w:t>
      </w:r>
    </w:p>
    <w:p>
      <w:pPr>
        <w:spacing w:after="0" w:line="75" w:lineRule="exact"/>
        <w:rPr>
          <w:sz w:val="20"/>
          <w:szCs w:val="20"/>
          <w:color w:val="auto"/>
        </w:rPr>
      </w:pPr>
    </w:p>
    <w:p>
      <w:pPr>
        <w:sectPr>
          <w:pgSz w:w="11900" w:h="16838" w:orient="portrait"/>
          <w:cols w:equalWidth="0" w:num="2">
            <w:col w:w="4020" w:space="720"/>
            <w:col w:w="6500"/>
          </w:cols>
          <w:pgMar w:left="320" w:top="1147" w:right="339" w:bottom="1440" w:gutter="0" w:footer="0" w:header="0"/>
          <w:type w:val="continuous"/>
        </w:sectPr>
      </w:pPr>
    </w:p>
    <w:p>
      <w:pPr>
        <w:ind w:left="302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IR@apog.com</w:t>
      </w:r>
    </w:p>
    <w:p>
      <w:pPr>
        <w:spacing w:after="0" w:line="75" w:lineRule="exact"/>
        <w:rPr>
          <w:sz w:val="20"/>
          <w:szCs w:val="20"/>
          <w:color w:val="auto"/>
        </w:rPr>
      </w:pPr>
    </w:p>
    <w:p>
      <w:pPr>
        <w:sectPr>
          <w:pgSz w:w="11900" w:h="16838" w:orient="portrait"/>
          <w:cols w:equalWidth="0" w:num="2">
            <w:col w:w="4020" w:space="720"/>
            <w:col w:w="6500"/>
          </w:cols>
          <w:pgMar w:left="320" w:top="1147" w:right="339" w:bottom="1440" w:gutter="0" w:footer="0" w:header="0"/>
          <w:type w:val="continuous"/>
        </w:sectPr>
      </w:pPr>
    </w:p>
    <w:p>
      <w:pPr>
        <w:ind w:left="3020"/>
        <w:spacing w:after="0"/>
        <w:rPr>
          <w:sz w:val="20"/>
          <w:szCs w:val="20"/>
          <w:color w:val="auto"/>
        </w:rPr>
      </w:pPr>
      <w:r>
        <w:rPr>
          <w:rFonts w:ascii="Arial" w:cs="Arial" w:eastAsia="Arial" w:hAnsi="Arial"/>
          <w:sz w:val="17"/>
          <w:szCs w:val="17"/>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(877) 752-3432</w:t>
      </w:r>
    </w:p>
    <w:p>
      <w:pPr>
        <w:spacing w:after="0" w:line="75" w:lineRule="exact"/>
        <w:rPr>
          <w:sz w:val="20"/>
          <w:szCs w:val="20"/>
          <w:color w:val="auto"/>
        </w:rPr>
      </w:pPr>
    </w:p>
    <w:p>
      <w:pPr>
        <w:sectPr>
          <w:pgSz w:w="11900" w:h="16838" w:orient="portrait"/>
          <w:cols w:equalWidth="0" w:num="2">
            <w:col w:w="4020" w:space="720"/>
            <w:col w:w="6500"/>
          </w:cols>
          <w:pgMar w:left="320" w:top="1147" w:right="339" w:bottom="1440" w:gutter="0" w:footer="0" w:header="0"/>
          <w:type w:val="continuous"/>
        </w:sectPr>
      </w:pPr>
    </w:p>
    <w:p>
      <w:pPr>
        <w:ind w:left="3020"/>
        <w:spacing w:after="0"/>
        <w:rPr>
          <w:sz w:val="20"/>
          <w:szCs w:val="20"/>
          <w:color w:val="auto"/>
        </w:rPr>
      </w:pPr>
      <w:r>
        <w:rPr>
          <w:rFonts w:ascii="Arial" w:cs="Arial" w:eastAsia="Arial" w:hAnsi="Arial"/>
          <w:sz w:val="18"/>
          <w:szCs w:val="18"/>
          <w:color w:val="auto"/>
        </w:rPr>
        <w:t>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Apogee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4400 West 78th Street, Suite 520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55435</w:t>
      </w:r>
    </w:p>
    <w:p>
      <w:pPr>
        <w:spacing w:after="0" w:line="200" w:lineRule="exact"/>
        <w:rPr>
          <w:sz w:val="20"/>
          <w:szCs w:val="20"/>
          <w:color w:val="auto"/>
        </w:rPr>
      </w:pPr>
    </w:p>
    <w:p>
      <w:pPr>
        <w:sectPr>
          <w:pgSz w:w="11900" w:h="16838" w:orient="portrait"/>
          <w:cols w:equalWidth="0" w:num="2">
            <w:col w:w="4020" w:space="720"/>
            <w:col w:w="6500"/>
          </w:cols>
          <w:pgMar w:left="320" w:top="1147"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How do I get electronic access to the proxy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Notice provides you with instructions regarding how to view the proxy materials for the Annual Meeting on the Internet.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Our 2025 Proxy Statement and 2025 Annual Report to Shareholders, including our Annual Report on Form 10-K,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What is a proxy?</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proxy is your designation of another person to vote stock you own. That other person is called a proxy. If you designate someone as your proxy in a written document, that document also is called a proxy or a proxy card. When you designate someone a proxy, you may also direct the proxy how to vote your shares. We refer to this as your “proxy vote.” Three of our executive officers, Ty R. Silberhorn, Matthew J. Osberg and Meghan M. Elliott, have been designated as the proxies for shareholders voting on the enclosed proxy card at the Annual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What is the difference between a shareholder of record and a “street name”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your shares are registered directly in your name, you are considered the shareholder of record with respect to those shares.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your shares are held in a stock brokerage account or by a bank, trust or other nominee, then the broker, bank, trust or other nominee is considered to be the shareholder of record with respect to those shares. However, you still are considered the beneficial owner of those shares, and your shares are said to be held in “street name.” Street name holders generally cannot vote their shares directly and must instead instruct the broker, bank, trust or other nominee how to vote their shares using the voting instruction form provided by the broker, bank, trust or other nominee.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Who pays for the cost of proxy preparation and solicitation?</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pay for the cost of proxy preparation and solicitation, including the reasonable charges and expenses of brokers and other nominees for forwarding proxy materials to the beneficial owners of our shares.</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are soliciting proxies primarily by mail and email. In addition, some of our officers and regular employees may solicit the return of proxies by telephone, facsimile, personal interview or email. These individuals will receive no additional compensation for these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How can I recommend or nominate a director candidate?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Nominating and Corporate Governance Committee considers recommendations of director candidates. A shareholder who wishes to recommend a director candidate to our Nominating and Corporate Governance Committee for nomination by our Board of Directors at our next annual meeting, or for vacancies on our Board of Directors that arise between meetings, must provide our Nominating and Corporate Governance Committee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84" w:name="page85"/>
    <w:bookmarkEnd w:id="84"/>
    <w:p>
      <w:pPr>
        <w:jc w:val="both"/>
        <w:spacing w:after="0" w:line="257" w:lineRule="auto"/>
        <w:rPr>
          <w:sz w:val="20"/>
          <w:szCs w:val="20"/>
          <w:color w:val="auto"/>
        </w:rPr>
      </w:pPr>
      <w:r>
        <w:rPr>
          <w:rFonts w:ascii="Arial" w:cs="Arial" w:eastAsia="Arial" w:hAnsi="Arial"/>
          <w:sz w:val="18"/>
          <w:szCs w:val="18"/>
          <w:color w:val="auto"/>
        </w:rPr>
        <w:t>with sufficient written documentation to permit a determination by our Nominating and Corporate Governance Committee and our Board of Directors as to whether such candidate meets the required and desired director selection criteria set forth in our Corporate Governance Guidelines and the factors discussed under the heading “Criteria for Membership on Our Board of Directors” above. Such documentation and the name of the director candidate must be sent by U.S. mail to our Corporate Secretary at Apogee Enterprises, Inc., 4400 West 78th Street, Suite 520, Minneapolis, MN 55435, no later than January 13, 2026. Our Corporate Secretary will send properly submitted shareholder recommendations to the Chair of our Nominating and Corporate Governance Committee for consideration at a future committee meeting.</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Director candidates recommended by shareholders in compliance with these procedures and who meet the criteria outlined above will be evaluated by our Nominating and Corporate Governance Committee in the same manner as nominees proposed by other sources.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Alternatively, shareholders may directly nominate a person for election to our Board of Directors at a future annual meeting by complying with the procedures set forth in our Amended and Restated By-laws and the rules and regulations of the SEC. Our Amended and Restated By-laws are available on our website at www.apog.com by clicking on “Investors,” select “Governance,” then “By-laws.”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Shareholders who wish to nominate a director candidate for the 2026 Annual Meeting should submit the advance notice, along with other required information, to our Corporate Secretary at Apogee Enterprises, Inc., 4400 West 78th Street, Suite 520, Minneapolis, MN 55435, no later than February 25, 2026. To comply with universal proxy rules, the advance notice must comply with the additional requirements of Rule 14a-19(b) of the Exchange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How can I present a proposal at the 2026 Annual Meeting of Shareholders?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shareholder wishing to have a proposal considered for inclusion in our Proxy Statement for our 2026 Annual Meeting of Shareholders must submit the proposal in writing to our Corporate Secretary at Apogee Enterprises, Inc., 4400 West 78th Street, Suite 520, Minneapolis, MN 55435 in accordance with all applicable rules and regulations of the SEC, including Rule 14a-8, no later than January 13, 2026.</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our Amended and Restated By-laws, a shareholder proposal not included in our Proxy Statement for the 2026 Annual Meeting of Shareholders is untimely and may not be presented in any manner at the 2026 Annual Meeting of Shareholders unless the shareholder wishing to make the proposal follows the notice procedures set forth in our Amended and Restated By-laws. Any such shareholder proposals for the 2026 Annual Meeting of Shareholders must be in the form and substance required by the Amended and Restated By-laws and must be submitted to our Corporate Secretary at the address indicated on the Notice of Annual Meeting of Shareholders no later than February 25, 2026.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5445E"/>
        </w:rPr>
        <w:t>What is “householding” of proxy materials?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SEC rules allow a single copy of the proxy statement and Annual Report to Shareholders to be delivered to multiple shareholders sharing the same address and last name, or who we reasonably believe are members of the same family, and who consent to receive a single copy of these materials in a manner provided by these rules. This practice is referred to as “householding” and can result in significant savings of paper and mailing costs. Although we do not household for our registered shareholders, some brokers’ household Apogee notices, proxy statements and annual reports, delivering single copies of such documents to multiple shareholders sharing an address unless contrary instructions have been received from the affected shareholders.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copy of our proxy statement and annual report, or if you are receiving multiple copies of documents and wish to receive only one, please notify your broker. We will promptly deliver upon written or oral request a separate copy of our proxy statement and/or Annual Report to Shareholders to a shareholder at a shared address to which a single copy of any such</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5" w:name="page86"/>
    <w:bookmarkEnd w:id="85"/>
    <w:p>
      <w:pPr>
        <w:spacing w:after="0" w:line="287" w:lineRule="auto"/>
        <w:rPr>
          <w:sz w:val="20"/>
          <w:szCs w:val="20"/>
          <w:color w:val="auto"/>
        </w:rPr>
      </w:pPr>
      <w:r>
        <w:rPr>
          <w:rFonts w:ascii="Arial" w:cs="Arial" w:eastAsia="Arial" w:hAnsi="Arial"/>
          <w:sz w:val="18"/>
          <w:szCs w:val="18"/>
          <w:color w:val="auto"/>
        </w:rPr>
        <w:t>document was delivered. For copies of these documents, shareholders should write to our Investor Relations Department at the address listed above, or call (877) 752-3432.</w:t>
      </w:r>
    </w:p>
    <w:p>
      <w:pPr>
        <w:spacing w:after="0" w:line="20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86360</wp:posOffset>
            </wp:positionV>
            <wp:extent cx="2219960" cy="4972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21996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Meghan M. Elliott</w:t>
      </w:r>
    </w:p>
    <w:p>
      <w:pPr>
        <w:spacing w:after="0" w:line="2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Legal Officer and Secretary</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13, 2025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25"/>
          <w:szCs w:val="25"/>
          <w:b w:val="1"/>
          <w:bCs w:val="1"/>
          <w:color w:val="auto"/>
        </w:rPr>
        <w:t>Appendix A - Non-GAAP Measures</w:t>
      </w: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This Proxy Statement contains non-GAAP (generally accepted accounting principles in the United States) financial measures. The non-GAAP financial measures below are used as internal measures for performance-based compensation decisions, as further discussed in the Compensation Discussion and Analysis. Definitions for the non-GAAP financial measures contained in this Proxy Statement are provided on page </w:t>
      </w:r>
      <w:r>
        <w:rPr>
          <w:rFonts w:ascii="Arial" w:cs="Arial" w:eastAsia="Arial" w:hAnsi="Arial"/>
          <w:sz w:val="18"/>
          <w:szCs w:val="18"/>
          <w:u w:val="single" w:color="auto"/>
          <w:color w:val="0000FF"/>
        </w:rPr>
        <w:t>35</w:t>
      </w:r>
      <w:r>
        <w:rPr>
          <w:rFonts w:ascii="Arial" w:cs="Arial" w:eastAsia="Arial" w:hAnsi="Arial"/>
          <w:sz w:val="18"/>
          <w:szCs w:val="18"/>
          <w:color w:val="auto"/>
        </w:rPr>
        <w:t xml:space="preserve"> and the reconciliations of the non-GAAP financial measures are located below in this Appendix A. Other companies, including companies in our industry, may define these measures differently or may utilize different non-GAAP financial measures, limiting the usefulness of those measures for comparative purposes between companies.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460" w:type="dxa"/>
            <w:vAlign w:val="bottom"/>
            <w:gridSpan w:val="9"/>
          </w:tcPr>
          <w:p>
            <w:pPr>
              <w:jc w:val="center"/>
              <w:ind w:left="1708"/>
              <w:spacing w:after="0"/>
              <w:rPr>
                <w:sz w:val="20"/>
                <w:szCs w:val="20"/>
                <w:color w:val="auto"/>
              </w:rPr>
            </w:pPr>
            <w:r>
              <w:rPr>
                <w:rFonts w:ascii="Arial" w:cs="Arial" w:eastAsia="Arial" w:hAnsi="Arial"/>
                <w:sz w:val="14"/>
                <w:szCs w:val="14"/>
                <w:b w:val="1"/>
                <w:bCs w:val="1"/>
                <w:color w:val="05445E"/>
              </w:rPr>
              <w:t>Reconciliation of Non-GAAP Financial Measure - Net Earnings to Adjusted EBIT</w:t>
            </w: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24"/>
        </w:trPr>
        <w:tc>
          <w:tcPr>
            <w:tcW w:w="4260" w:type="dxa"/>
            <w:vAlign w:val="bottom"/>
          </w:tcPr>
          <w:p>
            <w:pPr>
              <w:spacing w:after="0"/>
              <w:rPr>
                <w:sz w:val="19"/>
                <w:szCs w:val="19"/>
                <w:color w:val="auto"/>
              </w:rPr>
            </w:pPr>
          </w:p>
        </w:tc>
        <w:tc>
          <w:tcPr>
            <w:tcW w:w="3340" w:type="dxa"/>
            <w:vAlign w:val="bottom"/>
            <w:gridSpan w:val="5"/>
          </w:tcPr>
          <w:p>
            <w:pPr>
              <w:jc w:val="center"/>
              <w:ind w:right="620"/>
              <w:spacing w:after="0"/>
              <w:rPr>
                <w:sz w:val="20"/>
                <w:szCs w:val="20"/>
                <w:color w:val="auto"/>
              </w:rPr>
            </w:pPr>
            <w:r>
              <w:rPr>
                <w:rFonts w:ascii="Arial" w:cs="Arial" w:eastAsia="Arial" w:hAnsi="Arial"/>
                <w:sz w:val="14"/>
                <w:szCs w:val="14"/>
                <w:i w:val="1"/>
                <w:iCs w:val="1"/>
                <w:color w:val="05445E"/>
              </w:rPr>
              <w:t>(unaudited) (in thousands)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44"/>
        </w:trPr>
        <w:tc>
          <w:tcPr>
            <w:tcW w:w="426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05445E"/>
              </w:rPr>
              <w:t>Fiscal Year 2025 (52 weeks)</w:t>
            </w: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05445E"/>
              </w:rPr>
              <w:t>Consolidated</w:t>
            </w: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05445E"/>
              </w:rPr>
              <w:t>Architectural Glass</w:t>
            </w:r>
          </w:p>
        </w:tc>
        <w:tc>
          <w:tcPr>
            <w:tcW w:w="100" w:type="dxa"/>
            <w:vAlign w:val="bottom"/>
            <w:tcBorders>
              <w:bottom w:val="single" w:sz="8" w:color="DBDBDB"/>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05445E"/>
              </w:rPr>
              <w:t>Architectural Services</w:t>
            </w:r>
          </w:p>
        </w:tc>
      </w:tr>
      <w:tr>
        <w:trPr>
          <w:trHeight w:val="230"/>
        </w:trPr>
        <w:tc>
          <w:tcPr>
            <w:tcW w:w="42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Net earnings</w:t>
            </w:r>
          </w:p>
        </w:tc>
        <w:tc>
          <w:tcPr>
            <w:tcW w:w="1700" w:type="dxa"/>
            <w:vAlign w:val="bottom"/>
            <w:gridSpan w:val="3"/>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DBDBDB"/>
          </w:tcPr>
          <w:p>
            <w:pPr>
              <w:jc w:val="right"/>
              <w:ind w:right="268"/>
              <w:spacing w:after="0"/>
              <w:rPr>
                <w:sz w:val="20"/>
                <w:szCs w:val="20"/>
                <w:color w:val="auto"/>
              </w:rPr>
            </w:pPr>
            <w:r>
              <w:rPr>
                <w:rFonts w:ascii="Arial" w:cs="Arial" w:eastAsia="Arial" w:hAnsi="Arial"/>
                <w:sz w:val="14"/>
                <w:szCs w:val="14"/>
                <w:b w:val="1"/>
                <w:bCs w:val="1"/>
                <w:color w:val="auto"/>
              </w:rPr>
              <w:t>85,052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DBDBDB"/>
          </w:tcPr>
          <w:p>
            <w:pPr>
              <w:jc w:val="right"/>
              <w:ind w:right="368"/>
              <w:spacing w:after="0"/>
              <w:rPr>
                <w:sz w:val="20"/>
                <w:szCs w:val="20"/>
                <w:color w:val="auto"/>
              </w:rPr>
            </w:pPr>
            <w:r>
              <w:rPr>
                <w:rFonts w:ascii="Arial" w:cs="Arial" w:eastAsia="Arial" w:hAnsi="Arial"/>
                <w:sz w:val="14"/>
                <w:szCs w:val="14"/>
                <w:b w:val="1"/>
                <w:bCs w:val="1"/>
                <w:color w:val="auto"/>
              </w:rPr>
              <w:t>59,389</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DBDBDB"/>
          </w:tcPr>
          <w:p>
            <w:pPr>
              <w:jc w:val="right"/>
              <w:ind w:right="408"/>
              <w:spacing w:after="0"/>
              <w:rPr>
                <w:sz w:val="20"/>
                <w:szCs w:val="20"/>
                <w:color w:val="auto"/>
              </w:rPr>
            </w:pPr>
            <w:r>
              <w:rPr>
                <w:rFonts w:ascii="Arial" w:cs="Arial" w:eastAsia="Arial" w:hAnsi="Arial"/>
                <w:sz w:val="14"/>
                <w:szCs w:val="14"/>
                <w:b w:val="1"/>
                <w:bCs w:val="1"/>
                <w:color w:val="auto"/>
              </w:rPr>
              <w:t>30,046</w:t>
            </w:r>
          </w:p>
        </w:tc>
      </w:tr>
      <w:tr>
        <w:trPr>
          <w:trHeight w:val="208"/>
        </w:trPr>
        <w:tc>
          <w:tcPr>
            <w:tcW w:w="4260" w:type="dxa"/>
            <w:vAlign w:val="bottom"/>
          </w:tcPr>
          <w:p>
            <w:pPr>
              <w:ind w:left="240"/>
              <w:spacing w:after="0"/>
              <w:rPr>
                <w:sz w:val="20"/>
                <w:szCs w:val="20"/>
                <w:color w:val="auto"/>
              </w:rPr>
            </w:pPr>
            <w:r>
              <w:rPr>
                <w:rFonts w:ascii="Arial" w:cs="Arial" w:eastAsia="Arial" w:hAnsi="Arial"/>
                <w:sz w:val="14"/>
                <w:szCs w:val="14"/>
                <w:color w:val="auto"/>
              </w:rPr>
              <w:t>Income tax expense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268"/>
              <w:spacing w:after="0"/>
              <w:rPr>
                <w:sz w:val="20"/>
                <w:szCs w:val="20"/>
                <w:color w:val="auto"/>
              </w:rPr>
            </w:pPr>
            <w:r>
              <w:rPr>
                <w:rFonts w:ascii="Arial" w:cs="Arial" w:eastAsia="Arial" w:hAnsi="Arial"/>
                <w:sz w:val="14"/>
                <w:szCs w:val="14"/>
                <w:color w:val="auto"/>
              </w:rPr>
              <w:t>27,522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6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r>
      <w:tr>
        <w:trPr>
          <w:trHeight w:val="22"/>
        </w:trPr>
        <w:tc>
          <w:tcPr>
            <w:tcW w:w="4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0"/>
        </w:trPr>
        <w:tc>
          <w:tcPr>
            <w:tcW w:w="42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Interest expense, net</w:t>
            </w:r>
          </w:p>
        </w:tc>
        <w:tc>
          <w:tcPr>
            <w:tcW w:w="134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DBDBDB"/>
            </w:tcBorders>
            <w:shd w:val="clear" w:color="auto" w:fill="DBDBDB"/>
          </w:tcPr>
          <w:p>
            <w:pPr>
              <w:spacing w:after="0"/>
              <w:rPr>
                <w:sz w:val="19"/>
                <w:szCs w:val="19"/>
                <w:color w:val="auto"/>
              </w:rPr>
            </w:pPr>
          </w:p>
        </w:tc>
        <w:tc>
          <w:tcPr>
            <w:tcW w:w="154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rPr>
              <w:t>6,159</w:t>
            </w:r>
          </w:p>
        </w:tc>
        <w:tc>
          <w:tcPr>
            <w:tcW w:w="10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spacing w:after="0"/>
              <w:rPr>
                <w:sz w:val="19"/>
                <w:szCs w:val="19"/>
                <w:color w:val="auto"/>
              </w:rPr>
            </w:pPr>
          </w:p>
        </w:tc>
        <w:tc>
          <w:tcPr>
            <w:tcW w:w="1700" w:type="dxa"/>
            <w:vAlign w:val="bottom"/>
            <w:tcBorders>
              <w:bottom w:val="single" w:sz="8" w:color="DBDBDB"/>
            </w:tcBorders>
            <w:gridSpan w:val="2"/>
            <w:shd w:val="clear" w:color="auto" w:fill="DBDBDB"/>
          </w:tcPr>
          <w:p>
            <w:pPr>
              <w:jc w:val="center"/>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tcBorders>
            <w:shd w:val="clear" w:color="auto" w:fill="DBDBDB"/>
          </w:tcPr>
          <w:p>
            <w:pPr>
              <w:spacing w:after="0"/>
              <w:rPr>
                <w:sz w:val="19"/>
                <w:szCs w:val="19"/>
                <w:color w:val="auto"/>
              </w:rPr>
            </w:pPr>
          </w:p>
        </w:tc>
        <w:tc>
          <w:tcPr>
            <w:tcW w:w="1660" w:type="dxa"/>
            <w:vAlign w:val="bottom"/>
            <w:tcBorders>
              <w:bottom w:val="single" w:sz="8" w:color="DBDBDB"/>
            </w:tcBorders>
            <w:shd w:val="clear" w:color="auto" w:fill="DBDBDB"/>
          </w:tcPr>
          <w:p>
            <w:pPr>
              <w:jc w:val="center"/>
              <w:ind w:right="48"/>
              <w:spacing w:after="0"/>
              <w:rPr>
                <w:sz w:val="20"/>
                <w:szCs w:val="20"/>
                <w:color w:val="auto"/>
              </w:rPr>
            </w:pPr>
            <w:r>
              <w:rPr>
                <w:rFonts w:ascii="Arial" w:cs="Arial" w:eastAsia="Arial" w:hAnsi="Arial"/>
                <w:sz w:val="14"/>
                <w:szCs w:val="14"/>
                <w:color w:val="auto"/>
                <w:w w:val="99"/>
              </w:rPr>
              <w:t>—</w:t>
            </w:r>
          </w:p>
        </w:tc>
      </w:tr>
      <w:tr>
        <w:trPr>
          <w:trHeight w:val="215"/>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EBIT</w:t>
            </w:r>
          </w:p>
        </w:tc>
        <w:tc>
          <w:tcPr>
            <w:tcW w:w="144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5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118,733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59,389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30,046</w:t>
            </w:r>
          </w:p>
        </w:tc>
      </w:tr>
      <w:tr>
        <w:trPr>
          <w:trHeight w:val="217"/>
        </w:trPr>
        <w:tc>
          <w:tcPr>
            <w:tcW w:w="42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Acquisition-related costs</w:t>
            </w:r>
            <w:r>
              <w:rPr>
                <w:rFonts w:ascii="Arial" w:cs="Arial" w:eastAsia="Arial" w:hAnsi="Arial"/>
                <w:sz w:val="9"/>
                <w:szCs w:val="9"/>
                <w:color w:val="auto"/>
              </w:rPr>
              <w:t>(1)</w:t>
            </w:r>
          </w:p>
        </w:tc>
        <w:tc>
          <w:tcPr>
            <w:tcW w:w="13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15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6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660" w:type="dxa"/>
            <w:vAlign w:val="bottom"/>
            <w:tcBorders>
              <w:bottom w:val="single" w:sz="8" w:color="DBDBDB"/>
            </w:tcBorders>
            <w:shd w:val="clear" w:color="auto" w:fill="DBDBDB"/>
          </w:tcPr>
          <w:p>
            <w:pPr>
              <w:spacing w:after="0"/>
              <w:rPr>
                <w:sz w:val="18"/>
                <w:szCs w:val="18"/>
                <w:color w:val="auto"/>
              </w:rPr>
            </w:pPr>
          </w:p>
        </w:tc>
      </w:tr>
      <w:tr>
        <w:trPr>
          <w:trHeight w:val="208"/>
        </w:trPr>
        <w:tc>
          <w:tcPr>
            <w:tcW w:w="4260" w:type="dxa"/>
            <w:vAlign w:val="bottom"/>
          </w:tcPr>
          <w:p>
            <w:pPr>
              <w:ind w:left="460"/>
              <w:spacing w:after="0"/>
              <w:rPr>
                <w:sz w:val="20"/>
                <w:szCs w:val="20"/>
                <w:color w:val="auto"/>
              </w:rPr>
            </w:pPr>
            <w:r>
              <w:rPr>
                <w:rFonts w:ascii="Arial" w:cs="Arial" w:eastAsia="Arial" w:hAnsi="Arial"/>
                <w:sz w:val="14"/>
                <w:szCs w:val="14"/>
                <w:color w:val="auto"/>
              </w:rPr>
              <w:t>Transaction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268"/>
              <w:spacing w:after="0"/>
              <w:rPr>
                <w:sz w:val="20"/>
                <w:szCs w:val="20"/>
                <w:color w:val="auto"/>
              </w:rPr>
            </w:pPr>
            <w:r>
              <w:rPr>
                <w:rFonts w:ascii="Arial" w:cs="Arial" w:eastAsia="Arial" w:hAnsi="Arial"/>
                <w:sz w:val="14"/>
                <w:szCs w:val="14"/>
                <w:color w:val="auto"/>
              </w:rPr>
              <w:t>4,424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6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r>
      <w:tr>
        <w:trPr>
          <w:trHeight w:val="22"/>
        </w:trPr>
        <w:tc>
          <w:tcPr>
            <w:tcW w:w="4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09"/>
        </w:trPr>
        <w:tc>
          <w:tcPr>
            <w:tcW w:w="42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4"/>
                <w:szCs w:val="14"/>
                <w:color w:val="auto"/>
              </w:rPr>
              <w:t>Integration</w:t>
            </w:r>
          </w:p>
        </w:tc>
        <w:tc>
          <w:tcPr>
            <w:tcW w:w="13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154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rPr>
              <w:t>2,055</w:t>
            </w:r>
          </w:p>
        </w:tc>
        <w:tc>
          <w:tcPr>
            <w:tcW w:w="1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700" w:type="dxa"/>
            <w:vAlign w:val="bottom"/>
            <w:tcBorders>
              <w:bottom w:val="single" w:sz="8" w:color="DBDBDB"/>
            </w:tcBorders>
            <w:gridSpan w:val="2"/>
            <w:shd w:val="clear" w:color="auto" w:fill="DBDBDB"/>
          </w:tcPr>
          <w:p>
            <w:pPr>
              <w:jc w:val="center"/>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tcBorders>
            <w:shd w:val="clear" w:color="auto" w:fill="DBDBDB"/>
          </w:tcPr>
          <w:p>
            <w:pPr>
              <w:spacing w:after="0"/>
              <w:rPr>
                <w:sz w:val="18"/>
                <w:szCs w:val="18"/>
                <w:color w:val="auto"/>
              </w:rPr>
            </w:pPr>
          </w:p>
        </w:tc>
        <w:tc>
          <w:tcPr>
            <w:tcW w:w="1660" w:type="dxa"/>
            <w:vAlign w:val="bottom"/>
            <w:tcBorders>
              <w:bottom w:val="single" w:sz="8" w:color="DBDBDB"/>
            </w:tcBorders>
            <w:shd w:val="clear" w:color="auto" w:fill="DBDBDB"/>
          </w:tcPr>
          <w:p>
            <w:pPr>
              <w:jc w:val="center"/>
              <w:ind w:right="48"/>
              <w:spacing w:after="0"/>
              <w:rPr>
                <w:sz w:val="20"/>
                <w:szCs w:val="20"/>
                <w:color w:val="auto"/>
              </w:rPr>
            </w:pPr>
            <w:r>
              <w:rPr>
                <w:rFonts w:ascii="Arial" w:cs="Arial" w:eastAsia="Arial" w:hAnsi="Arial"/>
                <w:sz w:val="14"/>
                <w:szCs w:val="14"/>
                <w:color w:val="auto"/>
                <w:w w:val="99"/>
              </w:rPr>
              <w:t>—</w:t>
            </w:r>
          </w:p>
        </w:tc>
      </w:tr>
      <w:tr>
        <w:trPr>
          <w:trHeight w:val="208"/>
        </w:trPr>
        <w:tc>
          <w:tcPr>
            <w:tcW w:w="4260" w:type="dxa"/>
            <w:vAlign w:val="bottom"/>
          </w:tcPr>
          <w:p>
            <w:pPr>
              <w:ind w:left="460"/>
              <w:spacing w:after="0"/>
              <w:rPr>
                <w:sz w:val="20"/>
                <w:szCs w:val="20"/>
                <w:color w:val="auto"/>
              </w:rPr>
            </w:pPr>
            <w:r>
              <w:rPr>
                <w:rFonts w:ascii="Arial" w:cs="Arial" w:eastAsia="Arial" w:hAnsi="Arial"/>
                <w:sz w:val="14"/>
                <w:szCs w:val="14"/>
                <w:color w:val="auto"/>
              </w:rPr>
              <w:t>Backlog amortization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268"/>
              <w:spacing w:after="0"/>
              <w:rPr>
                <w:sz w:val="20"/>
                <w:szCs w:val="20"/>
                <w:color w:val="auto"/>
              </w:rPr>
            </w:pPr>
            <w:r>
              <w:rPr>
                <w:rFonts w:ascii="Arial" w:cs="Arial" w:eastAsia="Arial" w:hAnsi="Arial"/>
                <w:sz w:val="14"/>
                <w:szCs w:val="14"/>
                <w:color w:val="auto"/>
              </w:rPr>
              <w:t>2,340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6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r>
      <w:tr>
        <w:trPr>
          <w:trHeight w:val="22"/>
        </w:trPr>
        <w:tc>
          <w:tcPr>
            <w:tcW w:w="4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09"/>
        </w:trPr>
        <w:tc>
          <w:tcPr>
            <w:tcW w:w="42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4"/>
                <w:szCs w:val="14"/>
                <w:color w:val="auto"/>
              </w:rPr>
              <w:t>Inventory step-up</w:t>
            </w:r>
          </w:p>
        </w:tc>
        <w:tc>
          <w:tcPr>
            <w:tcW w:w="13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154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rPr>
              <w:t>1,483</w:t>
            </w:r>
          </w:p>
        </w:tc>
        <w:tc>
          <w:tcPr>
            <w:tcW w:w="1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700" w:type="dxa"/>
            <w:vAlign w:val="bottom"/>
            <w:tcBorders>
              <w:bottom w:val="single" w:sz="8" w:color="DBDBDB"/>
            </w:tcBorders>
            <w:gridSpan w:val="2"/>
            <w:shd w:val="clear" w:color="auto" w:fill="DBDBDB"/>
          </w:tcPr>
          <w:p>
            <w:pPr>
              <w:jc w:val="center"/>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tcBorders>
            <w:shd w:val="clear" w:color="auto" w:fill="DBDBDB"/>
          </w:tcPr>
          <w:p>
            <w:pPr>
              <w:spacing w:after="0"/>
              <w:rPr>
                <w:sz w:val="18"/>
                <w:szCs w:val="18"/>
                <w:color w:val="auto"/>
              </w:rPr>
            </w:pPr>
          </w:p>
        </w:tc>
        <w:tc>
          <w:tcPr>
            <w:tcW w:w="1660" w:type="dxa"/>
            <w:vAlign w:val="bottom"/>
            <w:tcBorders>
              <w:bottom w:val="single" w:sz="8" w:color="DBDBDB"/>
            </w:tcBorders>
            <w:shd w:val="clear" w:color="auto" w:fill="DBDBDB"/>
          </w:tcPr>
          <w:p>
            <w:pPr>
              <w:jc w:val="center"/>
              <w:ind w:right="48"/>
              <w:spacing w:after="0"/>
              <w:rPr>
                <w:sz w:val="20"/>
                <w:szCs w:val="20"/>
                <w:color w:val="auto"/>
              </w:rPr>
            </w:pPr>
            <w:r>
              <w:rPr>
                <w:rFonts w:ascii="Arial" w:cs="Arial" w:eastAsia="Arial" w:hAnsi="Arial"/>
                <w:sz w:val="14"/>
                <w:szCs w:val="14"/>
                <w:color w:val="auto"/>
                <w:w w:val="99"/>
              </w:rPr>
              <w:t>—</w:t>
            </w:r>
          </w:p>
        </w:tc>
      </w:tr>
      <w:tr>
        <w:trPr>
          <w:trHeight w:val="208"/>
        </w:trPr>
        <w:tc>
          <w:tcPr>
            <w:tcW w:w="4260" w:type="dxa"/>
            <w:vAlign w:val="bottom"/>
          </w:tcPr>
          <w:p>
            <w:pPr>
              <w:ind w:left="240"/>
              <w:spacing w:after="0"/>
              <w:rPr>
                <w:sz w:val="20"/>
                <w:szCs w:val="20"/>
                <w:color w:val="auto"/>
              </w:rPr>
            </w:pPr>
            <w:r>
              <w:rPr>
                <w:rFonts w:ascii="Arial" w:cs="Arial" w:eastAsia="Arial" w:hAnsi="Arial"/>
                <w:sz w:val="14"/>
                <w:szCs w:val="14"/>
                <w:color w:val="auto"/>
              </w:rPr>
              <w:t>Total Acquisition-related costs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268"/>
              <w:spacing w:after="0"/>
              <w:rPr>
                <w:sz w:val="20"/>
                <w:szCs w:val="20"/>
                <w:color w:val="auto"/>
              </w:rPr>
            </w:pPr>
            <w:r>
              <w:rPr>
                <w:rFonts w:ascii="Arial" w:cs="Arial" w:eastAsia="Arial" w:hAnsi="Arial"/>
                <w:sz w:val="14"/>
                <w:szCs w:val="14"/>
                <w:color w:val="auto"/>
              </w:rPr>
              <w:t>10,302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6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r>
      <w:tr>
        <w:trPr>
          <w:trHeight w:val="22"/>
        </w:trPr>
        <w:tc>
          <w:tcPr>
            <w:tcW w:w="4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0"/>
        </w:trPr>
        <w:tc>
          <w:tcPr>
            <w:tcW w:w="42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Restructuring costs</w:t>
            </w:r>
            <w:r>
              <w:rPr>
                <w:rFonts w:ascii="Arial" w:cs="Arial" w:eastAsia="Arial" w:hAnsi="Arial"/>
                <w:sz w:val="9"/>
                <w:szCs w:val="9"/>
                <w:color w:val="auto"/>
              </w:rPr>
              <w:t>(2)</w:t>
            </w:r>
          </w:p>
        </w:tc>
        <w:tc>
          <w:tcPr>
            <w:tcW w:w="13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154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rPr>
              <w:t>4,323</w:t>
            </w:r>
          </w:p>
        </w:tc>
        <w:tc>
          <w:tcPr>
            <w:tcW w:w="1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700" w:type="dxa"/>
            <w:vAlign w:val="bottom"/>
            <w:tcBorders>
              <w:bottom w:val="single" w:sz="8" w:color="DBDBDB"/>
            </w:tcBorders>
            <w:gridSpan w:val="2"/>
            <w:shd w:val="clear" w:color="auto" w:fill="DBDBDB"/>
          </w:tcPr>
          <w:p>
            <w:pPr>
              <w:jc w:val="center"/>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tcBorders>
            <w:shd w:val="clear" w:color="auto" w:fill="DBDBDB"/>
          </w:tcPr>
          <w:p>
            <w:pPr>
              <w:spacing w:after="0"/>
              <w:rPr>
                <w:sz w:val="18"/>
                <w:szCs w:val="18"/>
                <w:color w:val="auto"/>
              </w:rPr>
            </w:pPr>
          </w:p>
        </w:tc>
        <w:tc>
          <w:tcPr>
            <w:tcW w:w="1660" w:type="dxa"/>
            <w:vAlign w:val="bottom"/>
            <w:tcBorders>
              <w:bottom w:val="single" w:sz="8" w:color="DBDBDB"/>
            </w:tcBorders>
            <w:shd w:val="clear" w:color="auto" w:fill="DBDBDB"/>
          </w:tcPr>
          <w:p>
            <w:pPr>
              <w:jc w:val="right"/>
              <w:ind w:right="368"/>
              <w:spacing w:after="0"/>
              <w:rPr>
                <w:sz w:val="20"/>
                <w:szCs w:val="20"/>
                <w:color w:val="auto"/>
              </w:rPr>
            </w:pPr>
            <w:r>
              <w:rPr>
                <w:rFonts w:ascii="Arial" w:cs="Arial" w:eastAsia="Arial" w:hAnsi="Arial"/>
                <w:sz w:val="14"/>
                <w:szCs w:val="14"/>
                <w:color w:val="auto"/>
              </w:rPr>
              <w:t>(489)</w:t>
            </w:r>
          </w:p>
        </w:tc>
      </w:tr>
      <w:tr>
        <w:trPr>
          <w:trHeight w:val="208"/>
        </w:trPr>
        <w:tc>
          <w:tcPr>
            <w:tcW w:w="4260" w:type="dxa"/>
            <w:vAlign w:val="bottom"/>
          </w:tcPr>
          <w:p>
            <w:pPr>
              <w:ind w:left="240"/>
              <w:spacing w:after="0"/>
              <w:rPr>
                <w:sz w:val="20"/>
                <w:szCs w:val="20"/>
                <w:color w:val="auto"/>
              </w:rPr>
            </w:pPr>
            <w:r>
              <w:rPr>
                <w:rFonts w:ascii="Arial" w:cs="Arial" w:eastAsia="Arial" w:hAnsi="Arial"/>
                <w:sz w:val="14"/>
                <w:szCs w:val="14"/>
                <w:color w:val="auto"/>
              </w:rPr>
              <w:t>Impairment expense</w:t>
            </w:r>
            <w:r>
              <w:rPr>
                <w:rFonts w:ascii="Arial" w:cs="Arial" w:eastAsia="Arial" w:hAnsi="Arial"/>
                <w:sz w:val="9"/>
                <w:szCs w:val="9"/>
                <w:color w:val="auto"/>
              </w:rPr>
              <w:t>(3)</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268"/>
              <w:spacing w:after="0"/>
              <w:rPr>
                <w:sz w:val="20"/>
                <w:szCs w:val="20"/>
                <w:color w:val="auto"/>
              </w:rPr>
            </w:pPr>
            <w:r>
              <w:rPr>
                <w:rFonts w:ascii="Arial" w:cs="Arial" w:eastAsia="Arial" w:hAnsi="Arial"/>
                <w:sz w:val="14"/>
                <w:szCs w:val="14"/>
                <w:color w:val="auto"/>
              </w:rPr>
              <w:t>7,634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6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r>
      <w:tr>
        <w:trPr>
          <w:trHeight w:val="22"/>
        </w:trPr>
        <w:tc>
          <w:tcPr>
            <w:tcW w:w="4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0"/>
        </w:trPr>
        <w:tc>
          <w:tcPr>
            <w:tcW w:w="42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Arbitration award expense</w:t>
            </w:r>
            <w:r>
              <w:rPr>
                <w:rFonts w:ascii="Arial" w:cs="Arial" w:eastAsia="Arial" w:hAnsi="Arial"/>
                <w:sz w:val="9"/>
                <w:szCs w:val="9"/>
                <w:color w:val="auto"/>
              </w:rPr>
              <w:t>(4)</w:t>
            </w:r>
          </w:p>
        </w:tc>
        <w:tc>
          <w:tcPr>
            <w:tcW w:w="13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154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rPr>
              <w:t>9,393</w:t>
            </w:r>
          </w:p>
        </w:tc>
        <w:tc>
          <w:tcPr>
            <w:tcW w:w="1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700" w:type="dxa"/>
            <w:vAlign w:val="bottom"/>
            <w:tcBorders>
              <w:bottom w:val="single" w:sz="8" w:color="DBDBDB"/>
            </w:tcBorders>
            <w:gridSpan w:val="2"/>
            <w:shd w:val="clear" w:color="auto" w:fill="DBDBDB"/>
          </w:tcPr>
          <w:p>
            <w:pPr>
              <w:jc w:val="center"/>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tcBorders>
            <w:shd w:val="clear" w:color="auto" w:fill="DBDBDB"/>
          </w:tcPr>
          <w:p>
            <w:pPr>
              <w:spacing w:after="0"/>
              <w:rPr>
                <w:sz w:val="18"/>
                <w:szCs w:val="18"/>
                <w:color w:val="auto"/>
              </w:rPr>
            </w:pPr>
          </w:p>
        </w:tc>
        <w:tc>
          <w:tcPr>
            <w:tcW w:w="1660" w:type="dxa"/>
            <w:vAlign w:val="bottom"/>
            <w:tcBorders>
              <w:bottom w:val="single" w:sz="8" w:color="DBDBDB"/>
            </w:tcBorders>
            <w:shd w:val="clear" w:color="auto" w:fill="DBDBDB"/>
          </w:tcPr>
          <w:p>
            <w:pPr>
              <w:jc w:val="center"/>
              <w:ind w:right="48"/>
              <w:spacing w:after="0"/>
              <w:rPr>
                <w:sz w:val="20"/>
                <w:szCs w:val="20"/>
                <w:color w:val="auto"/>
              </w:rPr>
            </w:pPr>
            <w:r>
              <w:rPr>
                <w:rFonts w:ascii="Arial" w:cs="Arial" w:eastAsia="Arial" w:hAnsi="Arial"/>
                <w:sz w:val="14"/>
                <w:szCs w:val="14"/>
                <w:color w:val="auto"/>
                <w:w w:val="99"/>
              </w:rPr>
              <w:t>—</w:t>
            </w:r>
          </w:p>
        </w:tc>
      </w:tr>
      <w:tr>
        <w:trPr>
          <w:trHeight w:val="208"/>
        </w:trPr>
        <w:tc>
          <w:tcPr>
            <w:tcW w:w="4260" w:type="dxa"/>
            <w:vAlign w:val="bottom"/>
          </w:tcPr>
          <w:p>
            <w:pPr>
              <w:ind w:left="240"/>
              <w:spacing w:after="0"/>
              <w:rPr>
                <w:sz w:val="20"/>
                <w:szCs w:val="20"/>
                <w:color w:val="auto"/>
              </w:rPr>
            </w:pPr>
            <w:r>
              <w:rPr>
                <w:rFonts w:ascii="Arial" w:cs="Arial" w:eastAsia="Arial" w:hAnsi="Arial"/>
                <w:sz w:val="14"/>
                <w:szCs w:val="14"/>
                <w:color w:val="auto"/>
              </w:rPr>
              <w:t>UW Solutions impact</w:t>
            </w:r>
            <w:r>
              <w:rPr>
                <w:rFonts w:ascii="Arial" w:cs="Arial" w:eastAsia="Arial" w:hAnsi="Arial"/>
                <w:sz w:val="9"/>
                <w:szCs w:val="9"/>
                <w:color w:val="auto"/>
              </w:rPr>
              <w:t>(5)</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268"/>
              <w:spacing w:after="0"/>
              <w:rPr>
                <w:sz w:val="20"/>
                <w:szCs w:val="20"/>
                <w:color w:val="auto"/>
              </w:rPr>
            </w:pPr>
            <w:r>
              <w:rPr>
                <w:rFonts w:ascii="Arial" w:cs="Arial" w:eastAsia="Arial" w:hAnsi="Arial"/>
                <w:sz w:val="14"/>
                <w:szCs w:val="14"/>
                <w:color w:val="auto"/>
              </w:rPr>
              <w:t>(3,768)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6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r>
      <w:tr>
        <w:trPr>
          <w:trHeight w:val="22"/>
        </w:trPr>
        <w:tc>
          <w:tcPr>
            <w:tcW w:w="4260" w:type="dxa"/>
            <w:vAlign w:val="bottom"/>
            <w:tcBorders>
              <w:bottom w:val="single" w:sz="8" w:color="DBDBDB"/>
            </w:tcBorders>
          </w:tcPr>
          <w:p>
            <w:pPr>
              <w:spacing w:after="0" w:line="20" w:lineRule="exact"/>
              <w:rPr>
                <w:sz w:val="1"/>
                <w:szCs w:val="1"/>
                <w:color w:val="auto"/>
              </w:rPr>
            </w:pPr>
          </w:p>
        </w:tc>
        <w:tc>
          <w:tcPr>
            <w:tcW w:w="13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43"/>
        </w:trPr>
        <w:tc>
          <w:tcPr>
            <w:tcW w:w="4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Adjusted EBIT</w:t>
            </w:r>
          </w:p>
        </w:tc>
        <w:tc>
          <w:tcPr>
            <w:tcW w:w="1440" w:type="dxa"/>
            <w:vAlign w:val="bottom"/>
            <w:tcBorders>
              <w:bottom w:val="single" w:sz="8" w:color="DBDBDB"/>
            </w:tcBorders>
            <w:gridSpan w:val="2"/>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540" w:type="dxa"/>
            <w:vAlign w:val="bottom"/>
            <w:tcBorders>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b w:val="1"/>
                <w:bCs w:val="1"/>
                <w:color w:val="auto"/>
              </w:rPr>
              <w:t>146,617</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DBDBDB"/>
          </w:tcPr>
          <w:p>
            <w:pPr>
              <w:jc w:val="right"/>
              <w:ind w:right="368"/>
              <w:spacing w:after="0"/>
              <w:rPr>
                <w:sz w:val="20"/>
                <w:szCs w:val="20"/>
                <w:color w:val="auto"/>
              </w:rPr>
            </w:pPr>
            <w:r>
              <w:rPr>
                <w:rFonts w:ascii="Arial" w:cs="Arial" w:eastAsia="Arial" w:hAnsi="Arial"/>
                <w:sz w:val="14"/>
                <w:szCs w:val="14"/>
                <w:b w:val="1"/>
                <w:bCs w:val="1"/>
                <w:color w:val="auto"/>
              </w:rPr>
              <w:t>59,389</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DBDBDB"/>
          </w:tcPr>
          <w:p>
            <w:pPr>
              <w:jc w:val="right"/>
              <w:ind w:right="408"/>
              <w:spacing w:after="0"/>
              <w:rPr>
                <w:sz w:val="20"/>
                <w:szCs w:val="20"/>
                <w:color w:val="auto"/>
              </w:rPr>
            </w:pPr>
            <w:r>
              <w:rPr>
                <w:rFonts w:ascii="Arial" w:cs="Arial" w:eastAsia="Arial" w:hAnsi="Arial"/>
                <w:sz w:val="14"/>
                <w:szCs w:val="14"/>
                <w:b w:val="1"/>
                <w:bCs w:val="1"/>
                <w:color w:val="auto"/>
              </w:rPr>
              <w:t>29,557</w:t>
            </w:r>
          </w:p>
        </w:tc>
      </w:tr>
      <w:tr>
        <w:trPr>
          <w:trHeight w:val="20"/>
        </w:trPr>
        <w:tc>
          <w:tcPr>
            <w:tcW w:w="4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40"/>
        </w:trPr>
        <w:tc>
          <w:tcPr>
            <w:tcW w:w="426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05445E"/>
              </w:rPr>
              <w:t>Fiscal Year 2024 (53 weeks)</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05445E"/>
              </w:rPr>
              <w:t>Consolidated</w:t>
            </w:r>
          </w:p>
        </w:tc>
        <w:tc>
          <w:tcPr>
            <w:tcW w:w="100" w:type="dxa"/>
            <w:vAlign w:val="bottom"/>
            <w:tcBorders>
              <w:bottom w:val="single" w:sz="8" w:color="DBDBDB"/>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05445E"/>
              </w:rPr>
              <w:t>Architectural Glass</w:t>
            </w:r>
          </w:p>
        </w:tc>
        <w:tc>
          <w:tcPr>
            <w:tcW w:w="100" w:type="dxa"/>
            <w:vAlign w:val="bottom"/>
            <w:tcBorders>
              <w:bottom w:val="single" w:sz="8" w:color="DBDBDB"/>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05445E"/>
              </w:rPr>
              <w:t>Architectural Services</w:t>
            </w:r>
          </w:p>
        </w:tc>
      </w:tr>
      <w:tr>
        <w:trPr>
          <w:trHeight w:val="230"/>
        </w:trPr>
        <w:tc>
          <w:tcPr>
            <w:tcW w:w="42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Net earnings</w:t>
            </w:r>
          </w:p>
        </w:tc>
        <w:tc>
          <w:tcPr>
            <w:tcW w:w="1700" w:type="dxa"/>
            <w:vAlign w:val="bottom"/>
            <w:gridSpan w:val="3"/>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DBDBDB"/>
          </w:tcPr>
          <w:p>
            <w:pPr>
              <w:jc w:val="right"/>
              <w:ind w:right="308"/>
              <w:spacing w:after="0"/>
              <w:rPr>
                <w:sz w:val="20"/>
                <w:szCs w:val="20"/>
                <w:color w:val="auto"/>
              </w:rPr>
            </w:pPr>
            <w:r>
              <w:rPr>
                <w:rFonts w:ascii="Arial" w:cs="Arial" w:eastAsia="Arial" w:hAnsi="Arial"/>
                <w:sz w:val="14"/>
                <w:szCs w:val="14"/>
                <w:b w:val="1"/>
                <w:bCs w:val="1"/>
                <w:color w:val="auto"/>
              </w:rPr>
              <w:t>99,613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DBDBDB"/>
          </w:tcPr>
          <w:p>
            <w:pPr>
              <w:jc w:val="right"/>
              <w:ind w:right="308"/>
              <w:spacing w:after="0"/>
              <w:rPr>
                <w:sz w:val="20"/>
                <w:szCs w:val="20"/>
                <w:color w:val="auto"/>
              </w:rPr>
            </w:pPr>
            <w:r>
              <w:rPr>
                <w:rFonts w:ascii="Arial" w:cs="Arial" w:eastAsia="Arial" w:hAnsi="Arial"/>
                <w:sz w:val="14"/>
                <w:szCs w:val="14"/>
                <w:b w:val="1"/>
                <w:bCs w:val="1"/>
                <w:color w:val="auto"/>
              </w:rPr>
              <w:t>70,470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DBDBDB"/>
          </w:tcPr>
          <w:p>
            <w:pPr>
              <w:jc w:val="right"/>
              <w:ind w:right="408"/>
              <w:spacing w:after="0"/>
              <w:rPr>
                <w:sz w:val="20"/>
                <w:szCs w:val="20"/>
                <w:color w:val="auto"/>
              </w:rPr>
            </w:pPr>
            <w:r>
              <w:rPr>
                <w:rFonts w:ascii="Arial" w:cs="Arial" w:eastAsia="Arial" w:hAnsi="Arial"/>
                <w:sz w:val="14"/>
                <w:szCs w:val="14"/>
                <w:b w:val="1"/>
                <w:bCs w:val="1"/>
                <w:color w:val="auto"/>
              </w:rPr>
              <w:t>11,840</w:t>
            </w:r>
          </w:p>
        </w:tc>
      </w:tr>
      <w:tr>
        <w:trPr>
          <w:trHeight w:val="208"/>
        </w:trPr>
        <w:tc>
          <w:tcPr>
            <w:tcW w:w="4260" w:type="dxa"/>
            <w:vAlign w:val="bottom"/>
          </w:tcPr>
          <w:p>
            <w:pPr>
              <w:ind w:left="240"/>
              <w:spacing w:after="0"/>
              <w:rPr>
                <w:sz w:val="20"/>
                <w:szCs w:val="20"/>
                <w:color w:val="auto"/>
              </w:rPr>
            </w:pPr>
            <w:r>
              <w:rPr>
                <w:rFonts w:ascii="Arial" w:cs="Arial" w:eastAsia="Arial" w:hAnsi="Arial"/>
                <w:sz w:val="14"/>
                <w:szCs w:val="14"/>
                <w:color w:val="auto"/>
              </w:rPr>
              <w:t>Income tax expense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308"/>
              <w:spacing w:after="0"/>
              <w:rPr>
                <w:sz w:val="20"/>
                <w:szCs w:val="20"/>
                <w:color w:val="auto"/>
              </w:rPr>
            </w:pPr>
            <w:r>
              <w:rPr>
                <w:rFonts w:ascii="Arial" w:cs="Arial" w:eastAsia="Arial" w:hAnsi="Arial"/>
                <w:sz w:val="14"/>
                <w:szCs w:val="14"/>
                <w:color w:val="auto"/>
              </w:rPr>
              <w:t>29,640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6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r>
      <w:tr>
        <w:trPr>
          <w:trHeight w:val="22"/>
        </w:trPr>
        <w:tc>
          <w:tcPr>
            <w:tcW w:w="4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0"/>
        </w:trPr>
        <w:tc>
          <w:tcPr>
            <w:tcW w:w="42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Interest expense, net</w:t>
            </w:r>
          </w:p>
        </w:tc>
        <w:tc>
          <w:tcPr>
            <w:tcW w:w="134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DBDBDB"/>
            </w:tcBorders>
            <w:shd w:val="clear" w:color="auto" w:fill="DBDBDB"/>
          </w:tcPr>
          <w:p>
            <w:pPr>
              <w:spacing w:after="0"/>
              <w:rPr>
                <w:sz w:val="19"/>
                <w:szCs w:val="19"/>
                <w:color w:val="auto"/>
              </w:rPr>
            </w:pPr>
          </w:p>
        </w:tc>
        <w:tc>
          <w:tcPr>
            <w:tcW w:w="1540" w:type="dxa"/>
            <w:vAlign w:val="bottom"/>
            <w:tcBorders>
              <w:bottom w:val="single" w:sz="8" w:color="DBDBDB"/>
            </w:tcBorders>
            <w:shd w:val="clear" w:color="auto" w:fill="DBDBDB"/>
          </w:tcPr>
          <w:p>
            <w:pPr>
              <w:jc w:val="right"/>
              <w:ind w:right="308"/>
              <w:spacing w:after="0"/>
              <w:rPr>
                <w:sz w:val="20"/>
                <w:szCs w:val="20"/>
                <w:color w:val="auto"/>
              </w:rPr>
            </w:pPr>
            <w:r>
              <w:rPr>
                <w:rFonts w:ascii="Arial" w:cs="Arial" w:eastAsia="Arial" w:hAnsi="Arial"/>
                <w:sz w:val="14"/>
                <w:szCs w:val="14"/>
                <w:color w:val="auto"/>
              </w:rPr>
              <w:t>6,669</w:t>
            </w:r>
          </w:p>
        </w:tc>
        <w:tc>
          <w:tcPr>
            <w:tcW w:w="10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spacing w:after="0"/>
              <w:rPr>
                <w:sz w:val="19"/>
                <w:szCs w:val="19"/>
                <w:color w:val="auto"/>
              </w:rPr>
            </w:pPr>
          </w:p>
        </w:tc>
        <w:tc>
          <w:tcPr>
            <w:tcW w:w="1700" w:type="dxa"/>
            <w:vAlign w:val="bottom"/>
            <w:tcBorders>
              <w:bottom w:val="single" w:sz="8" w:color="DBDBDB"/>
            </w:tcBorders>
            <w:gridSpan w:val="2"/>
            <w:shd w:val="clear" w:color="auto" w:fill="DBDBDB"/>
          </w:tcPr>
          <w:p>
            <w:pPr>
              <w:jc w:val="center"/>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tcBorders>
            <w:shd w:val="clear" w:color="auto" w:fill="DBDBDB"/>
          </w:tcPr>
          <w:p>
            <w:pPr>
              <w:spacing w:after="0"/>
              <w:rPr>
                <w:sz w:val="19"/>
                <w:szCs w:val="19"/>
                <w:color w:val="auto"/>
              </w:rPr>
            </w:pPr>
          </w:p>
        </w:tc>
        <w:tc>
          <w:tcPr>
            <w:tcW w:w="1660" w:type="dxa"/>
            <w:vAlign w:val="bottom"/>
            <w:tcBorders>
              <w:bottom w:val="single" w:sz="8" w:color="DBDBDB"/>
            </w:tcBorders>
            <w:shd w:val="clear" w:color="auto" w:fill="DBDBDB"/>
          </w:tcPr>
          <w:p>
            <w:pPr>
              <w:jc w:val="center"/>
              <w:ind w:right="48"/>
              <w:spacing w:after="0"/>
              <w:rPr>
                <w:sz w:val="20"/>
                <w:szCs w:val="20"/>
                <w:color w:val="auto"/>
              </w:rPr>
            </w:pPr>
            <w:r>
              <w:rPr>
                <w:rFonts w:ascii="Arial" w:cs="Arial" w:eastAsia="Arial" w:hAnsi="Arial"/>
                <w:sz w:val="14"/>
                <w:szCs w:val="14"/>
                <w:color w:val="auto"/>
                <w:w w:val="99"/>
              </w:rPr>
              <w:t>—</w:t>
            </w:r>
          </w:p>
        </w:tc>
      </w:tr>
      <w:tr>
        <w:trPr>
          <w:trHeight w:val="215"/>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EBIT</w:t>
            </w:r>
          </w:p>
        </w:tc>
        <w:tc>
          <w:tcPr>
            <w:tcW w:w="144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5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135,922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70,470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11,840</w:t>
            </w:r>
          </w:p>
        </w:tc>
      </w:tr>
      <w:tr>
        <w:trPr>
          <w:trHeight w:val="217"/>
        </w:trPr>
        <w:tc>
          <w:tcPr>
            <w:tcW w:w="42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Restructuring costs</w:t>
            </w:r>
            <w:r>
              <w:rPr>
                <w:rFonts w:ascii="Arial" w:cs="Arial" w:eastAsia="Arial" w:hAnsi="Arial"/>
                <w:sz w:val="9"/>
                <w:szCs w:val="9"/>
                <w:color w:val="auto"/>
              </w:rPr>
              <w:t>(2)</w:t>
            </w:r>
          </w:p>
        </w:tc>
        <w:tc>
          <w:tcPr>
            <w:tcW w:w="13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1540" w:type="dxa"/>
            <w:vAlign w:val="bottom"/>
            <w:tcBorders>
              <w:bottom w:val="single" w:sz="8" w:color="DBDBDB"/>
            </w:tcBorders>
            <w:shd w:val="clear" w:color="auto" w:fill="DBDBDB"/>
          </w:tcPr>
          <w:p>
            <w:pPr>
              <w:jc w:val="right"/>
              <w:ind w:right="308"/>
              <w:spacing w:after="0"/>
              <w:rPr>
                <w:sz w:val="20"/>
                <w:szCs w:val="20"/>
                <w:color w:val="auto"/>
              </w:rPr>
            </w:pPr>
            <w:r>
              <w:rPr>
                <w:rFonts w:ascii="Arial" w:cs="Arial" w:eastAsia="Arial" w:hAnsi="Arial"/>
                <w:sz w:val="14"/>
                <w:szCs w:val="14"/>
                <w:color w:val="auto"/>
              </w:rPr>
              <w:t>12,403</w:t>
            </w:r>
          </w:p>
        </w:tc>
        <w:tc>
          <w:tcPr>
            <w:tcW w:w="1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700" w:type="dxa"/>
            <w:vAlign w:val="bottom"/>
            <w:tcBorders>
              <w:bottom w:val="single" w:sz="8" w:color="DBDBDB"/>
            </w:tcBorders>
            <w:gridSpan w:val="2"/>
            <w:shd w:val="clear" w:color="auto" w:fill="DBDBDB"/>
          </w:tcPr>
          <w:p>
            <w:pPr>
              <w:jc w:val="center"/>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tcBorders>
            <w:shd w:val="clear" w:color="auto" w:fill="DBDBDB"/>
          </w:tcPr>
          <w:p>
            <w:pPr>
              <w:spacing w:after="0"/>
              <w:rPr>
                <w:sz w:val="18"/>
                <w:szCs w:val="18"/>
                <w:color w:val="auto"/>
              </w:rPr>
            </w:pPr>
          </w:p>
        </w:tc>
        <w:tc>
          <w:tcPr>
            <w:tcW w:w="1660" w:type="dxa"/>
            <w:vAlign w:val="bottom"/>
            <w:tcBorders>
              <w:bottom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color w:val="auto"/>
              </w:rPr>
              <w:t>2,526</w:t>
            </w:r>
          </w:p>
        </w:tc>
      </w:tr>
      <w:tr>
        <w:trPr>
          <w:trHeight w:val="208"/>
        </w:trPr>
        <w:tc>
          <w:tcPr>
            <w:tcW w:w="4260" w:type="dxa"/>
            <w:vAlign w:val="bottom"/>
          </w:tcPr>
          <w:p>
            <w:pPr>
              <w:ind w:left="240"/>
              <w:spacing w:after="0"/>
              <w:rPr>
                <w:sz w:val="20"/>
                <w:szCs w:val="20"/>
                <w:color w:val="auto"/>
              </w:rPr>
            </w:pPr>
            <w:r>
              <w:rPr>
                <w:rFonts w:ascii="Arial" w:cs="Arial" w:eastAsia="Arial" w:hAnsi="Arial"/>
                <w:sz w:val="14"/>
                <w:szCs w:val="14"/>
                <w:color w:val="auto"/>
              </w:rPr>
              <w:t>Gain on NMTC settlement</w:t>
            </w:r>
            <w:r>
              <w:rPr>
                <w:rFonts w:ascii="Arial" w:cs="Arial" w:eastAsia="Arial" w:hAnsi="Arial"/>
                <w:sz w:val="9"/>
                <w:szCs w:val="9"/>
                <w:color w:val="auto"/>
              </w:rPr>
              <w:t>(6)</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268"/>
              <w:spacing w:after="0"/>
              <w:rPr>
                <w:sz w:val="20"/>
                <w:szCs w:val="20"/>
                <w:color w:val="auto"/>
              </w:rPr>
            </w:pPr>
            <w:r>
              <w:rPr>
                <w:rFonts w:ascii="Arial" w:cs="Arial" w:eastAsia="Arial" w:hAnsi="Arial"/>
                <w:sz w:val="14"/>
                <w:szCs w:val="14"/>
                <w:color w:val="auto"/>
              </w:rPr>
              <w:t>(4,687)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268"/>
              <w:spacing w:after="0"/>
              <w:rPr>
                <w:sz w:val="20"/>
                <w:szCs w:val="20"/>
                <w:color w:val="auto"/>
              </w:rPr>
            </w:pPr>
            <w:r>
              <w:rPr>
                <w:rFonts w:ascii="Arial" w:cs="Arial" w:eastAsia="Arial" w:hAnsi="Arial"/>
                <w:sz w:val="14"/>
                <w:szCs w:val="14"/>
                <w:color w:val="auto"/>
              </w:rPr>
              <w:t>(4,687)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r>
      <w:tr>
        <w:trPr>
          <w:trHeight w:val="22"/>
        </w:trPr>
        <w:tc>
          <w:tcPr>
            <w:tcW w:w="4260" w:type="dxa"/>
            <w:vAlign w:val="bottom"/>
            <w:tcBorders>
              <w:bottom w:val="single" w:sz="8" w:color="DBDBDB"/>
            </w:tcBorders>
          </w:tcPr>
          <w:p>
            <w:pPr>
              <w:spacing w:after="0" w:line="20" w:lineRule="exact"/>
              <w:rPr>
                <w:sz w:val="1"/>
                <w:szCs w:val="1"/>
                <w:color w:val="auto"/>
              </w:rPr>
            </w:pPr>
          </w:p>
        </w:tc>
        <w:tc>
          <w:tcPr>
            <w:tcW w:w="13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43"/>
        </w:trPr>
        <w:tc>
          <w:tcPr>
            <w:tcW w:w="4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Adjusted EBIT</w:t>
            </w:r>
          </w:p>
        </w:tc>
        <w:tc>
          <w:tcPr>
            <w:tcW w:w="1440" w:type="dxa"/>
            <w:vAlign w:val="bottom"/>
            <w:tcBorders>
              <w:bottom w:val="single" w:sz="8" w:color="DBDBDB"/>
            </w:tcBorders>
            <w:gridSpan w:val="2"/>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540" w:type="dxa"/>
            <w:vAlign w:val="bottom"/>
            <w:tcBorders>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b w:val="1"/>
                <w:bCs w:val="1"/>
                <w:color w:val="auto"/>
              </w:rPr>
              <w:t>143,638</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DBDBDB"/>
          </w:tcPr>
          <w:p>
            <w:pPr>
              <w:jc w:val="right"/>
              <w:ind w:right="308"/>
              <w:spacing w:after="0"/>
              <w:rPr>
                <w:sz w:val="20"/>
                <w:szCs w:val="20"/>
                <w:color w:val="auto"/>
              </w:rPr>
            </w:pPr>
            <w:r>
              <w:rPr>
                <w:rFonts w:ascii="Arial" w:cs="Arial" w:eastAsia="Arial" w:hAnsi="Arial"/>
                <w:sz w:val="14"/>
                <w:szCs w:val="14"/>
                <w:b w:val="1"/>
                <w:bCs w:val="1"/>
                <w:color w:val="auto"/>
              </w:rPr>
              <w:t>65,783</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DBDBDB"/>
          </w:tcPr>
          <w:p>
            <w:pPr>
              <w:jc w:val="right"/>
              <w:ind w:right="408"/>
              <w:spacing w:after="0"/>
              <w:rPr>
                <w:sz w:val="20"/>
                <w:szCs w:val="20"/>
                <w:color w:val="auto"/>
              </w:rPr>
            </w:pPr>
            <w:r>
              <w:rPr>
                <w:rFonts w:ascii="Arial" w:cs="Arial" w:eastAsia="Arial" w:hAnsi="Arial"/>
                <w:sz w:val="14"/>
                <w:szCs w:val="14"/>
                <w:b w:val="1"/>
                <w:bCs w:val="1"/>
                <w:color w:val="auto"/>
              </w:rPr>
              <w:t>14,366</w:t>
            </w:r>
          </w:p>
        </w:tc>
      </w:tr>
      <w:tr>
        <w:trPr>
          <w:trHeight w:val="20"/>
        </w:trPr>
        <w:tc>
          <w:tcPr>
            <w:tcW w:w="4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440"/>
        </w:trPr>
        <w:tc>
          <w:tcPr>
            <w:tcW w:w="426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05445E"/>
              </w:rPr>
              <w:t>Fiscal Year 2023 (52 weeks)</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DBDBDB"/>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05445E"/>
              </w:rPr>
              <w:t>Consolidated</w:t>
            </w:r>
          </w:p>
        </w:tc>
        <w:tc>
          <w:tcPr>
            <w:tcW w:w="100" w:type="dxa"/>
            <w:vAlign w:val="bottom"/>
            <w:tcBorders>
              <w:bottom w:val="single" w:sz="8" w:color="DBDBDB"/>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05445E"/>
              </w:rPr>
              <w:t>Architectural Glass</w:t>
            </w:r>
          </w:p>
        </w:tc>
        <w:tc>
          <w:tcPr>
            <w:tcW w:w="100" w:type="dxa"/>
            <w:vAlign w:val="bottom"/>
            <w:tcBorders>
              <w:bottom w:val="single" w:sz="8" w:color="DBDBDB"/>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05445E"/>
              </w:rPr>
              <w:t>Architectural Services</w:t>
            </w:r>
          </w:p>
        </w:tc>
      </w:tr>
      <w:tr>
        <w:trPr>
          <w:trHeight w:val="230"/>
        </w:trPr>
        <w:tc>
          <w:tcPr>
            <w:tcW w:w="426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Net earnings</w:t>
            </w:r>
          </w:p>
        </w:tc>
        <w:tc>
          <w:tcPr>
            <w:tcW w:w="1700" w:type="dxa"/>
            <w:vAlign w:val="bottom"/>
            <w:gridSpan w:val="3"/>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DBDBDB"/>
          </w:tcPr>
          <w:p>
            <w:pPr>
              <w:jc w:val="right"/>
              <w:ind w:right="268"/>
              <w:spacing w:after="0"/>
              <w:rPr>
                <w:sz w:val="20"/>
                <w:szCs w:val="20"/>
                <w:color w:val="auto"/>
              </w:rPr>
            </w:pPr>
            <w:r>
              <w:rPr>
                <w:rFonts w:ascii="Arial" w:cs="Arial" w:eastAsia="Arial" w:hAnsi="Arial"/>
                <w:sz w:val="14"/>
                <w:szCs w:val="14"/>
                <w:b w:val="1"/>
                <w:bCs w:val="1"/>
                <w:color w:val="auto"/>
              </w:rPr>
              <w:t>104,107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DBDBDB"/>
          </w:tcPr>
          <w:p>
            <w:pPr>
              <w:jc w:val="right"/>
              <w:ind w:right="308"/>
              <w:spacing w:after="0"/>
              <w:rPr>
                <w:sz w:val="20"/>
                <w:szCs w:val="20"/>
                <w:color w:val="auto"/>
              </w:rPr>
            </w:pPr>
            <w:r>
              <w:rPr>
                <w:rFonts w:ascii="Arial" w:cs="Arial" w:eastAsia="Arial" w:hAnsi="Arial"/>
                <w:sz w:val="14"/>
                <w:szCs w:val="14"/>
                <w:b w:val="1"/>
                <w:bCs w:val="1"/>
                <w:color w:val="auto"/>
              </w:rPr>
              <w:t>28,562</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DBDBDB"/>
          </w:tcPr>
          <w:p>
            <w:pPr>
              <w:jc w:val="right"/>
              <w:ind w:right="408"/>
              <w:spacing w:after="0"/>
              <w:rPr>
                <w:sz w:val="20"/>
                <w:szCs w:val="20"/>
                <w:color w:val="auto"/>
              </w:rPr>
            </w:pPr>
            <w:r>
              <w:rPr>
                <w:rFonts w:ascii="Arial" w:cs="Arial" w:eastAsia="Arial" w:hAnsi="Arial"/>
                <w:sz w:val="14"/>
                <w:szCs w:val="14"/>
                <w:b w:val="1"/>
                <w:bCs w:val="1"/>
                <w:color w:val="auto"/>
              </w:rPr>
              <w:t>18,140</w:t>
            </w:r>
          </w:p>
        </w:tc>
      </w:tr>
      <w:tr>
        <w:trPr>
          <w:trHeight w:val="208"/>
        </w:trPr>
        <w:tc>
          <w:tcPr>
            <w:tcW w:w="4260" w:type="dxa"/>
            <w:vAlign w:val="bottom"/>
          </w:tcPr>
          <w:p>
            <w:pPr>
              <w:ind w:left="240"/>
              <w:spacing w:after="0"/>
              <w:rPr>
                <w:sz w:val="20"/>
                <w:szCs w:val="20"/>
                <w:color w:val="auto"/>
              </w:rPr>
            </w:pPr>
            <w:r>
              <w:rPr>
                <w:rFonts w:ascii="Arial" w:cs="Arial" w:eastAsia="Arial" w:hAnsi="Arial"/>
                <w:sz w:val="14"/>
                <w:szCs w:val="14"/>
                <w:color w:val="auto"/>
              </w:rPr>
              <w:t>Income tax expense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268"/>
              <w:spacing w:after="0"/>
              <w:rPr>
                <w:sz w:val="20"/>
                <w:szCs w:val="20"/>
                <w:color w:val="auto"/>
              </w:rPr>
            </w:pPr>
            <w:r>
              <w:rPr>
                <w:rFonts w:ascii="Arial" w:cs="Arial" w:eastAsia="Arial" w:hAnsi="Arial"/>
                <w:sz w:val="14"/>
                <w:szCs w:val="14"/>
                <w:color w:val="auto"/>
              </w:rPr>
              <w:t>12,514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6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r>
      <w:tr>
        <w:trPr>
          <w:trHeight w:val="22"/>
        </w:trPr>
        <w:tc>
          <w:tcPr>
            <w:tcW w:w="4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0"/>
        </w:trPr>
        <w:tc>
          <w:tcPr>
            <w:tcW w:w="42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Interest expense, net</w:t>
            </w:r>
          </w:p>
        </w:tc>
        <w:tc>
          <w:tcPr>
            <w:tcW w:w="134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DBDBDB"/>
            </w:tcBorders>
            <w:shd w:val="clear" w:color="auto" w:fill="DBDBDB"/>
          </w:tcPr>
          <w:p>
            <w:pPr>
              <w:spacing w:after="0"/>
              <w:rPr>
                <w:sz w:val="19"/>
                <w:szCs w:val="19"/>
                <w:color w:val="auto"/>
              </w:rPr>
            </w:pPr>
          </w:p>
        </w:tc>
        <w:tc>
          <w:tcPr>
            <w:tcW w:w="154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rPr>
              <w:t>7,660</w:t>
            </w:r>
          </w:p>
        </w:tc>
        <w:tc>
          <w:tcPr>
            <w:tcW w:w="10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spacing w:after="0"/>
              <w:rPr>
                <w:sz w:val="19"/>
                <w:szCs w:val="19"/>
                <w:color w:val="auto"/>
              </w:rPr>
            </w:pPr>
          </w:p>
        </w:tc>
        <w:tc>
          <w:tcPr>
            <w:tcW w:w="1700" w:type="dxa"/>
            <w:vAlign w:val="bottom"/>
            <w:tcBorders>
              <w:bottom w:val="single" w:sz="8" w:color="DBDBDB"/>
            </w:tcBorders>
            <w:gridSpan w:val="2"/>
            <w:shd w:val="clear" w:color="auto" w:fill="DBDBDB"/>
          </w:tcPr>
          <w:p>
            <w:pPr>
              <w:jc w:val="center"/>
              <w:ind w:righ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DBDB"/>
            </w:tcBorders>
            <w:shd w:val="clear" w:color="auto" w:fill="DBDBDB"/>
          </w:tcPr>
          <w:p>
            <w:pPr>
              <w:spacing w:after="0"/>
              <w:rPr>
                <w:sz w:val="19"/>
                <w:szCs w:val="19"/>
                <w:color w:val="auto"/>
              </w:rPr>
            </w:pPr>
          </w:p>
        </w:tc>
        <w:tc>
          <w:tcPr>
            <w:tcW w:w="1660" w:type="dxa"/>
            <w:vAlign w:val="bottom"/>
            <w:tcBorders>
              <w:bottom w:val="single" w:sz="8" w:color="DBDBDB"/>
            </w:tcBorders>
            <w:shd w:val="clear" w:color="auto" w:fill="DBDBDB"/>
          </w:tcPr>
          <w:p>
            <w:pPr>
              <w:jc w:val="center"/>
              <w:ind w:right="48"/>
              <w:spacing w:after="0"/>
              <w:rPr>
                <w:sz w:val="20"/>
                <w:szCs w:val="20"/>
                <w:color w:val="auto"/>
              </w:rPr>
            </w:pPr>
            <w:r>
              <w:rPr>
                <w:rFonts w:ascii="Arial" w:cs="Arial" w:eastAsia="Arial" w:hAnsi="Arial"/>
                <w:sz w:val="14"/>
                <w:szCs w:val="14"/>
                <w:color w:val="auto"/>
                <w:w w:val="99"/>
              </w:rPr>
              <w:t>—</w:t>
            </w:r>
          </w:p>
        </w:tc>
      </w:tr>
      <w:tr>
        <w:trPr>
          <w:trHeight w:val="223"/>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EBIT</w:t>
            </w:r>
          </w:p>
        </w:tc>
        <w:tc>
          <w:tcPr>
            <w:tcW w:w="144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5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124,281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28,562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18,140</w:t>
            </w:r>
          </w:p>
        </w:tc>
      </w:tr>
      <w:tr>
        <w:trPr>
          <w:trHeight w:val="20"/>
        </w:trPr>
        <w:tc>
          <w:tcPr>
            <w:tcW w:w="4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87" w:name="page88"/>
    <w:bookmarkEnd w:id="87"/>
    <w:p>
      <w:pPr>
        <w:ind w:left="360" w:hanging="352"/>
        <w:spacing w:after="0"/>
        <w:tabs>
          <w:tab w:leader="none" w:pos="3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Acquisition-related costs include:</w:t>
      </w:r>
    </w:p>
    <w:p>
      <w:pPr>
        <w:spacing w:after="0" w:line="11" w:lineRule="exact"/>
        <w:rPr>
          <w:rFonts w:ascii="Arial" w:cs="Arial" w:eastAsia="Arial" w:hAnsi="Arial"/>
          <w:sz w:val="13"/>
          <w:szCs w:val="13"/>
          <w:color w:val="auto"/>
        </w:rPr>
      </w:pPr>
    </w:p>
    <w:p>
      <w:pPr>
        <w:ind w:left="1000" w:hanging="317"/>
        <w:spacing w:after="0"/>
        <w:tabs>
          <w:tab w:leader="none" w:pos="1000" w:val="left"/>
        </w:tabs>
        <w:numPr>
          <w:ilvl w:val="1"/>
          <w:numId w:val="73"/>
        </w:numPr>
        <w:rPr>
          <w:rFonts w:ascii="Arial" w:cs="Arial" w:eastAsia="Arial" w:hAnsi="Arial"/>
          <w:sz w:val="13"/>
          <w:szCs w:val="13"/>
          <w:color w:val="auto"/>
        </w:rPr>
      </w:pPr>
      <w:r>
        <w:rPr>
          <w:rFonts w:ascii="Arial" w:cs="Arial" w:eastAsia="Arial" w:hAnsi="Arial"/>
          <w:sz w:val="13"/>
          <w:szCs w:val="13"/>
          <w:color w:val="auto"/>
        </w:rPr>
        <w:t>Transaction costs related to the UW Solutions acquisition.</w:t>
      </w:r>
    </w:p>
    <w:p>
      <w:pPr>
        <w:ind w:left="1000" w:hanging="317"/>
        <w:spacing w:after="0"/>
        <w:tabs>
          <w:tab w:leader="none" w:pos="1000" w:val="left"/>
        </w:tabs>
        <w:numPr>
          <w:ilvl w:val="1"/>
          <w:numId w:val="73"/>
        </w:numPr>
        <w:rPr>
          <w:rFonts w:ascii="Arial" w:cs="Arial" w:eastAsia="Arial" w:hAnsi="Arial"/>
          <w:sz w:val="13"/>
          <w:szCs w:val="13"/>
          <w:color w:val="auto"/>
        </w:rPr>
      </w:pPr>
      <w:r>
        <w:rPr>
          <w:rFonts w:ascii="Arial" w:cs="Arial" w:eastAsia="Arial" w:hAnsi="Arial"/>
          <w:sz w:val="13"/>
          <w:szCs w:val="13"/>
          <w:color w:val="auto"/>
        </w:rPr>
        <w:t>Integration costs related to one-time expenses incurred to integrate the UW Solutions acquisition.</w:t>
      </w:r>
    </w:p>
    <w:p>
      <w:pPr>
        <w:spacing w:after="0" w:line="4" w:lineRule="exact"/>
        <w:rPr>
          <w:rFonts w:ascii="Arial" w:cs="Arial" w:eastAsia="Arial" w:hAnsi="Arial"/>
          <w:sz w:val="13"/>
          <w:szCs w:val="13"/>
          <w:color w:val="auto"/>
        </w:rPr>
      </w:pPr>
    </w:p>
    <w:p>
      <w:pPr>
        <w:ind w:left="1000" w:right="20" w:hanging="317"/>
        <w:spacing w:after="0" w:line="244" w:lineRule="auto"/>
        <w:tabs>
          <w:tab w:leader="none" w:pos="990" w:val="left"/>
        </w:tabs>
        <w:numPr>
          <w:ilvl w:val="1"/>
          <w:numId w:val="73"/>
        </w:numPr>
        <w:rPr>
          <w:rFonts w:ascii="Arial" w:cs="Arial" w:eastAsia="Arial" w:hAnsi="Arial"/>
          <w:sz w:val="13"/>
          <w:szCs w:val="13"/>
          <w:color w:val="auto"/>
        </w:rPr>
      </w:pPr>
      <w:r>
        <w:rPr>
          <w:rFonts w:ascii="Arial" w:cs="Arial" w:eastAsia="Arial" w:hAnsi="Arial"/>
          <w:sz w:val="13"/>
          <w:szCs w:val="13"/>
          <w:color w:val="auto"/>
        </w:rPr>
        <w:t>Backlog amortization is related the value attributed to contracting the backlog purchased in the UW Solutions acquisition. These costs were amortized in SG&amp;A over the period that the contracted backlog was shipped.</w:t>
      </w:r>
    </w:p>
    <w:p>
      <w:pPr>
        <w:spacing w:after="0" w:line="1" w:lineRule="exact"/>
        <w:rPr>
          <w:rFonts w:ascii="Arial" w:cs="Arial" w:eastAsia="Arial" w:hAnsi="Arial"/>
          <w:sz w:val="13"/>
          <w:szCs w:val="13"/>
          <w:color w:val="auto"/>
        </w:rPr>
      </w:pPr>
    </w:p>
    <w:p>
      <w:pPr>
        <w:ind w:left="1000" w:right="20" w:hanging="317"/>
        <w:spacing w:after="0" w:line="245" w:lineRule="auto"/>
        <w:tabs>
          <w:tab w:leader="none" w:pos="990" w:val="left"/>
        </w:tabs>
        <w:numPr>
          <w:ilvl w:val="1"/>
          <w:numId w:val="73"/>
        </w:numPr>
        <w:rPr>
          <w:rFonts w:ascii="Arial" w:cs="Arial" w:eastAsia="Arial" w:hAnsi="Arial"/>
          <w:sz w:val="13"/>
          <w:szCs w:val="13"/>
          <w:color w:val="auto"/>
        </w:rPr>
      </w:pPr>
      <w:r>
        <w:rPr>
          <w:rFonts w:ascii="Arial" w:cs="Arial" w:eastAsia="Arial" w:hAnsi="Arial"/>
          <w:sz w:val="13"/>
          <w:szCs w:val="13"/>
          <w:color w:val="auto"/>
        </w:rPr>
        <w:t>Inventory step-up is related to the incremental cost to value inventory acquired as part of the UW Solutions acquisition at fair value. These costs were expensed to cost of goods sold over the period the inventory was sold.</w:t>
      </w:r>
    </w:p>
    <w:p>
      <w:pPr>
        <w:spacing w:after="0" w:line="33" w:lineRule="exact"/>
        <w:rPr>
          <w:rFonts w:ascii="Arial" w:cs="Arial" w:eastAsia="Arial" w:hAnsi="Arial"/>
          <w:sz w:val="13"/>
          <w:szCs w:val="13"/>
          <w:color w:val="auto"/>
        </w:rPr>
      </w:pPr>
    </w:p>
    <w:p>
      <w:pPr>
        <w:ind w:left="360" w:hanging="352"/>
        <w:spacing w:after="0" w:line="264" w:lineRule="auto"/>
        <w:tabs>
          <w:tab w:leader="none" w:pos="3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Restructuring charges related to Project Fortify, including $1.1 million of employee termination costs and $3.2 million of other costs incurred in fiscal 2025. Restructuring charges related to Project Fortify, including $6.2 million of asset impairment charges, $5.9 million of employee termination costs and $0.3 million of other costs incurred in fiscal 2024.</w:t>
      </w:r>
    </w:p>
    <w:p>
      <w:pPr>
        <w:spacing w:after="0" w:line="22" w:lineRule="exact"/>
        <w:rPr>
          <w:rFonts w:ascii="Arial" w:cs="Arial" w:eastAsia="Arial" w:hAnsi="Arial"/>
          <w:sz w:val="13"/>
          <w:szCs w:val="13"/>
          <w:color w:val="auto"/>
        </w:rPr>
      </w:pPr>
    </w:p>
    <w:p>
      <w:pPr>
        <w:ind w:left="360" w:hanging="352"/>
        <w:spacing w:after="0"/>
        <w:tabs>
          <w:tab w:leader="none" w:pos="3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Impairment expense for intangible assets in the Architectural Metals Segment.</w:t>
      </w:r>
    </w:p>
    <w:p>
      <w:pPr>
        <w:spacing w:after="0" w:line="107" w:lineRule="exact"/>
        <w:rPr>
          <w:rFonts w:ascii="Arial" w:cs="Arial" w:eastAsia="Arial" w:hAnsi="Arial"/>
          <w:sz w:val="13"/>
          <w:szCs w:val="13"/>
          <w:color w:val="auto"/>
        </w:rPr>
      </w:pPr>
    </w:p>
    <w:p>
      <w:pPr>
        <w:ind w:left="360" w:hanging="352"/>
        <w:spacing w:after="0"/>
        <w:tabs>
          <w:tab w:leader="none" w:pos="3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Expense related to an arbitration award which represent the impact of the award amount net of existing reserves and estimated insurance proceeds.</w:t>
      </w:r>
    </w:p>
    <w:p>
      <w:pPr>
        <w:spacing w:after="0" w:line="53" w:lineRule="exact"/>
        <w:rPr>
          <w:rFonts w:ascii="Arial" w:cs="Arial" w:eastAsia="Arial" w:hAnsi="Arial"/>
          <w:sz w:val="13"/>
          <w:szCs w:val="13"/>
          <w:color w:val="auto"/>
        </w:rPr>
      </w:pPr>
    </w:p>
    <w:p>
      <w:pPr>
        <w:ind w:left="360" w:hanging="352"/>
        <w:spacing w:after="0"/>
        <w:tabs>
          <w:tab w:leader="none" w:pos="3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Excludes the operating income and investment impact of UW Solutions, acquired on November 4, 2024.</w:t>
      </w:r>
    </w:p>
    <w:p>
      <w:pPr>
        <w:spacing w:after="0" w:line="53" w:lineRule="exact"/>
        <w:rPr>
          <w:rFonts w:ascii="Arial" w:cs="Arial" w:eastAsia="Arial" w:hAnsi="Arial"/>
          <w:sz w:val="13"/>
          <w:szCs w:val="13"/>
          <w:color w:val="auto"/>
        </w:rPr>
      </w:pPr>
    </w:p>
    <w:p>
      <w:pPr>
        <w:ind w:left="360" w:hanging="352"/>
        <w:spacing w:after="0"/>
        <w:tabs>
          <w:tab w:leader="none" w:pos="3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Realization of a New Markets Tax Credit (NMTC) benefit during the second quarter of fiscal 2024, which was recorded in other expense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00" w:top="986" w:right="37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338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rPr>
              <w:t>Apogee Enterprises, Inc.</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9"/>
        </w:trPr>
        <w:tc>
          <w:tcPr>
            <w:tcW w:w="9520" w:type="dxa"/>
            <w:vAlign w:val="bottom"/>
            <w:gridSpan w:val="9"/>
          </w:tcPr>
          <w:p>
            <w:pPr>
              <w:jc w:val="center"/>
              <w:ind w:left="1668"/>
              <w:spacing w:after="0"/>
              <w:rPr>
                <w:sz w:val="20"/>
                <w:szCs w:val="20"/>
                <w:color w:val="auto"/>
              </w:rPr>
            </w:pPr>
            <w:r>
              <w:rPr>
                <w:rFonts w:ascii="Arial" w:cs="Arial" w:eastAsia="Arial" w:hAnsi="Arial"/>
                <w:sz w:val="14"/>
                <w:szCs w:val="14"/>
                <w:b w:val="1"/>
                <w:bCs w:val="1"/>
                <w:color w:val="auto"/>
              </w:rPr>
              <w:t>Reconciliation of Non-GAAP Financial Measure - Adjusted Return on Invested Capital (Adjusted ROIC)</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4"/>
        </w:trPr>
        <w:tc>
          <w:tcPr>
            <w:tcW w:w="4300" w:type="dxa"/>
            <w:vAlign w:val="bottom"/>
          </w:tcPr>
          <w:p>
            <w:pPr>
              <w:spacing w:after="0"/>
              <w:rPr>
                <w:sz w:val="19"/>
                <w:szCs w:val="19"/>
                <w:color w:val="auto"/>
              </w:rPr>
            </w:pPr>
          </w:p>
        </w:tc>
        <w:tc>
          <w:tcPr>
            <w:tcW w:w="3380" w:type="dxa"/>
            <w:vAlign w:val="bottom"/>
            <w:gridSpan w:val="5"/>
          </w:tcPr>
          <w:p>
            <w:pPr>
              <w:jc w:val="center"/>
              <w:ind w:right="740"/>
              <w:spacing w:after="0"/>
              <w:rPr>
                <w:sz w:val="20"/>
                <w:szCs w:val="20"/>
                <w:color w:val="auto"/>
              </w:rPr>
            </w:pPr>
            <w:r>
              <w:rPr>
                <w:rFonts w:ascii="Arial" w:cs="Arial" w:eastAsia="Arial" w:hAnsi="Arial"/>
                <w:sz w:val="14"/>
                <w:szCs w:val="14"/>
                <w:color w:val="auto"/>
              </w:rPr>
              <w:t>(unaudited) (in thousands)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5"/>
        </w:trPr>
        <w:tc>
          <w:tcPr>
            <w:tcW w:w="4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Twelve Months Ended</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09"/>
        </w:trPr>
        <w:tc>
          <w:tcPr>
            <w:tcW w:w="4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1, 2025</w:t>
            </w: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March 2, 2024</w:t>
            </w:r>
          </w:p>
        </w:tc>
        <w:tc>
          <w:tcPr>
            <w:tcW w:w="160" w:type="dxa"/>
            <w:vAlign w:val="bottom"/>
          </w:tcPr>
          <w:p>
            <w:pPr>
              <w:spacing w:after="0"/>
              <w:rPr>
                <w:sz w:val="18"/>
                <w:szCs w:val="18"/>
                <w:color w:val="auto"/>
              </w:rPr>
            </w:pPr>
          </w:p>
        </w:tc>
        <w:tc>
          <w:tcPr>
            <w:tcW w:w="1560" w:type="dxa"/>
            <w:vAlign w:val="bottom"/>
          </w:tcPr>
          <w:p>
            <w:pPr>
              <w:jc w:val="center"/>
              <w:ind w:right="108"/>
              <w:spacing w:after="0"/>
              <w:rPr>
                <w:sz w:val="20"/>
                <w:szCs w:val="20"/>
                <w:color w:val="auto"/>
              </w:rPr>
            </w:pPr>
            <w:r>
              <w:rPr>
                <w:rFonts w:ascii="Arial" w:cs="Arial" w:eastAsia="Arial" w:hAnsi="Arial"/>
                <w:sz w:val="14"/>
                <w:szCs w:val="14"/>
                <w:b w:val="1"/>
                <w:bCs w:val="1"/>
                <w:color w:val="auto"/>
              </w:rPr>
              <w:t>February 25, 2023</w:t>
            </w:r>
          </w:p>
        </w:tc>
      </w:tr>
      <w:tr>
        <w:trPr>
          <w:trHeight w:val="205"/>
        </w:trPr>
        <w:tc>
          <w:tcPr>
            <w:tcW w:w="4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(52 weeks)</w:t>
            </w:r>
          </w:p>
        </w:tc>
        <w:tc>
          <w:tcPr>
            <w:tcW w:w="8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(53 weeks)</w:t>
            </w:r>
          </w:p>
        </w:tc>
        <w:tc>
          <w:tcPr>
            <w:tcW w:w="10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(52 weeks)</w:t>
            </w:r>
          </w:p>
        </w:tc>
      </w:tr>
      <w:tr>
        <w:trPr>
          <w:trHeight w:val="210"/>
        </w:trPr>
        <w:tc>
          <w:tcPr>
            <w:tcW w:w="4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earnings</w:t>
            </w:r>
          </w:p>
        </w:tc>
        <w:tc>
          <w:tcPr>
            <w:tcW w:w="1820" w:type="dxa"/>
            <w:vAlign w:val="bottom"/>
            <w:tcBorders>
              <w:bottom w:val="single" w:sz="8" w:color="DBDBDB"/>
            </w:tcBorders>
            <w:gridSpan w:val="3"/>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BDBDB"/>
            </w:tcBorders>
            <w:shd w:val="clear" w:color="auto" w:fill="DBDBDB"/>
          </w:tcPr>
          <w:p>
            <w:pPr>
              <w:jc w:val="right"/>
              <w:ind w:right="308"/>
              <w:spacing w:after="0"/>
              <w:rPr>
                <w:sz w:val="20"/>
                <w:szCs w:val="20"/>
                <w:color w:val="auto"/>
              </w:rPr>
            </w:pPr>
            <w:r>
              <w:rPr>
                <w:rFonts w:ascii="Arial" w:cs="Arial" w:eastAsia="Arial" w:hAnsi="Arial"/>
                <w:sz w:val="14"/>
                <w:szCs w:val="14"/>
                <w:color w:val="auto"/>
              </w:rPr>
              <w:t>85,052</w:t>
            </w:r>
          </w:p>
        </w:tc>
        <w:tc>
          <w:tcPr>
            <w:tcW w:w="8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DBDBDB"/>
            </w:tcBorders>
            <w:shd w:val="clear" w:color="auto" w:fill="DBDBDB"/>
          </w:tcPr>
          <w:p>
            <w:pPr>
              <w:jc w:val="right"/>
              <w:ind w:right="388"/>
              <w:spacing w:after="0"/>
              <w:rPr>
                <w:sz w:val="20"/>
                <w:szCs w:val="20"/>
                <w:color w:val="auto"/>
              </w:rPr>
            </w:pPr>
            <w:r>
              <w:rPr>
                <w:rFonts w:ascii="Arial" w:cs="Arial" w:eastAsia="Arial" w:hAnsi="Arial"/>
                <w:sz w:val="14"/>
                <w:szCs w:val="14"/>
                <w:color w:val="auto"/>
              </w:rPr>
              <w:t>99,613</w:t>
            </w:r>
          </w:p>
        </w:tc>
        <w:tc>
          <w:tcPr>
            <w:tcW w:w="1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rPr>
              <w:t>104,107</w:t>
            </w:r>
          </w:p>
        </w:tc>
      </w:tr>
      <w:tr>
        <w:trPr>
          <w:trHeight w:val="208"/>
        </w:trPr>
        <w:tc>
          <w:tcPr>
            <w:tcW w:w="4300" w:type="dxa"/>
            <w:vAlign w:val="bottom"/>
          </w:tcPr>
          <w:p>
            <w:pPr>
              <w:ind w:left="240"/>
              <w:spacing w:after="0"/>
              <w:rPr>
                <w:sz w:val="20"/>
                <w:szCs w:val="20"/>
                <w:color w:val="auto"/>
              </w:rPr>
            </w:pPr>
            <w:r>
              <w:rPr>
                <w:rFonts w:ascii="Arial" w:cs="Arial" w:eastAsia="Arial" w:hAnsi="Arial"/>
                <w:sz w:val="14"/>
                <w:szCs w:val="14"/>
                <w:color w:val="auto"/>
              </w:rPr>
              <w:t>Interest expense, net (after tax)</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ind w:right="308"/>
              <w:spacing w:after="0"/>
              <w:rPr>
                <w:sz w:val="20"/>
                <w:szCs w:val="20"/>
                <w:color w:val="auto"/>
              </w:rPr>
            </w:pPr>
            <w:r>
              <w:rPr>
                <w:rFonts w:ascii="Arial" w:cs="Arial" w:eastAsia="Arial" w:hAnsi="Arial"/>
                <w:sz w:val="14"/>
                <w:szCs w:val="14"/>
                <w:color w:val="auto"/>
              </w:rPr>
              <w:t>4,635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388"/>
              <w:spacing w:after="0"/>
              <w:rPr>
                <w:sz w:val="20"/>
                <w:szCs w:val="20"/>
                <w:color w:val="auto"/>
              </w:rPr>
            </w:pPr>
            <w:r>
              <w:rPr>
                <w:rFonts w:ascii="Arial" w:cs="Arial" w:eastAsia="Arial" w:hAnsi="Arial"/>
                <w:sz w:val="14"/>
                <w:szCs w:val="14"/>
                <w:color w:val="auto"/>
              </w:rPr>
              <w:t>5,035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268"/>
              <w:spacing w:after="0"/>
              <w:rPr>
                <w:sz w:val="20"/>
                <w:szCs w:val="20"/>
                <w:color w:val="auto"/>
              </w:rPr>
            </w:pPr>
            <w:r>
              <w:rPr>
                <w:rFonts w:ascii="Arial" w:cs="Arial" w:eastAsia="Arial" w:hAnsi="Arial"/>
                <w:sz w:val="14"/>
                <w:szCs w:val="14"/>
                <w:color w:val="auto"/>
              </w:rPr>
              <w:t>4,596</w:t>
            </w:r>
          </w:p>
        </w:tc>
      </w:tr>
      <w:tr>
        <w:trPr>
          <w:trHeight w:val="22"/>
        </w:trPr>
        <w:tc>
          <w:tcPr>
            <w:tcW w:w="4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0"/>
        </w:trPr>
        <w:tc>
          <w:tcPr>
            <w:tcW w:w="43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Other income, net (after tax)</w:t>
            </w:r>
          </w:p>
        </w:tc>
        <w:tc>
          <w:tcPr>
            <w:tcW w:w="148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DBDBDB"/>
            </w:tcBorders>
            <w:shd w:val="clear" w:color="auto" w:fill="DBDBDB"/>
          </w:tcPr>
          <w:p>
            <w:pPr>
              <w:spacing w:after="0"/>
              <w:rPr>
                <w:sz w:val="19"/>
                <w:szCs w:val="19"/>
                <w:color w:val="auto"/>
              </w:rPr>
            </w:pPr>
          </w:p>
        </w:tc>
        <w:tc>
          <w:tcPr>
            <w:tcW w:w="1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rPr>
              <w:t>(469)</w:t>
            </w:r>
          </w:p>
        </w:tc>
        <w:tc>
          <w:tcPr>
            <w:tcW w:w="8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620" w:type="dxa"/>
            <w:vAlign w:val="bottom"/>
            <w:tcBorders>
              <w:bottom w:val="single" w:sz="8" w:color="DBDBDB"/>
            </w:tcBorders>
            <w:shd w:val="clear" w:color="auto" w:fill="DBDBDB"/>
          </w:tcPr>
          <w:p>
            <w:pPr>
              <w:ind w:left="740"/>
              <w:spacing w:after="0"/>
              <w:rPr>
                <w:sz w:val="20"/>
                <w:szCs w:val="20"/>
                <w:color w:val="auto"/>
              </w:rPr>
            </w:pPr>
            <w:r>
              <w:rPr>
                <w:rFonts w:ascii="Arial" w:cs="Arial" w:eastAsia="Arial" w:hAnsi="Arial"/>
                <w:sz w:val="14"/>
                <w:szCs w:val="14"/>
                <w:color w:val="auto"/>
              </w:rPr>
              <w:t>(1,577)</w:t>
            </w:r>
          </w:p>
        </w:tc>
        <w:tc>
          <w:tcPr>
            <w:tcW w:w="10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spacing w:after="0"/>
              <w:rPr>
                <w:sz w:val="19"/>
                <w:szCs w:val="19"/>
                <w:color w:val="auto"/>
              </w:rPr>
            </w:pPr>
          </w:p>
        </w:tc>
        <w:tc>
          <w:tcPr>
            <w:tcW w:w="156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4"/>
                <w:szCs w:val="14"/>
                <w:color w:val="auto"/>
              </w:rPr>
              <w:t>904</w:t>
            </w:r>
          </w:p>
        </w:tc>
      </w:tr>
      <w:tr>
        <w:trPr>
          <w:trHeight w:val="201"/>
        </w:trPr>
        <w:tc>
          <w:tcPr>
            <w:tcW w:w="4300" w:type="dxa"/>
            <w:vAlign w:val="bottom"/>
          </w:tcPr>
          <w:p>
            <w:pPr>
              <w:ind w:left="20"/>
              <w:spacing w:after="0"/>
              <w:rPr>
                <w:sz w:val="20"/>
                <w:szCs w:val="20"/>
                <w:color w:val="auto"/>
              </w:rPr>
            </w:pPr>
            <w:r>
              <w:rPr>
                <w:rFonts w:ascii="Arial" w:cs="Arial" w:eastAsia="Arial" w:hAnsi="Arial"/>
                <w:sz w:val="14"/>
                <w:szCs w:val="14"/>
                <w:color w:val="auto"/>
              </w:rPr>
              <w:t>Net operating income after taxes</w:t>
            </w:r>
          </w:p>
        </w:tc>
        <w:tc>
          <w:tcPr>
            <w:tcW w:w="1560" w:type="dxa"/>
            <w:vAlign w:val="bottom"/>
            <w:gridSpan w:val="2"/>
          </w:tcPr>
          <w:p>
            <w:pPr>
              <w:spacing w:after="0"/>
              <w:rPr>
                <w:sz w:val="17"/>
                <w:szCs w:val="17"/>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89,218</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tcPr>
          <w:p>
            <w:pPr>
              <w:ind w:left="600"/>
              <w:spacing w:after="0"/>
              <w:rPr>
                <w:sz w:val="20"/>
                <w:szCs w:val="20"/>
                <w:color w:val="auto"/>
              </w:rPr>
            </w:pPr>
            <w:r>
              <w:rPr>
                <w:rFonts w:ascii="Arial" w:cs="Arial" w:eastAsia="Arial" w:hAnsi="Arial"/>
                <w:sz w:val="14"/>
                <w:szCs w:val="14"/>
                <w:color w:val="auto"/>
              </w:rPr>
              <w:t>103,071</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109,607</w:t>
            </w:r>
          </w:p>
        </w:tc>
      </w:tr>
      <w:tr>
        <w:trPr>
          <w:trHeight w:val="22"/>
        </w:trPr>
        <w:tc>
          <w:tcPr>
            <w:tcW w:w="4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9"/>
        </w:trPr>
        <w:tc>
          <w:tcPr>
            <w:tcW w:w="4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Adjustments:</w:t>
            </w:r>
          </w:p>
        </w:tc>
        <w:tc>
          <w:tcPr>
            <w:tcW w:w="148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148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6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560" w:type="dxa"/>
            <w:vAlign w:val="bottom"/>
            <w:tcBorders>
              <w:bottom w:val="single" w:sz="8" w:color="DBDBDB"/>
            </w:tcBorders>
            <w:shd w:val="clear" w:color="auto" w:fill="DBDBDB"/>
          </w:tcPr>
          <w:p>
            <w:pPr>
              <w:spacing w:after="0"/>
              <w:rPr>
                <w:sz w:val="18"/>
                <w:szCs w:val="18"/>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4"/>
                <w:szCs w:val="14"/>
                <w:color w:val="auto"/>
              </w:rPr>
              <w:t xml:space="preserve">Acquisition-related costs </w:t>
            </w:r>
            <w:r>
              <w:rPr>
                <w:rFonts w:ascii="Arial" w:cs="Arial" w:eastAsia="Arial" w:hAnsi="Arial"/>
                <w:sz w:val="18"/>
                <w:szCs w:val="18"/>
                <w:color w:val="auto"/>
                <w:vertAlign w:val="superscript"/>
              </w:rPr>
              <w:t>(1)</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308"/>
              <w:spacing w:after="0"/>
              <w:rPr>
                <w:sz w:val="20"/>
                <w:szCs w:val="20"/>
                <w:color w:val="auto"/>
              </w:rPr>
            </w:pPr>
            <w:r>
              <w:rPr>
                <w:rFonts w:ascii="Arial" w:cs="Arial" w:eastAsia="Arial" w:hAnsi="Arial"/>
                <w:sz w:val="14"/>
                <w:szCs w:val="14"/>
                <w:color w:val="auto"/>
              </w:rPr>
              <w:t>10,302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560" w:type="dxa"/>
            <w:vAlign w:val="bottom"/>
          </w:tcPr>
          <w:p>
            <w:pPr>
              <w:ind w:left="400"/>
              <w:spacing w:after="0"/>
              <w:rPr>
                <w:sz w:val="20"/>
                <w:szCs w:val="20"/>
                <w:color w:val="auto"/>
              </w:rPr>
            </w:pPr>
            <w:r>
              <w:rPr>
                <w:rFonts w:ascii="Arial" w:cs="Arial" w:eastAsia="Arial" w:hAnsi="Arial"/>
                <w:sz w:val="14"/>
                <w:szCs w:val="14"/>
                <w:color w:val="auto"/>
              </w:rPr>
              <w:t>—</w:t>
            </w:r>
          </w:p>
        </w:tc>
      </w:tr>
      <w:tr>
        <w:trPr>
          <w:trHeight w:val="229"/>
        </w:trPr>
        <w:tc>
          <w:tcPr>
            <w:tcW w:w="43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xml:space="preserve">Restructuring costs </w:t>
            </w:r>
            <w:r>
              <w:rPr>
                <w:rFonts w:ascii="Arial" w:cs="Arial" w:eastAsia="Arial" w:hAnsi="Arial"/>
                <w:sz w:val="18"/>
                <w:szCs w:val="18"/>
                <w:color w:val="auto"/>
                <w:vertAlign w:val="superscript"/>
              </w:rPr>
              <w:t>(2)</w:t>
            </w: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auto"/>
              </w:rPr>
              <w:t>4,323</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20" w:type="dxa"/>
            <w:vAlign w:val="bottom"/>
            <w:shd w:val="clear" w:color="auto" w:fill="DBDBDB"/>
          </w:tcPr>
          <w:p>
            <w:pPr>
              <w:ind w:left="680"/>
              <w:spacing w:after="0"/>
              <w:rPr>
                <w:sz w:val="20"/>
                <w:szCs w:val="20"/>
                <w:color w:val="auto"/>
              </w:rPr>
            </w:pPr>
            <w:r>
              <w:rPr>
                <w:rFonts w:ascii="Arial" w:cs="Arial" w:eastAsia="Arial" w:hAnsi="Arial"/>
                <w:sz w:val="14"/>
                <w:szCs w:val="14"/>
                <w:color w:val="auto"/>
              </w:rPr>
              <w:t>12,403</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560" w:type="dxa"/>
            <w:vAlign w:val="bottom"/>
            <w:shd w:val="clear" w:color="auto" w:fill="DBDBDB"/>
          </w:tcPr>
          <w:p>
            <w:pPr>
              <w:ind w:left="400"/>
              <w:spacing w:after="0"/>
              <w:rPr>
                <w:sz w:val="20"/>
                <w:szCs w:val="20"/>
                <w:color w:val="auto"/>
              </w:rPr>
            </w:pPr>
            <w:r>
              <w:rPr>
                <w:rFonts w:ascii="Arial" w:cs="Arial" w:eastAsia="Arial" w:hAnsi="Arial"/>
                <w:sz w:val="14"/>
                <w:szCs w:val="14"/>
                <w:color w:val="auto"/>
              </w:rPr>
              <w:t>—</w:t>
            </w:r>
          </w:p>
        </w:tc>
      </w:tr>
      <w:tr>
        <w:trPr>
          <w:trHeight w:val="230"/>
        </w:trPr>
        <w:tc>
          <w:tcPr>
            <w:tcW w:w="4300" w:type="dxa"/>
            <w:vAlign w:val="bottom"/>
          </w:tcPr>
          <w:p>
            <w:pPr>
              <w:ind w:left="20"/>
              <w:spacing w:after="0"/>
              <w:rPr>
                <w:sz w:val="20"/>
                <w:szCs w:val="20"/>
                <w:color w:val="auto"/>
              </w:rPr>
            </w:pPr>
            <w:r>
              <w:rPr>
                <w:rFonts w:ascii="Arial" w:cs="Arial" w:eastAsia="Arial" w:hAnsi="Arial"/>
                <w:sz w:val="14"/>
                <w:szCs w:val="14"/>
                <w:color w:val="auto"/>
              </w:rPr>
              <w:t xml:space="preserve">Impairment expense </w:t>
            </w:r>
            <w:r>
              <w:rPr>
                <w:rFonts w:ascii="Arial" w:cs="Arial" w:eastAsia="Arial" w:hAnsi="Arial"/>
                <w:sz w:val="18"/>
                <w:szCs w:val="18"/>
                <w:color w:val="auto"/>
                <w:vertAlign w:val="superscript"/>
              </w:rPr>
              <w:t>(3)</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308"/>
              <w:spacing w:after="0"/>
              <w:rPr>
                <w:sz w:val="20"/>
                <w:szCs w:val="20"/>
                <w:color w:val="auto"/>
              </w:rPr>
            </w:pPr>
            <w:r>
              <w:rPr>
                <w:rFonts w:ascii="Arial" w:cs="Arial" w:eastAsia="Arial" w:hAnsi="Arial"/>
                <w:sz w:val="14"/>
                <w:szCs w:val="14"/>
                <w:color w:val="auto"/>
              </w:rPr>
              <w:t>7,634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560" w:type="dxa"/>
            <w:vAlign w:val="bottom"/>
          </w:tcPr>
          <w:p>
            <w:pPr>
              <w:ind w:left="400"/>
              <w:spacing w:after="0"/>
              <w:rPr>
                <w:sz w:val="20"/>
                <w:szCs w:val="20"/>
                <w:color w:val="auto"/>
              </w:rPr>
            </w:pPr>
            <w:r>
              <w:rPr>
                <w:rFonts w:ascii="Arial" w:cs="Arial" w:eastAsia="Arial" w:hAnsi="Arial"/>
                <w:sz w:val="14"/>
                <w:szCs w:val="14"/>
                <w:color w:val="auto"/>
              </w:rPr>
              <w:t>—</w:t>
            </w:r>
          </w:p>
        </w:tc>
      </w:tr>
      <w:tr>
        <w:trPr>
          <w:trHeight w:val="229"/>
        </w:trPr>
        <w:tc>
          <w:tcPr>
            <w:tcW w:w="43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xml:space="preserve">Arbitration award expense </w:t>
            </w:r>
            <w:r>
              <w:rPr>
                <w:rFonts w:ascii="Arial" w:cs="Arial" w:eastAsia="Arial" w:hAnsi="Arial"/>
                <w:sz w:val="18"/>
                <w:szCs w:val="18"/>
                <w:color w:val="auto"/>
                <w:vertAlign w:val="superscript"/>
              </w:rPr>
              <w:t>(4)</w:t>
            </w: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auto"/>
              </w:rPr>
              <w:t>9,393</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720" w:type="dxa"/>
            <w:vAlign w:val="bottom"/>
            <w:gridSpan w:val="2"/>
            <w:shd w:val="clear" w:color="auto" w:fill="DBDBDB"/>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DBDBDB"/>
          </w:tcPr>
          <w:p>
            <w:pPr>
              <w:spacing w:after="0"/>
              <w:rPr>
                <w:sz w:val="19"/>
                <w:szCs w:val="19"/>
                <w:color w:val="auto"/>
              </w:rPr>
            </w:pPr>
          </w:p>
        </w:tc>
        <w:tc>
          <w:tcPr>
            <w:tcW w:w="1560" w:type="dxa"/>
            <w:vAlign w:val="bottom"/>
            <w:shd w:val="clear" w:color="auto" w:fill="DBDBDB"/>
          </w:tcPr>
          <w:p>
            <w:pPr>
              <w:ind w:left="400"/>
              <w:spacing w:after="0"/>
              <w:rPr>
                <w:sz w:val="20"/>
                <w:szCs w:val="20"/>
                <w:color w:val="auto"/>
              </w:rPr>
            </w:pPr>
            <w:r>
              <w:rPr>
                <w:rFonts w:ascii="Arial" w:cs="Arial" w:eastAsia="Arial" w:hAnsi="Arial"/>
                <w:sz w:val="14"/>
                <w:szCs w:val="14"/>
                <w:color w:val="auto"/>
              </w:rPr>
              <w:t>—</w:t>
            </w:r>
          </w:p>
        </w:tc>
      </w:tr>
      <w:tr>
        <w:trPr>
          <w:trHeight w:val="229"/>
        </w:trPr>
        <w:tc>
          <w:tcPr>
            <w:tcW w:w="4300" w:type="dxa"/>
            <w:vAlign w:val="bottom"/>
          </w:tcPr>
          <w:p>
            <w:pPr>
              <w:ind w:left="20"/>
              <w:spacing w:after="0"/>
              <w:rPr>
                <w:sz w:val="20"/>
                <w:szCs w:val="20"/>
                <w:color w:val="auto"/>
              </w:rPr>
            </w:pPr>
            <w:r>
              <w:rPr>
                <w:rFonts w:ascii="Arial" w:cs="Arial" w:eastAsia="Arial" w:hAnsi="Arial"/>
                <w:sz w:val="14"/>
                <w:szCs w:val="14"/>
                <w:color w:val="auto"/>
              </w:rPr>
              <w:t xml:space="preserve">UW Solutions Impact </w:t>
            </w:r>
            <w:r>
              <w:rPr>
                <w:rFonts w:ascii="Arial" w:cs="Arial" w:eastAsia="Arial" w:hAnsi="Arial"/>
                <w:sz w:val="18"/>
                <w:szCs w:val="18"/>
                <w:color w:val="auto"/>
                <w:vertAlign w:val="superscript"/>
              </w:rPr>
              <w:t>(5)</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268"/>
              <w:spacing w:after="0"/>
              <w:rPr>
                <w:sz w:val="20"/>
                <w:szCs w:val="20"/>
                <w:color w:val="auto"/>
              </w:rPr>
            </w:pPr>
            <w:r>
              <w:rPr>
                <w:rFonts w:ascii="Arial" w:cs="Arial" w:eastAsia="Arial" w:hAnsi="Arial"/>
                <w:sz w:val="14"/>
                <w:szCs w:val="14"/>
                <w:color w:val="auto"/>
              </w:rPr>
              <w:t>(3,768)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560" w:type="dxa"/>
            <w:vAlign w:val="bottom"/>
          </w:tcPr>
          <w:p>
            <w:pPr>
              <w:ind w:left="400"/>
              <w:spacing w:after="0"/>
              <w:rPr>
                <w:sz w:val="20"/>
                <w:szCs w:val="20"/>
                <w:color w:val="auto"/>
              </w:rPr>
            </w:pPr>
            <w:r>
              <w:rPr>
                <w:rFonts w:ascii="Arial" w:cs="Arial" w:eastAsia="Arial" w:hAnsi="Arial"/>
                <w:sz w:val="14"/>
                <w:szCs w:val="14"/>
                <w:color w:val="auto"/>
              </w:rPr>
              <w:t>—</w:t>
            </w:r>
          </w:p>
        </w:tc>
      </w:tr>
      <w:tr>
        <w:trPr>
          <w:trHeight w:val="230"/>
        </w:trPr>
        <w:tc>
          <w:tcPr>
            <w:tcW w:w="43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xml:space="preserve">Worthless stock deduction and other discrete tax benefits </w:t>
            </w:r>
            <w:r>
              <w:rPr>
                <w:rFonts w:ascii="Arial" w:cs="Arial" w:eastAsia="Arial" w:hAnsi="Arial"/>
                <w:sz w:val="18"/>
                <w:szCs w:val="18"/>
                <w:color w:val="auto"/>
                <w:vertAlign w:val="superscript"/>
              </w:rPr>
              <w:t>(6)</w:t>
            </w: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480" w:type="dxa"/>
            <w:vAlign w:val="bottom"/>
            <w:tcBorders>
              <w:bottom w:val="single" w:sz="8" w:color="auto"/>
            </w:tcBorders>
            <w:shd w:val="clear" w:color="auto" w:fill="DBDBDB"/>
          </w:tcPr>
          <w:p>
            <w:pPr>
              <w:jc w:val="right"/>
              <w:ind w:right="848"/>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tcBorders>
            <w:gridSpan w:val="2"/>
            <w:shd w:val="clear" w:color="auto" w:fill="DBDBDB"/>
          </w:tcPr>
          <w:p>
            <w:pPr>
              <w:ind w:left="6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BDBDB"/>
          </w:tcPr>
          <w:p>
            <w:pPr>
              <w:spacing w:after="0"/>
              <w:rPr>
                <w:sz w:val="19"/>
                <w:szCs w:val="19"/>
                <w:color w:val="auto"/>
              </w:rPr>
            </w:pPr>
          </w:p>
        </w:tc>
        <w:tc>
          <w:tcPr>
            <w:tcW w:w="1560" w:type="dxa"/>
            <w:vAlign w:val="bottom"/>
            <w:tcBorders>
              <w:bottom w:val="single" w:sz="8" w:color="auto"/>
            </w:tcBorders>
            <w:shd w:val="clear" w:color="auto" w:fill="DBDBDB"/>
          </w:tcPr>
          <w:p>
            <w:pPr>
              <w:ind w:left="180"/>
              <w:spacing w:after="0"/>
              <w:rPr>
                <w:sz w:val="20"/>
                <w:szCs w:val="20"/>
                <w:color w:val="auto"/>
              </w:rPr>
            </w:pPr>
            <w:r>
              <w:rPr>
                <w:rFonts w:ascii="Arial" w:cs="Arial" w:eastAsia="Arial" w:hAnsi="Arial"/>
                <w:sz w:val="14"/>
                <w:szCs w:val="14"/>
                <w:color w:val="auto"/>
              </w:rPr>
              <w:t>(14,833)</w:t>
            </w:r>
          </w:p>
        </w:tc>
      </w:tr>
      <w:tr>
        <w:trPr>
          <w:trHeight w:val="201"/>
        </w:trPr>
        <w:tc>
          <w:tcPr>
            <w:tcW w:w="4300" w:type="dxa"/>
            <w:vAlign w:val="bottom"/>
          </w:tcPr>
          <w:p>
            <w:pPr>
              <w:ind w:left="20"/>
              <w:spacing w:after="0"/>
              <w:rPr>
                <w:sz w:val="20"/>
                <w:szCs w:val="20"/>
                <w:color w:val="auto"/>
              </w:rPr>
            </w:pPr>
            <w:r>
              <w:rPr>
                <w:rFonts w:ascii="Arial" w:cs="Arial" w:eastAsia="Arial" w:hAnsi="Arial"/>
                <w:sz w:val="14"/>
                <w:szCs w:val="14"/>
                <w:color w:val="auto"/>
              </w:rPr>
              <w:t>Total Adjustments</w:t>
            </w:r>
          </w:p>
        </w:tc>
        <w:tc>
          <w:tcPr>
            <w:tcW w:w="182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308"/>
              <w:spacing w:after="0"/>
              <w:rPr>
                <w:sz w:val="20"/>
                <w:szCs w:val="20"/>
                <w:color w:val="auto"/>
              </w:rPr>
            </w:pPr>
            <w:r>
              <w:rPr>
                <w:rFonts w:ascii="Arial" w:cs="Arial" w:eastAsia="Arial" w:hAnsi="Arial"/>
                <w:sz w:val="14"/>
                <w:szCs w:val="14"/>
                <w:color w:val="auto"/>
              </w:rPr>
              <w:t>27,884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88"/>
              <w:spacing w:after="0"/>
              <w:rPr>
                <w:sz w:val="20"/>
                <w:szCs w:val="20"/>
                <w:color w:val="auto"/>
              </w:rPr>
            </w:pPr>
            <w:r>
              <w:rPr>
                <w:rFonts w:ascii="Arial" w:cs="Arial" w:eastAsia="Arial" w:hAnsi="Arial"/>
                <w:sz w:val="14"/>
                <w:szCs w:val="14"/>
                <w:color w:val="auto"/>
              </w:rPr>
              <w:t>12,403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ind w:left="640"/>
              <w:spacing w:after="0"/>
              <w:rPr>
                <w:sz w:val="20"/>
                <w:szCs w:val="20"/>
                <w:color w:val="auto"/>
              </w:rPr>
            </w:pPr>
            <w:r>
              <w:rPr>
                <w:rFonts w:ascii="Arial" w:cs="Arial" w:eastAsia="Arial" w:hAnsi="Arial"/>
                <w:sz w:val="14"/>
                <w:szCs w:val="14"/>
                <w:color w:val="auto"/>
              </w:rPr>
              <w:t>(14,833)</w:t>
            </w:r>
          </w:p>
        </w:tc>
      </w:tr>
      <w:tr>
        <w:trPr>
          <w:trHeight w:val="22"/>
        </w:trPr>
        <w:tc>
          <w:tcPr>
            <w:tcW w:w="4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57"/>
        </w:trPr>
        <w:tc>
          <w:tcPr>
            <w:tcW w:w="4300" w:type="dxa"/>
            <w:vAlign w:val="bottom"/>
            <w:shd w:val="clear" w:color="auto" w:fill="DBDBDB"/>
          </w:tcPr>
          <w:p>
            <w:pPr>
              <w:spacing w:after="0"/>
              <w:rPr>
                <w:sz w:val="22"/>
                <w:szCs w:val="22"/>
                <w:color w:val="auto"/>
              </w:rPr>
            </w:pPr>
          </w:p>
        </w:tc>
        <w:tc>
          <w:tcPr>
            <w:tcW w:w="148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spacing w:after="0"/>
              <w:rPr>
                <w:sz w:val="22"/>
                <w:szCs w:val="22"/>
                <w:color w:val="auto"/>
              </w:rPr>
            </w:pPr>
          </w:p>
        </w:tc>
        <w:tc>
          <w:tcPr>
            <w:tcW w:w="1480" w:type="dxa"/>
            <w:vAlign w:val="bottom"/>
            <w:tcBorders>
              <w:bottom w:val="single" w:sz="8" w:color="auto"/>
            </w:tcBorders>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20" w:type="dxa"/>
            <w:vAlign w:val="bottom"/>
            <w:tcBorders>
              <w:bottom w:val="single" w:sz="8" w:color="auto"/>
            </w:tcBorders>
            <w:shd w:val="clear" w:color="auto" w:fill="DBDBDB"/>
          </w:tcPr>
          <w:p>
            <w:pPr>
              <w:spacing w:after="0"/>
              <w:rPr>
                <w:sz w:val="22"/>
                <w:szCs w:val="22"/>
                <w:color w:val="auto"/>
              </w:rPr>
            </w:pPr>
          </w:p>
        </w:tc>
        <w:tc>
          <w:tcPr>
            <w:tcW w:w="1620" w:type="dxa"/>
            <w:vAlign w:val="bottom"/>
            <w:tcBorders>
              <w:bottom w:val="single" w:sz="8" w:color="auto"/>
            </w:tcBorders>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spacing w:after="0"/>
              <w:rPr>
                <w:sz w:val="22"/>
                <w:szCs w:val="22"/>
                <w:color w:val="auto"/>
              </w:rPr>
            </w:pPr>
          </w:p>
        </w:tc>
        <w:tc>
          <w:tcPr>
            <w:tcW w:w="1560" w:type="dxa"/>
            <w:vAlign w:val="bottom"/>
            <w:tcBorders>
              <w:bottom w:val="single" w:sz="8" w:color="auto"/>
            </w:tcBorders>
            <w:shd w:val="clear" w:color="auto" w:fill="DBDBDB"/>
          </w:tcPr>
          <w:p>
            <w:pPr>
              <w:spacing w:after="0"/>
              <w:rPr>
                <w:sz w:val="22"/>
                <w:szCs w:val="22"/>
                <w:color w:val="auto"/>
              </w:rPr>
            </w:pPr>
          </w:p>
        </w:tc>
      </w:tr>
      <w:tr>
        <w:trPr>
          <w:trHeight w:val="223"/>
        </w:trPr>
        <w:tc>
          <w:tcPr>
            <w:tcW w:w="43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 xml:space="preserve">Income tax impact on adjustments </w:t>
            </w:r>
            <w:r>
              <w:rPr>
                <w:rFonts w:ascii="Arial" w:cs="Arial" w:eastAsia="Arial" w:hAnsi="Arial"/>
                <w:sz w:val="18"/>
                <w:szCs w:val="18"/>
                <w:color w:val="auto"/>
                <w:vertAlign w:val="superscript"/>
              </w:rPr>
              <w:t>(7)</w:t>
            </w:r>
          </w:p>
        </w:tc>
        <w:tc>
          <w:tcPr>
            <w:tcW w:w="148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6,900</w:t>
            </w:r>
          </w:p>
        </w:tc>
        <w:tc>
          <w:tcPr>
            <w:tcW w:w="8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3,038</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9"/>
              </w:rPr>
              <w:t>—</w:t>
            </w:r>
          </w:p>
        </w:tc>
      </w:tr>
      <w:tr>
        <w:trPr>
          <w:trHeight w:val="203"/>
        </w:trPr>
        <w:tc>
          <w:tcPr>
            <w:tcW w:w="4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Adjusted net operating income after taxes</w:t>
            </w:r>
          </w:p>
        </w:tc>
        <w:tc>
          <w:tcPr>
            <w:tcW w:w="148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1480" w:type="dxa"/>
            <w:vAlign w:val="bottom"/>
            <w:tcBorders>
              <w:bottom w:val="single" w:sz="8" w:color="DBDBDB"/>
            </w:tcBorders>
            <w:shd w:val="clear" w:color="auto" w:fill="DBDBDB"/>
          </w:tcPr>
          <w:p>
            <w:pPr>
              <w:jc w:val="right"/>
              <w:ind w:right="308"/>
              <w:spacing w:after="0"/>
              <w:rPr>
                <w:sz w:val="20"/>
                <w:szCs w:val="20"/>
                <w:color w:val="auto"/>
              </w:rPr>
            </w:pPr>
            <w:r>
              <w:rPr>
                <w:rFonts w:ascii="Arial" w:cs="Arial" w:eastAsia="Arial" w:hAnsi="Arial"/>
                <w:sz w:val="14"/>
                <w:szCs w:val="14"/>
                <w:color w:val="auto"/>
              </w:rPr>
              <w:t>110,202</w:t>
            </w:r>
          </w:p>
        </w:tc>
        <w:tc>
          <w:tcPr>
            <w:tcW w:w="8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6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112,436</w:t>
            </w:r>
          </w:p>
        </w:tc>
        <w:tc>
          <w:tcPr>
            <w:tcW w:w="10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1560" w:type="dxa"/>
            <w:vAlign w:val="bottom"/>
            <w:tcBorders>
              <w:bottom w:val="single" w:sz="8" w:color="DBDBDB"/>
            </w:tcBorders>
            <w:shd w:val="clear" w:color="auto" w:fill="DBDBDB"/>
          </w:tcPr>
          <w:p>
            <w:pPr>
              <w:ind w:left="280"/>
              <w:spacing w:after="0"/>
              <w:rPr>
                <w:sz w:val="20"/>
                <w:szCs w:val="20"/>
                <w:color w:val="auto"/>
              </w:rPr>
            </w:pPr>
            <w:r>
              <w:rPr>
                <w:rFonts w:ascii="Arial" w:cs="Arial" w:eastAsia="Arial" w:hAnsi="Arial"/>
                <w:sz w:val="14"/>
                <w:szCs w:val="14"/>
                <w:color w:val="auto"/>
              </w:rPr>
              <w:t>94,774</w:t>
            </w:r>
          </w:p>
        </w:tc>
      </w:tr>
      <w:tr>
        <w:trPr>
          <w:trHeight w:val="108"/>
        </w:trPr>
        <w:tc>
          <w:tcPr>
            <w:tcW w:w="4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229"/>
        </w:trPr>
        <w:tc>
          <w:tcPr>
            <w:tcW w:w="43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xml:space="preserve">Average invested capital </w:t>
            </w:r>
            <w:r>
              <w:rPr>
                <w:rFonts w:ascii="Arial" w:cs="Arial" w:eastAsia="Arial" w:hAnsi="Arial"/>
                <w:sz w:val="18"/>
                <w:szCs w:val="18"/>
                <w:color w:val="auto"/>
                <w:vertAlign w:val="superscript"/>
              </w:rPr>
              <w:t>(8)</w:t>
            </w: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auto"/>
              </w:rPr>
              <w:t>757,178</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20" w:type="dxa"/>
            <w:vAlign w:val="bottom"/>
            <w:shd w:val="clear" w:color="auto" w:fill="DBDBDB"/>
          </w:tcPr>
          <w:p>
            <w:pPr>
              <w:ind w:left="240"/>
              <w:spacing w:after="0"/>
              <w:rPr>
                <w:sz w:val="20"/>
                <w:szCs w:val="20"/>
                <w:color w:val="auto"/>
              </w:rPr>
            </w:pPr>
            <w:r>
              <w:rPr>
                <w:rFonts w:ascii="Arial" w:cs="Arial" w:eastAsia="Arial" w:hAnsi="Arial"/>
                <w:sz w:val="14"/>
                <w:szCs w:val="14"/>
                <w:color w:val="auto"/>
              </w:rPr>
              <w:t>668,555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560" w:type="dxa"/>
            <w:vAlign w:val="bottom"/>
            <w:shd w:val="clear" w:color="auto" w:fill="DBDBDB"/>
          </w:tcPr>
          <w:p>
            <w:pPr>
              <w:ind w:left="180"/>
              <w:spacing w:after="0"/>
              <w:rPr>
                <w:sz w:val="20"/>
                <w:szCs w:val="20"/>
                <w:color w:val="auto"/>
              </w:rPr>
            </w:pPr>
            <w:r>
              <w:rPr>
                <w:rFonts w:ascii="Arial" w:cs="Arial" w:eastAsia="Arial" w:hAnsi="Arial"/>
                <w:sz w:val="14"/>
                <w:szCs w:val="14"/>
                <w:color w:val="auto"/>
              </w:rPr>
              <w:t>686,124</w:t>
            </w:r>
          </w:p>
        </w:tc>
      </w:tr>
      <w:tr>
        <w:trPr>
          <w:trHeight w:val="230"/>
        </w:trPr>
        <w:tc>
          <w:tcPr>
            <w:tcW w:w="4300" w:type="dxa"/>
            <w:vAlign w:val="bottom"/>
          </w:tcPr>
          <w:p>
            <w:pPr>
              <w:ind w:left="20"/>
              <w:spacing w:after="0"/>
              <w:rPr>
                <w:sz w:val="20"/>
                <w:szCs w:val="20"/>
                <w:color w:val="auto"/>
              </w:rPr>
            </w:pPr>
            <w:r>
              <w:rPr>
                <w:rFonts w:ascii="Arial" w:cs="Arial" w:eastAsia="Arial" w:hAnsi="Arial"/>
                <w:sz w:val="14"/>
                <w:szCs w:val="14"/>
                <w:color w:val="auto"/>
              </w:rPr>
              <w:t xml:space="preserve">UW Solutions impact </w:t>
            </w:r>
            <w:r>
              <w:rPr>
                <w:rFonts w:ascii="Arial" w:cs="Arial" w:eastAsia="Arial" w:hAnsi="Arial"/>
                <w:sz w:val="18"/>
                <w:szCs w:val="18"/>
                <w:color w:val="auto"/>
                <w:vertAlign w:val="superscript"/>
              </w:rPr>
              <w:t>(5)</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ind w:right="268"/>
              <w:spacing w:after="0"/>
              <w:rPr>
                <w:sz w:val="20"/>
                <w:szCs w:val="20"/>
                <w:color w:val="auto"/>
              </w:rPr>
            </w:pPr>
            <w:r>
              <w:rPr>
                <w:rFonts w:ascii="Arial" w:cs="Arial" w:eastAsia="Arial" w:hAnsi="Arial"/>
                <w:sz w:val="14"/>
                <w:szCs w:val="14"/>
                <w:color w:val="auto"/>
              </w:rPr>
              <w:t>(96,349)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560" w:type="dxa"/>
            <w:vAlign w:val="bottom"/>
          </w:tcPr>
          <w:p>
            <w:pPr>
              <w:jc w:val="center"/>
              <w:ind w:right="108"/>
              <w:spacing w:after="0"/>
              <w:rPr>
                <w:sz w:val="20"/>
                <w:szCs w:val="20"/>
                <w:color w:val="auto"/>
              </w:rPr>
            </w:pPr>
            <w:r>
              <w:rPr>
                <w:rFonts w:ascii="Arial" w:cs="Arial" w:eastAsia="Arial" w:hAnsi="Arial"/>
                <w:sz w:val="14"/>
                <w:szCs w:val="14"/>
                <w:color w:val="auto"/>
                <w:w w:val="99"/>
              </w:rPr>
              <w:t>—</w:t>
            </w:r>
          </w:p>
        </w:tc>
      </w:tr>
      <w:tr>
        <w:trPr>
          <w:trHeight w:val="210"/>
        </w:trPr>
        <w:tc>
          <w:tcPr>
            <w:tcW w:w="4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Adjusted average invested capital</w:t>
            </w:r>
          </w:p>
        </w:tc>
        <w:tc>
          <w:tcPr>
            <w:tcW w:w="148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1480" w:type="dxa"/>
            <w:vAlign w:val="bottom"/>
            <w:tcBorders>
              <w:bottom w:val="single" w:sz="8" w:color="DBDBDB"/>
            </w:tcBorders>
            <w:shd w:val="clear" w:color="auto" w:fill="DBDBDB"/>
          </w:tcPr>
          <w:p>
            <w:pPr>
              <w:jc w:val="right"/>
              <w:ind w:right="308"/>
              <w:spacing w:after="0"/>
              <w:rPr>
                <w:sz w:val="20"/>
                <w:szCs w:val="20"/>
                <w:color w:val="auto"/>
              </w:rPr>
            </w:pPr>
            <w:r>
              <w:rPr>
                <w:rFonts w:ascii="Arial" w:cs="Arial" w:eastAsia="Arial" w:hAnsi="Arial"/>
                <w:sz w:val="14"/>
                <w:szCs w:val="14"/>
                <w:color w:val="auto"/>
              </w:rPr>
              <w:t>660,828</w:t>
            </w:r>
          </w:p>
        </w:tc>
        <w:tc>
          <w:tcPr>
            <w:tcW w:w="8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6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668,555</w:t>
            </w:r>
          </w:p>
        </w:tc>
        <w:tc>
          <w:tcPr>
            <w:tcW w:w="1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5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rPr>
              <w:t>686,124</w:t>
            </w:r>
          </w:p>
        </w:tc>
      </w:tr>
      <w:tr>
        <w:trPr>
          <w:trHeight w:val="148"/>
        </w:trPr>
        <w:tc>
          <w:tcPr>
            <w:tcW w:w="4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30"/>
        </w:trPr>
        <w:tc>
          <w:tcPr>
            <w:tcW w:w="43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xml:space="preserve">Return on invested capital </w:t>
            </w:r>
            <w:r>
              <w:rPr>
                <w:rFonts w:ascii="Arial" w:cs="Arial" w:eastAsia="Arial" w:hAnsi="Arial"/>
                <w:sz w:val="18"/>
                <w:szCs w:val="18"/>
                <w:color w:val="auto"/>
                <w:vertAlign w:val="superscript"/>
              </w:rPr>
              <w:t>(9)</w:t>
            </w:r>
          </w:p>
        </w:tc>
        <w:tc>
          <w:tcPr>
            <w:tcW w:w="14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480" w:type="dxa"/>
            <w:vAlign w:val="bottom"/>
            <w:shd w:val="clear" w:color="auto" w:fill="DBDBDB"/>
          </w:tcPr>
          <w:p>
            <w:pPr>
              <w:jc w:val="right"/>
              <w:ind w:right="268"/>
              <w:spacing w:after="0"/>
              <w:rPr>
                <w:sz w:val="20"/>
                <w:szCs w:val="20"/>
                <w:color w:val="auto"/>
              </w:rPr>
            </w:pPr>
            <w:r>
              <w:rPr>
                <w:rFonts w:ascii="Arial" w:cs="Arial" w:eastAsia="Arial" w:hAnsi="Arial"/>
                <w:sz w:val="14"/>
                <w:szCs w:val="14"/>
                <w:color w:val="auto"/>
              </w:rPr>
              <w:t>11.78%</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20" w:type="dxa"/>
            <w:vAlign w:val="bottom"/>
            <w:shd w:val="clear" w:color="auto" w:fill="DBDBDB"/>
          </w:tcPr>
          <w:p>
            <w:pPr>
              <w:ind w:left="440"/>
              <w:spacing w:after="0"/>
              <w:rPr>
                <w:sz w:val="20"/>
                <w:szCs w:val="20"/>
                <w:color w:val="auto"/>
              </w:rPr>
            </w:pPr>
            <w:r>
              <w:rPr>
                <w:rFonts w:ascii="Arial" w:cs="Arial" w:eastAsia="Arial" w:hAnsi="Arial"/>
                <w:sz w:val="14"/>
                <w:szCs w:val="14"/>
                <w:color w:val="auto"/>
              </w:rPr>
              <w:t>15.42%</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560" w:type="dxa"/>
            <w:vAlign w:val="bottom"/>
            <w:shd w:val="clear" w:color="auto" w:fill="DBDBDB"/>
          </w:tcPr>
          <w:p>
            <w:pPr>
              <w:ind w:left="400"/>
              <w:spacing w:after="0"/>
              <w:rPr>
                <w:sz w:val="20"/>
                <w:szCs w:val="20"/>
                <w:color w:val="auto"/>
              </w:rPr>
            </w:pPr>
            <w:r>
              <w:rPr>
                <w:rFonts w:ascii="Arial" w:cs="Arial" w:eastAsia="Arial" w:hAnsi="Arial"/>
                <w:sz w:val="14"/>
                <w:szCs w:val="14"/>
                <w:color w:val="auto"/>
              </w:rPr>
              <w:t>15.97%</w:t>
            </w:r>
          </w:p>
        </w:tc>
      </w:tr>
      <w:tr>
        <w:trPr>
          <w:trHeight w:val="265"/>
        </w:trPr>
        <w:tc>
          <w:tcPr>
            <w:tcW w:w="4300" w:type="dxa"/>
            <w:vAlign w:val="bottom"/>
          </w:tcPr>
          <w:p>
            <w:pPr>
              <w:ind w:left="20"/>
              <w:spacing w:after="0"/>
              <w:rPr>
                <w:sz w:val="20"/>
                <w:szCs w:val="20"/>
                <w:color w:val="auto"/>
              </w:rPr>
            </w:pPr>
            <w:r>
              <w:rPr>
                <w:rFonts w:ascii="Arial" w:cs="Arial" w:eastAsia="Arial" w:hAnsi="Arial"/>
                <w:sz w:val="14"/>
                <w:szCs w:val="14"/>
                <w:color w:val="auto"/>
              </w:rPr>
              <w:t xml:space="preserve">Adjusted return on invested capital </w:t>
            </w:r>
            <w:r>
              <w:rPr>
                <w:rFonts w:ascii="Arial" w:cs="Arial" w:eastAsia="Arial" w:hAnsi="Arial"/>
                <w:sz w:val="18"/>
                <w:szCs w:val="18"/>
                <w:color w:val="auto"/>
                <w:vertAlign w:val="superscript"/>
              </w:rPr>
              <w:t>(10)</w:t>
            </w: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tcPr>
          <w:p>
            <w:pPr>
              <w:jc w:val="right"/>
              <w:ind w:right="268"/>
              <w:spacing w:after="0"/>
              <w:rPr>
                <w:sz w:val="20"/>
                <w:szCs w:val="20"/>
                <w:color w:val="auto"/>
              </w:rPr>
            </w:pPr>
            <w:r>
              <w:rPr>
                <w:rFonts w:ascii="Arial" w:cs="Arial" w:eastAsia="Arial" w:hAnsi="Arial"/>
                <w:sz w:val="14"/>
                <w:szCs w:val="14"/>
                <w:color w:val="auto"/>
              </w:rPr>
              <w:t>16.68%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ind w:left="440"/>
              <w:spacing w:after="0"/>
              <w:rPr>
                <w:sz w:val="20"/>
                <w:szCs w:val="20"/>
                <w:color w:val="auto"/>
              </w:rPr>
            </w:pPr>
            <w:r>
              <w:rPr>
                <w:rFonts w:ascii="Arial" w:cs="Arial" w:eastAsia="Arial" w:hAnsi="Arial"/>
                <w:sz w:val="14"/>
                <w:szCs w:val="14"/>
                <w:color w:val="auto"/>
              </w:rPr>
              <w:t>16.82%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ind w:left="400"/>
              <w:spacing w:after="0"/>
              <w:rPr>
                <w:sz w:val="20"/>
                <w:szCs w:val="20"/>
                <w:color w:val="auto"/>
              </w:rPr>
            </w:pPr>
            <w:r>
              <w:rPr>
                <w:rFonts w:ascii="Arial" w:cs="Arial" w:eastAsia="Arial" w:hAnsi="Arial"/>
                <w:sz w:val="14"/>
                <w:szCs w:val="14"/>
                <w:color w:val="auto"/>
              </w:rPr>
              <w:t>13.81%</w:t>
            </w:r>
          </w:p>
        </w:tc>
      </w:tr>
    </w:tbl>
    <w:p>
      <w:pPr>
        <w:spacing w:after="0" w:line="203" w:lineRule="exact"/>
        <w:rPr>
          <w:sz w:val="20"/>
          <w:szCs w:val="20"/>
          <w:color w:val="auto"/>
        </w:rPr>
      </w:pPr>
    </w:p>
    <w:p>
      <w:pPr>
        <w:ind w:left="540" w:hanging="352"/>
        <w:spacing w:after="0"/>
        <w:tabs>
          <w:tab w:leader="none" w:pos="5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Acquisition-related costs include:</w:t>
      </w:r>
    </w:p>
    <w:p>
      <w:pPr>
        <w:spacing w:after="0" w:line="11" w:lineRule="exact"/>
        <w:rPr>
          <w:rFonts w:ascii="Arial" w:cs="Arial" w:eastAsia="Arial" w:hAnsi="Arial"/>
          <w:sz w:val="13"/>
          <w:szCs w:val="13"/>
          <w:color w:val="auto"/>
        </w:rPr>
      </w:pPr>
    </w:p>
    <w:p>
      <w:pPr>
        <w:ind w:left="1180" w:hanging="317"/>
        <w:spacing w:after="0"/>
        <w:tabs>
          <w:tab w:leader="none" w:pos="1180" w:val="left"/>
        </w:tabs>
        <w:numPr>
          <w:ilvl w:val="1"/>
          <w:numId w:val="74"/>
        </w:numPr>
        <w:rPr>
          <w:rFonts w:ascii="Arial" w:cs="Arial" w:eastAsia="Arial" w:hAnsi="Arial"/>
          <w:sz w:val="13"/>
          <w:szCs w:val="13"/>
          <w:color w:val="auto"/>
        </w:rPr>
      </w:pPr>
      <w:r>
        <w:rPr>
          <w:rFonts w:ascii="Arial" w:cs="Arial" w:eastAsia="Arial" w:hAnsi="Arial"/>
          <w:sz w:val="13"/>
          <w:szCs w:val="13"/>
          <w:color w:val="auto"/>
        </w:rPr>
        <w:t>Transaction costs related to the UW Solutions acquisition.</w:t>
      </w:r>
    </w:p>
    <w:p>
      <w:pPr>
        <w:ind w:left="1180" w:hanging="317"/>
        <w:spacing w:after="0"/>
        <w:tabs>
          <w:tab w:leader="none" w:pos="1180" w:val="left"/>
        </w:tabs>
        <w:numPr>
          <w:ilvl w:val="1"/>
          <w:numId w:val="74"/>
        </w:numPr>
        <w:rPr>
          <w:rFonts w:ascii="Arial" w:cs="Arial" w:eastAsia="Arial" w:hAnsi="Arial"/>
          <w:sz w:val="13"/>
          <w:szCs w:val="13"/>
          <w:color w:val="auto"/>
        </w:rPr>
      </w:pPr>
      <w:r>
        <w:rPr>
          <w:rFonts w:ascii="Arial" w:cs="Arial" w:eastAsia="Arial" w:hAnsi="Arial"/>
          <w:sz w:val="13"/>
          <w:szCs w:val="13"/>
          <w:color w:val="auto"/>
        </w:rPr>
        <w:t>Integration costs related to one-time expenses incurred to integrate the UW Solutions acquisition.</w:t>
      </w:r>
    </w:p>
    <w:p>
      <w:pPr>
        <w:ind w:left="1180" w:right="60" w:hanging="317"/>
        <w:spacing w:after="0" w:line="242" w:lineRule="auto"/>
        <w:tabs>
          <w:tab w:leader="none" w:pos="1170" w:val="left"/>
        </w:tabs>
        <w:numPr>
          <w:ilvl w:val="1"/>
          <w:numId w:val="74"/>
        </w:numPr>
        <w:rPr>
          <w:rFonts w:ascii="Arial" w:cs="Arial" w:eastAsia="Arial" w:hAnsi="Arial"/>
          <w:sz w:val="13"/>
          <w:szCs w:val="13"/>
          <w:color w:val="auto"/>
        </w:rPr>
      </w:pPr>
      <w:r>
        <w:rPr>
          <w:rFonts w:ascii="Arial" w:cs="Arial" w:eastAsia="Arial" w:hAnsi="Arial"/>
          <w:sz w:val="13"/>
          <w:szCs w:val="13"/>
          <w:color w:val="auto"/>
        </w:rPr>
        <w:t>Backlog amortization is related the value attributed to contracting the backlog purchased in the UW Solutions acquisition. These costs were amortized in SG&amp;A over the period that the contracted backlog was shipped.</w:t>
      </w:r>
    </w:p>
    <w:p>
      <w:pPr>
        <w:spacing w:after="0" w:line="1" w:lineRule="exact"/>
        <w:rPr>
          <w:rFonts w:ascii="Arial" w:cs="Arial" w:eastAsia="Arial" w:hAnsi="Arial"/>
          <w:sz w:val="13"/>
          <w:szCs w:val="13"/>
          <w:color w:val="auto"/>
        </w:rPr>
      </w:pPr>
    </w:p>
    <w:p>
      <w:pPr>
        <w:ind w:left="1180" w:right="60" w:hanging="317"/>
        <w:spacing w:after="0" w:line="258" w:lineRule="auto"/>
        <w:tabs>
          <w:tab w:leader="none" w:pos="1170" w:val="left"/>
        </w:tabs>
        <w:numPr>
          <w:ilvl w:val="1"/>
          <w:numId w:val="74"/>
        </w:numPr>
        <w:rPr>
          <w:rFonts w:ascii="Arial" w:cs="Arial" w:eastAsia="Arial" w:hAnsi="Arial"/>
          <w:sz w:val="13"/>
          <w:szCs w:val="13"/>
          <w:color w:val="auto"/>
        </w:rPr>
      </w:pPr>
      <w:r>
        <w:rPr>
          <w:rFonts w:ascii="Arial" w:cs="Arial" w:eastAsia="Arial" w:hAnsi="Arial"/>
          <w:sz w:val="13"/>
          <w:szCs w:val="13"/>
          <w:color w:val="auto"/>
        </w:rPr>
        <w:t>Inventory step-up is related to the incremental cost to value inventory acquired as part of the UW Solutions acquisition at fair value. These costs were expensed to cost of goods sold over the period the inventory was sold.</w:t>
      </w:r>
    </w:p>
    <w:p>
      <w:pPr>
        <w:spacing w:after="0" w:line="25" w:lineRule="exact"/>
        <w:rPr>
          <w:rFonts w:ascii="Arial" w:cs="Arial" w:eastAsia="Arial" w:hAnsi="Arial"/>
          <w:sz w:val="13"/>
          <w:szCs w:val="13"/>
          <w:color w:val="auto"/>
        </w:rPr>
      </w:pPr>
    </w:p>
    <w:p>
      <w:pPr>
        <w:ind w:left="540" w:right="40" w:hanging="352"/>
        <w:spacing w:after="0" w:line="264" w:lineRule="auto"/>
        <w:tabs>
          <w:tab w:leader="none" w:pos="5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Restructuring charges related to Project Fortify, including $1.1 million of employee termination costs and $3.2 million of other costs incurred in fiscal 2025. Restructuring charges related to Project Fortify, including $6.2 million of asset impairment charges, $5.9 million of employee termination costs and $0.3 million of other costs incurred in fiscal 2024.</w:t>
      </w:r>
    </w:p>
    <w:p>
      <w:pPr>
        <w:spacing w:after="0" w:line="76" w:lineRule="exact"/>
        <w:rPr>
          <w:rFonts w:ascii="Arial" w:cs="Arial" w:eastAsia="Arial" w:hAnsi="Arial"/>
          <w:sz w:val="13"/>
          <w:szCs w:val="13"/>
          <w:color w:val="auto"/>
        </w:rPr>
      </w:pPr>
    </w:p>
    <w:p>
      <w:pPr>
        <w:ind w:left="540" w:hanging="352"/>
        <w:spacing w:after="0"/>
        <w:tabs>
          <w:tab w:leader="none" w:pos="5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Impairment expense for intangible assets in the Architectural Metals Segment.</w:t>
      </w:r>
    </w:p>
    <w:p>
      <w:pPr>
        <w:spacing w:after="0" w:line="107" w:lineRule="exact"/>
        <w:rPr>
          <w:rFonts w:ascii="Arial" w:cs="Arial" w:eastAsia="Arial" w:hAnsi="Arial"/>
          <w:sz w:val="13"/>
          <w:szCs w:val="13"/>
          <w:color w:val="auto"/>
        </w:rPr>
      </w:pPr>
    </w:p>
    <w:p>
      <w:pPr>
        <w:ind w:left="540" w:hanging="352"/>
        <w:spacing w:after="0"/>
        <w:tabs>
          <w:tab w:leader="none" w:pos="5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Loss related to an uninsured portion of an arbitration award.</w:t>
      </w:r>
    </w:p>
    <w:p>
      <w:pPr>
        <w:spacing w:after="0" w:line="53" w:lineRule="exact"/>
        <w:rPr>
          <w:rFonts w:ascii="Arial" w:cs="Arial" w:eastAsia="Arial" w:hAnsi="Arial"/>
          <w:sz w:val="13"/>
          <w:szCs w:val="13"/>
          <w:color w:val="auto"/>
        </w:rPr>
      </w:pPr>
    </w:p>
    <w:p>
      <w:pPr>
        <w:ind w:left="540" w:hanging="352"/>
        <w:spacing w:after="0"/>
        <w:tabs>
          <w:tab w:leader="none" w:pos="5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Excludes the operating income and investment impact of UW Solutions, acquired on November 4, 2024.</w:t>
      </w:r>
    </w:p>
    <w:p>
      <w:pPr>
        <w:spacing w:after="0" w:line="53" w:lineRule="exact"/>
        <w:rPr>
          <w:rFonts w:ascii="Arial" w:cs="Arial" w:eastAsia="Arial" w:hAnsi="Arial"/>
          <w:sz w:val="13"/>
          <w:szCs w:val="13"/>
          <w:color w:val="auto"/>
        </w:rPr>
      </w:pPr>
    </w:p>
    <w:p>
      <w:pPr>
        <w:ind w:left="540" w:hanging="352"/>
        <w:spacing w:after="0"/>
        <w:tabs>
          <w:tab w:leader="none" w:pos="5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Worthless stock deduction and related discrete income tax benefits from the impairment of the Sotawall business in fiscal 2023, which was recorded in income tax expense.</w:t>
      </w:r>
    </w:p>
    <w:p>
      <w:pPr>
        <w:spacing w:after="0" w:line="107" w:lineRule="exact"/>
        <w:rPr>
          <w:rFonts w:ascii="Arial" w:cs="Arial" w:eastAsia="Arial" w:hAnsi="Arial"/>
          <w:sz w:val="13"/>
          <w:szCs w:val="13"/>
          <w:color w:val="auto"/>
        </w:rPr>
      </w:pPr>
    </w:p>
    <w:p>
      <w:pPr>
        <w:ind w:left="540" w:hanging="352"/>
        <w:spacing w:after="0"/>
        <w:tabs>
          <w:tab w:leader="none" w:pos="5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Income tax impact reflects the estimated tax rate for the jurisdictions in which the charge or income occurred.</w:t>
      </w:r>
    </w:p>
    <w:p>
      <w:pPr>
        <w:spacing w:after="0" w:line="107" w:lineRule="exact"/>
        <w:rPr>
          <w:rFonts w:ascii="Arial" w:cs="Arial" w:eastAsia="Arial" w:hAnsi="Arial"/>
          <w:sz w:val="13"/>
          <w:szCs w:val="13"/>
          <w:color w:val="auto"/>
        </w:rPr>
      </w:pPr>
    </w:p>
    <w:p>
      <w:pPr>
        <w:ind w:left="540" w:hanging="352"/>
        <w:spacing w:after="0"/>
        <w:tabs>
          <w:tab w:leader="none" w:pos="5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Average invested capital represents a trailing five quarter average of total assets less average current liabilities (excluding current portion long-term debt).</w:t>
      </w:r>
    </w:p>
    <w:p>
      <w:pPr>
        <w:spacing w:after="0" w:line="53" w:lineRule="exact"/>
        <w:rPr>
          <w:rFonts w:ascii="Arial" w:cs="Arial" w:eastAsia="Arial" w:hAnsi="Arial"/>
          <w:sz w:val="13"/>
          <w:szCs w:val="13"/>
          <w:color w:val="auto"/>
        </w:rPr>
      </w:pPr>
    </w:p>
    <w:p>
      <w:pPr>
        <w:ind w:left="540" w:hanging="352"/>
        <w:spacing w:after="0"/>
        <w:tabs>
          <w:tab w:leader="none" w:pos="5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ROIC is calculated by dividing net operating income after taxes by average invested capital.</w:t>
      </w:r>
    </w:p>
    <w:p>
      <w:pPr>
        <w:spacing w:after="0" w:line="53" w:lineRule="exact"/>
        <w:rPr>
          <w:sz w:val="20"/>
          <w:szCs w:val="20"/>
          <w:color w:val="auto"/>
        </w:rPr>
      </w:pPr>
    </w:p>
    <w:p>
      <w:pPr>
        <w:ind w:left="540" w:hanging="388"/>
        <w:spacing w:after="0"/>
        <w:tabs>
          <w:tab w:leader="none" w:pos="5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Adjusted ROIC is calculated by dividing adjusted net earnings after taxes by adjusted average invested capital.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sectPr>
      <w:pgSz w:w="11900" w:h="16838" w:orient="portrait"/>
      <w:cols w:equalWidth="0" w:num="1">
        <w:col w:w="11240"/>
      </w:cols>
      <w:pgMar w:left="320" w:top="12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lowerLetter"/>
      <w:start w:val="1"/>
    </w:lvl>
  </w:abstractNum>
  <w:abstractNum w:abstractNumId="12">
    <w:nsid w:val="725A06FB"/>
    <w:multiLevelType w:val="hybridMultilevel"/>
    <w:lvl w:ilvl="0">
      <w:lvlJc w:val="left"/>
      <w:lvlText w:val="(%1)"/>
      <w:numFmt w:val="decimal"/>
      <w:start w:val="3"/>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3"/>
    </w:lvl>
  </w:abstractNum>
  <w:abstractNum w:abstractNumId="22">
    <w:nsid w:val="684A481A"/>
    <w:multiLevelType w:val="hybridMultilevel"/>
    <w:lvl w:ilvl="0">
      <w:lvlJc w:val="left"/>
      <w:lvlText w:val="(%1)"/>
      <w:numFmt w:val="decimal"/>
      <w:start w:val="4"/>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A"/>
      <w:numFmt w:val="bullet"/>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3"/>
    </w:lvl>
  </w:abstractNum>
  <w:abstractNum w:abstractNumId="45">
    <w:nsid w:val="D34B6A8"/>
    <w:multiLevelType w:val="hybridMultilevel"/>
    <w:lvl w:ilvl="0">
      <w:lvlJc w:val="left"/>
      <w:lvlText w:val="(%1)"/>
      <w:numFmt w:val="lowerLetter"/>
      <w:start w:val="1"/>
    </w:lvl>
  </w:abstractNum>
  <w:abstractNum w:abstractNumId="46">
    <w:nsid w:val="10233C99"/>
    <w:multiLevelType w:val="hybridMultilevel"/>
    <w:lvl w:ilvl="0">
      <w:lvlJc w:val="left"/>
      <w:lvlText w:val="%1"/>
      <w:numFmt w:val="decimal"/>
      <w:start w:val="1"/>
    </w:lvl>
    <w:lvl w:ilvl="1">
      <w:lvlJc w:val="left"/>
      <w:lvlText w:val="(%2)"/>
      <w:numFmt w:val="lowerLetter"/>
      <w:start w:val="2"/>
    </w:lvl>
  </w:abstractNum>
  <w:abstractNum w:abstractNumId="47">
    <w:nsid w:val="3F6AB60F"/>
    <w:multiLevelType w:val="hybridMultilevel"/>
    <w:lvl w:ilvl="0">
      <w:lvlJc w:val="left"/>
      <w:lvlText w:val="(%1)"/>
      <w:numFmt w:val="decimal"/>
      <w:start w:val="4"/>
    </w:lvl>
    <w:lvl w:ilvl="1">
      <w:lvlJc w:val="left"/>
      <w:lvlText w:val="%2"/>
      <w:numFmt w:val="lowerLetter"/>
      <w:start w:val="1"/>
    </w:lvl>
  </w:abstractNum>
  <w:abstractNum w:abstractNumId="48">
    <w:nsid w:val="61574095"/>
    <w:multiLevelType w:val="hybridMultilevel"/>
    <w:lvl w:ilvl="0">
      <w:lvlJc w:val="left"/>
      <w:lvlText w:val="(%1)"/>
      <w:numFmt w:val="lowerRoman"/>
      <w:start w:val="3"/>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decimal"/>
      <w:start w:val="3"/>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4"/>
    </w:lvl>
  </w:abstractNum>
  <w:abstractNum w:abstractNumId="53">
    <w:nsid w:val="5FF87E05"/>
    <w:multiLevelType w:val="hybridMultilevel"/>
    <w:lvl w:ilvl="0">
      <w:lvlJc w:val="left"/>
      <w:lvlText w:val="(%1)"/>
      <w:numFmt w:val="decimal"/>
      <w:start w:val="5"/>
    </w:lvl>
  </w:abstractNum>
  <w:abstractNum w:abstractNumId="54">
    <w:nsid w:val="2F305DEF"/>
    <w:multiLevelType w:val="hybridMultilevel"/>
    <w:lvl w:ilvl="0">
      <w:lvlJc w:val="left"/>
      <w:lvlText w:val="(%1)"/>
      <w:numFmt w:val="decimal"/>
      <w:start w:val="6"/>
    </w:lvl>
  </w:abstractNum>
  <w:abstractNum w:abstractNumId="55">
    <w:nsid w:val="25A70BF7"/>
    <w:multiLevelType w:val="hybridMultilevel"/>
    <w:lvl w:ilvl="0">
      <w:lvlJc w:val="left"/>
      <w:lvlText w:val="(%1)"/>
      <w:numFmt w:val="decimal"/>
      <w:start w:val="14"/>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4"/>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4"/>
    </w:lvl>
  </w:abstractNum>
  <w:abstractNum w:abstractNumId="63">
    <w:nsid w:val="15014ACB"/>
    <w:multiLevelType w:val="hybridMultilevel"/>
    <w:lvl w:ilvl="0">
      <w:lvlJc w:val="left"/>
      <w:lvlText w:val="(%1)"/>
      <w:numFmt w:val="decimal"/>
      <w:start w:val="5"/>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1)"/>
      <w:numFmt w:val="decimal"/>
      <w:start w:val="1"/>
    </w:lvl>
    <w:lvl w:ilvl="1">
      <w:lvlJc w:val="left"/>
      <w:lvlText w:val="•"/>
      <w:numFmt w:val="bullet"/>
      <w:start w:val="1"/>
    </w:lvl>
  </w:abstractNum>
  <w:abstractNum w:abstractNumId="73">
    <w:nsid w:val="540A471C"/>
    <w:multiLevelType w:val="hybridMultilevel"/>
    <w:lvl w:ilvl="0">
      <w:lvlJc w:val="left"/>
      <w:lvlText w:val="(%1)"/>
      <w:numFmt w:val="decimal"/>
      <w:start w:val="1"/>
    </w:lvl>
    <w:lvl w:ilvl="1">
      <w:lvlJc w:val="left"/>
      <w:lvlText w:val="•"/>
      <w:numFmt w:val="bullet"/>
      <w:start w:val="1"/>
    </w:lvl>
  </w:abstractNum>
  <w:abstractNum w:abstractNumId="74">
    <w:nsid w:val="7BD3EE7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2025-05-13T11:12:01Z</dcterms:created>
  <dcterms:modified xsi:type="dcterms:W3CDTF">2025-05-13T11:12:01Z</dcterms:modified>
</cp:coreProperties>
</file>