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688975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52"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ind w:left="500" w:hanging="474"/>
        <w:spacing w:after="0" w:line="190" w:lineRule="auto"/>
        <w:tabs>
          <w:tab w:leader="none" w:pos="50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November 27, 2021</w:t>
      </w:r>
    </w:p>
    <w:p>
      <w:pPr>
        <w:ind w:left="480" w:hanging="454"/>
        <w:spacing w:after="0" w:line="204" w:lineRule="auto"/>
        <w:tabs>
          <w:tab w:leader="none" w:pos="48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7"/>
          <w:szCs w:val="17"/>
          <w:b w:val="1"/>
          <w:bCs w:val="1"/>
          <w:color w:val="auto"/>
        </w:rPr>
        <w:t>TRANSITION REPORT PURSUANT TO SECTION 13 or 15(d) OF THE SECURITIES EXCHANGE ACT OF 1934</w:t>
      </w:r>
    </w:p>
    <w:p>
      <w:pPr>
        <w:spacing w:after="0" w:line="126" w:lineRule="exact"/>
        <w:rPr>
          <w:sz w:val="24"/>
          <w:szCs w:val="24"/>
          <w:color w:val="auto"/>
        </w:rPr>
      </w:pPr>
    </w:p>
    <w:p>
      <w:pPr>
        <w:ind w:left="3980"/>
        <w:spacing w:after="0"/>
        <w:tabs>
          <w:tab w:leader="none" w:pos="65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0-6365</w:t>
      </w:r>
    </w:p>
    <w:p>
      <w:pPr>
        <w:spacing w:after="0" w:line="5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APOGEE ENTERPRISES,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w:t>
      </w:r>
    </w:p>
    <w:p>
      <w:pPr>
        <w:spacing w:after="0" w:line="121" w:lineRule="exact"/>
        <w:rPr>
          <w:sz w:val="24"/>
          <w:szCs w:val="24"/>
          <w:color w:val="auto"/>
        </w:rPr>
      </w:pPr>
    </w:p>
    <w:p>
      <w:pPr>
        <w:ind w:left="1860"/>
        <w:spacing w:after="0"/>
        <w:tabs>
          <w:tab w:leader="none" w:pos="8820" w:val="left"/>
        </w:tabs>
        <w:rPr>
          <w:sz w:val="20"/>
          <w:szCs w:val="20"/>
          <w:color w:val="auto"/>
        </w:rPr>
      </w:pPr>
      <w:r>
        <w:rPr>
          <w:rFonts w:ascii="Arial" w:cs="Arial" w:eastAsia="Arial" w:hAnsi="Arial"/>
          <w:sz w:val="17"/>
          <w:szCs w:val="17"/>
          <w:b w:val="1"/>
          <w:bCs w:val="1"/>
          <w:color w:val="auto"/>
        </w:rPr>
        <w:t>Minnesota</w:t>
      </w:r>
      <w:r>
        <w:rPr>
          <w:sz w:val="20"/>
          <w:szCs w:val="20"/>
          <w:color w:val="auto"/>
        </w:rPr>
        <w:tab/>
      </w:r>
      <w:r>
        <w:rPr>
          <w:rFonts w:ascii="Arial" w:cs="Arial" w:eastAsia="Arial" w:hAnsi="Arial"/>
          <w:sz w:val="17"/>
          <w:szCs w:val="17"/>
          <w:b w:val="1"/>
          <w:bCs w:val="1"/>
          <w:color w:val="auto"/>
        </w:rPr>
        <w:t>41-0919654</w:t>
      </w:r>
    </w:p>
    <w:p>
      <w:pPr>
        <w:spacing w:after="0" w:line="25" w:lineRule="exact"/>
        <w:rPr>
          <w:sz w:val="24"/>
          <w:szCs w:val="24"/>
          <w:color w:val="auto"/>
        </w:rPr>
      </w:pPr>
    </w:p>
    <w:p>
      <w:pPr>
        <w:ind w:left="540"/>
        <w:spacing w:after="0"/>
        <w:tabs>
          <w:tab w:leader="none" w:pos="8200" w:val="left"/>
        </w:tabs>
        <w:rPr>
          <w:sz w:val="20"/>
          <w:szCs w:val="20"/>
          <w:color w:val="auto"/>
        </w:rPr>
      </w:pPr>
      <w:r>
        <w:rPr>
          <w:rFonts w:ascii="Arial" w:cs="Arial" w:eastAsia="Arial" w:hAnsi="Arial"/>
          <w:sz w:val="14"/>
          <w:szCs w:val="14"/>
          <w:color w:val="auto"/>
        </w:rPr>
        <w:t>(State or other jurisdiction of incorporation or organization)</w:t>
      </w:r>
      <w:r>
        <w:rPr>
          <w:sz w:val="20"/>
          <w:szCs w:val="20"/>
          <w:color w:val="auto"/>
        </w:rPr>
        <w:tab/>
      </w:r>
      <w:r>
        <w:rPr>
          <w:rFonts w:ascii="Arial" w:cs="Arial" w:eastAsia="Arial" w:hAnsi="Arial"/>
          <w:sz w:val="13"/>
          <w:szCs w:val="13"/>
          <w:color w:val="auto"/>
        </w:rPr>
        <w:t>(I.R.S. Employer Identification No.)</w:t>
      </w:r>
    </w:p>
    <w:p>
      <w:pPr>
        <w:spacing w:after="0" w:line="78" w:lineRule="exact"/>
        <w:rPr>
          <w:sz w:val="24"/>
          <w:szCs w:val="24"/>
          <w:color w:val="auto"/>
        </w:rPr>
      </w:pPr>
    </w:p>
    <w:p>
      <w:pPr>
        <w:ind w:left="1080"/>
        <w:spacing w:after="0"/>
        <w:tabs>
          <w:tab w:leader="none" w:pos="4700" w:val="left"/>
          <w:tab w:leader="none" w:pos="6120" w:val="left"/>
          <w:tab w:leader="none" w:pos="9020" w:val="left"/>
        </w:tabs>
        <w:rPr>
          <w:sz w:val="20"/>
          <w:szCs w:val="20"/>
          <w:color w:val="auto"/>
        </w:rPr>
      </w:pPr>
      <w:r>
        <w:rPr>
          <w:rFonts w:ascii="Arial" w:cs="Arial" w:eastAsia="Arial" w:hAnsi="Arial"/>
          <w:sz w:val="17"/>
          <w:szCs w:val="17"/>
          <w:b w:val="1"/>
          <w:bCs w:val="1"/>
          <w:color w:val="auto"/>
        </w:rPr>
        <w:t>4400 West 78th Street, Suite 520</w:t>
      </w:r>
      <w:r>
        <w:rPr>
          <w:sz w:val="20"/>
          <w:szCs w:val="20"/>
          <w:color w:val="auto"/>
        </w:rPr>
        <w:tab/>
      </w:r>
      <w:r>
        <w:rPr>
          <w:rFonts w:ascii="Arial" w:cs="Arial" w:eastAsia="Arial" w:hAnsi="Arial"/>
          <w:sz w:val="17"/>
          <w:szCs w:val="17"/>
          <w:b w:val="1"/>
          <w:bCs w:val="1"/>
          <w:color w:val="auto"/>
        </w:rPr>
        <w:t>Minneapolis</w:t>
      </w:r>
      <w:r>
        <w:rPr>
          <w:sz w:val="20"/>
          <w:szCs w:val="20"/>
          <w:color w:val="auto"/>
        </w:rPr>
        <w:tab/>
      </w:r>
      <w:r>
        <w:rPr>
          <w:rFonts w:ascii="Arial" w:cs="Arial" w:eastAsia="Arial" w:hAnsi="Arial"/>
          <w:sz w:val="17"/>
          <w:szCs w:val="17"/>
          <w:b w:val="1"/>
          <w:bCs w:val="1"/>
          <w:color w:val="auto"/>
        </w:rPr>
        <w:t>Minnesota</w:t>
      </w:r>
      <w:r>
        <w:rPr>
          <w:sz w:val="20"/>
          <w:szCs w:val="20"/>
          <w:color w:val="auto"/>
        </w:rPr>
        <w:tab/>
      </w:r>
      <w:r>
        <w:rPr>
          <w:rFonts w:ascii="Arial" w:cs="Arial" w:eastAsia="Arial" w:hAnsi="Arial"/>
          <w:sz w:val="15"/>
          <w:szCs w:val="15"/>
          <w:b w:val="1"/>
          <w:bCs w:val="1"/>
          <w:color w:val="auto"/>
        </w:rPr>
        <w:t>55435</w:t>
      </w:r>
    </w:p>
    <w:p>
      <w:pPr>
        <w:spacing w:after="0" w:line="25" w:lineRule="exact"/>
        <w:rPr>
          <w:sz w:val="24"/>
          <w:szCs w:val="24"/>
          <w:color w:val="auto"/>
        </w:rPr>
      </w:pPr>
    </w:p>
    <w:p>
      <w:pPr>
        <w:ind w:left="1100"/>
        <w:spacing w:after="0"/>
        <w:tabs>
          <w:tab w:leader="none" w:pos="8920" w:val="left"/>
        </w:tabs>
        <w:rPr>
          <w:sz w:val="20"/>
          <w:szCs w:val="20"/>
          <w:color w:val="auto"/>
        </w:rPr>
      </w:pPr>
      <w:r>
        <w:rPr>
          <w:rFonts w:ascii="Arial" w:cs="Arial" w:eastAsia="Arial" w:hAnsi="Arial"/>
          <w:sz w:val="14"/>
          <w:szCs w:val="14"/>
          <w:color w:val="auto"/>
        </w:rPr>
        <w:t>(Address of principal executive offices)</w:t>
      </w:r>
      <w:r>
        <w:rPr>
          <w:sz w:val="20"/>
          <w:szCs w:val="20"/>
          <w:color w:val="auto"/>
        </w:rPr>
        <w:tab/>
      </w:r>
      <w:r>
        <w:rPr>
          <w:rFonts w:ascii="Arial" w:cs="Arial" w:eastAsia="Arial" w:hAnsi="Arial"/>
          <w:sz w:val="13"/>
          <w:szCs w:val="13"/>
          <w:color w:val="auto"/>
        </w:rPr>
        <w:t>(Zip Code)</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Registrant’s telephone number, including area code: (952) 835-1874</w:t>
      </w:r>
    </w:p>
    <w:p>
      <w:pPr>
        <w:spacing w:after="0" w:line="16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Not Applicable</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ind w:left="4120"/>
        <w:spacing w:after="0"/>
        <w:rPr>
          <w:sz w:val="20"/>
          <w:szCs w:val="20"/>
          <w:color w:val="auto"/>
        </w:rPr>
      </w:pPr>
      <w:r>
        <w:rPr>
          <w:rFonts w:ascii="Arial" w:cs="Arial" w:eastAsia="Arial" w:hAnsi="Arial"/>
          <w:sz w:val="18"/>
          <w:szCs w:val="18"/>
          <w:color w:val="auto"/>
        </w:rPr>
        <w:t>_________________________________</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p>
      <w:pPr>
        <w:ind w:left="1460"/>
        <w:spacing w:after="0"/>
        <w:tabs>
          <w:tab w:leader="none" w:pos="4860" w:val="left"/>
          <w:tab w:leader="none" w:pos="7380"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7" w:lineRule="exact"/>
        <w:rPr>
          <w:sz w:val="24"/>
          <w:szCs w:val="24"/>
          <w:color w:val="auto"/>
        </w:rPr>
      </w:pPr>
    </w:p>
    <w:p>
      <w:pPr>
        <w:ind w:left="500"/>
        <w:spacing w:after="0"/>
        <w:tabs>
          <w:tab w:leader="none" w:pos="5320" w:val="left"/>
          <w:tab w:leader="none" w:pos="7920" w:val="left"/>
        </w:tabs>
        <w:rPr>
          <w:sz w:val="20"/>
          <w:szCs w:val="20"/>
          <w:color w:val="auto"/>
        </w:rPr>
      </w:pPr>
      <w:r>
        <w:rPr>
          <w:rFonts w:ascii="Arial" w:cs="Arial" w:eastAsia="Arial" w:hAnsi="Arial"/>
          <w:sz w:val="18"/>
          <w:szCs w:val="18"/>
          <w:color w:val="auto"/>
        </w:rPr>
        <w:t>Common stock, par value $0.33 1/3 per share</w:t>
      </w:r>
      <w:r>
        <w:rPr>
          <w:sz w:val="20"/>
          <w:szCs w:val="20"/>
          <w:color w:val="auto"/>
        </w:rPr>
        <w:tab/>
      </w:r>
      <w:r>
        <w:rPr>
          <w:rFonts w:ascii="Arial" w:cs="Arial" w:eastAsia="Arial" w:hAnsi="Arial"/>
          <w:sz w:val="18"/>
          <w:szCs w:val="18"/>
          <w:color w:val="auto"/>
        </w:rPr>
        <w:t>APOG</w:t>
      </w:r>
      <w:r>
        <w:rPr>
          <w:sz w:val="20"/>
          <w:szCs w:val="20"/>
          <w:color w:val="auto"/>
        </w:rPr>
        <w:tab/>
      </w:r>
      <w:r>
        <w:rPr>
          <w:rFonts w:ascii="Arial" w:cs="Arial" w:eastAsia="Arial" w:hAnsi="Arial"/>
          <w:sz w:val="16"/>
          <w:szCs w:val="16"/>
          <w:color w:val="auto"/>
        </w:rPr>
        <w:t>The Nasdaq Stock Market LLC</w:t>
      </w:r>
    </w:p>
    <w:p>
      <w:pPr>
        <w:spacing w:after="0" w:line="10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o No</w:t>
      </w:r>
    </w:p>
    <w:p>
      <w:pPr>
        <w:spacing w:after="0" w:line="130"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x Yes o No</w:t>
      </w:r>
    </w:p>
    <w:p>
      <w:pPr>
        <w:spacing w:after="0" w:line="92"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4" w:right="339" w:bottom="1440" w:gutter="0" w:footer="0" w:header="0"/>
        </w:sectPr>
      </w:pPr>
    </w:p>
    <w:p>
      <w:pPr>
        <w:spacing w:after="0" w:line="19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00" w:type="dxa"/>
            <w:vAlign w:val="bottom"/>
          </w:tcPr>
          <w:p>
            <w:pPr>
              <w:ind w:left="460"/>
              <w:spacing w:after="0"/>
              <w:rPr>
                <w:sz w:val="20"/>
                <w:szCs w:val="20"/>
                <w:color w:val="auto"/>
              </w:rPr>
            </w:pPr>
            <w:r>
              <w:rPr>
                <w:rFonts w:ascii="Arial" w:cs="Arial" w:eastAsia="Arial" w:hAnsi="Arial"/>
                <w:sz w:val="18"/>
                <w:szCs w:val="18"/>
                <w:color w:val="auto"/>
              </w:rPr>
              <w:t>o</w:t>
            </w:r>
          </w:p>
        </w:tc>
        <w:tc>
          <w:tcPr>
            <w:tcW w:w="4220" w:type="dxa"/>
            <w:vAlign w:val="bottom"/>
          </w:tcPr>
          <w:p>
            <w:pPr>
              <w:ind w:left="2260"/>
              <w:spacing w:after="0"/>
              <w:rPr>
                <w:sz w:val="20"/>
                <w:szCs w:val="20"/>
                <w:color w:val="auto"/>
              </w:rPr>
            </w:pPr>
            <w:r>
              <w:rPr>
                <w:rFonts w:ascii="Arial" w:cs="Arial" w:eastAsia="Arial" w:hAnsi="Arial"/>
                <w:sz w:val="18"/>
                <w:szCs w:val="18"/>
                <w:color w:val="auto"/>
              </w:rPr>
              <w:t>Accelerated filer</w:t>
            </w:r>
          </w:p>
        </w:tc>
      </w:tr>
      <w:tr>
        <w:trPr>
          <w:trHeight w:val="284"/>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00" w:type="dxa"/>
            <w:vAlign w:val="bottom"/>
          </w:tcPr>
          <w:p>
            <w:pPr>
              <w:ind w:left="460"/>
              <w:spacing w:after="0"/>
              <w:rPr>
                <w:sz w:val="20"/>
                <w:szCs w:val="20"/>
                <w:color w:val="auto"/>
              </w:rPr>
            </w:pPr>
            <w:r>
              <w:rPr>
                <w:rFonts w:ascii="Arial" w:cs="Arial" w:eastAsia="Arial" w:hAnsi="Arial"/>
                <w:sz w:val="18"/>
                <w:szCs w:val="18"/>
                <w:color w:val="auto"/>
              </w:rPr>
              <w:t>o</w:t>
            </w:r>
          </w:p>
        </w:tc>
        <w:tc>
          <w:tcPr>
            <w:tcW w:w="4220" w:type="dxa"/>
            <w:vAlign w:val="bottom"/>
          </w:tcPr>
          <w:p>
            <w:pPr>
              <w:ind w:left="2260"/>
              <w:spacing w:after="0"/>
              <w:rPr>
                <w:sz w:val="20"/>
                <w:szCs w:val="20"/>
                <w:color w:val="auto"/>
              </w:rPr>
            </w:pPr>
            <w:r>
              <w:rPr>
                <w:rFonts w:ascii="Arial" w:cs="Arial" w:eastAsia="Arial" w:hAnsi="Arial"/>
                <w:sz w:val="18"/>
                <w:szCs w:val="18"/>
                <w:color w:val="auto"/>
                <w:w w:val="90"/>
              </w:rPr>
              <w:t>Smaller reporting company</w:t>
            </w:r>
          </w:p>
        </w:tc>
      </w:tr>
      <w:tr>
        <w:trPr>
          <w:trHeight w:val="299"/>
        </w:trPr>
        <w:tc>
          <w:tcPr>
            <w:tcW w:w="24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spacing w:after="0"/>
              <w:rPr>
                <w:sz w:val="24"/>
                <w:szCs w:val="24"/>
                <w:color w:val="auto"/>
              </w:rPr>
            </w:pPr>
          </w:p>
        </w:tc>
      </w:tr>
    </w:tbl>
    <w:p>
      <w:pPr>
        <w:ind w:left="20"/>
        <w:spacing w:after="0" w:line="22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4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34" w:lineRule="exact"/>
        <w:rPr>
          <w:sz w:val="24"/>
          <w:szCs w:val="24"/>
          <w:color w:val="auto"/>
        </w:rPr>
      </w:pPr>
    </w:p>
    <w:p>
      <w:pPr>
        <w:jc w:val="center"/>
        <w:ind w:right="520"/>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080" w:space="480"/>
            <w:col w:w="680"/>
          </w:cols>
          <w:pgMar w:left="320" w:top="1214" w:right="339" w:bottom="1440" w:gutter="0" w:footer="0" w:header="0"/>
          <w:type w:val="continuous"/>
        </w:sectPr>
      </w:pPr>
    </w:p>
    <w:bookmarkStart w:id="1" w:name="page2"/>
    <w:bookmarkEnd w:id="1"/>
    <w:p>
      <w:pPr>
        <w:ind w:right="699"/>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 As of January 3, 2022, 24,865,480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111760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970"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APOGEE ENTERPRISES, INC. AND SUBSIDIARIES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440" w:type="dxa"/>
            <w:vAlign w:val="bottom"/>
            <w:gridSpan w:val="6"/>
          </w:tcPr>
          <w:p>
            <w:pPr>
              <w:ind w:left="2600"/>
              <w:spacing w:after="0"/>
              <w:rPr>
                <w:sz w:val="20"/>
                <w:szCs w:val="20"/>
                <w:color w:val="auto"/>
              </w:rPr>
            </w:pPr>
            <w:r>
              <w:rPr>
                <w:rFonts w:ascii="Arial" w:cs="Arial" w:eastAsia="Arial" w:hAnsi="Arial"/>
                <w:sz w:val="14"/>
                <w:szCs w:val="14"/>
                <w:b w:val="1"/>
                <w:bCs w:val="1"/>
                <w:color w:val="auto"/>
              </w:rPr>
              <w:t>Page</w:t>
            </w:r>
          </w:p>
        </w:tc>
      </w:tr>
      <w:tr>
        <w:trPr>
          <w:trHeight w:val="210"/>
        </w:trPr>
        <w:tc>
          <w:tcPr>
            <w:tcW w:w="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5"/>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Financial Information</w:t>
              </w:r>
            </w:hyperlink>
          </w:p>
        </w:tc>
        <w:tc>
          <w:tcPr>
            <w:tcW w:w="4760" w:type="dxa"/>
            <w:vAlign w:val="bottom"/>
            <w:gridSpan w:val="10"/>
          </w:tcPr>
          <w:p>
            <w:pPr>
              <w:spacing w:after="0"/>
              <w:rPr>
                <w:sz w:val="18"/>
                <w:szCs w:val="18"/>
                <w:color w:val="auto"/>
              </w:rPr>
            </w:pPr>
          </w:p>
        </w:tc>
        <w:tc>
          <w:tcPr>
            <w:tcW w:w="26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6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 (Unaudited):</w:t>
              </w:r>
            </w:hyperlink>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60" w:type="dxa"/>
            <w:vAlign w:val="bottom"/>
            <w:tcBorders>
              <w:top w:val="single" w:sz="8" w:color="0000FF"/>
            </w:tcBorders>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Balance Sheets</w:t>
              </w:r>
            </w:hyperlink>
          </w:p>
        </w:tc>
        <w:tc>
          <w:tcPr>
            <w:tcW w:w="4000" w:type="dxa"/>
            <w:vAlign w:val="bottom"/>
            <w:gridSpan w:val="7"/>
          </w:tcPr>
          <w:p>
            <w:pPr>
              <w:spacing w:after="0"/>
              <w:rPr>
                <w:sz w:val="22"/>
                <w:szCs w:val="22"/>
                <w:color w:val="auto"/>
              </w:rPr>
            </w:pPr>
          </w:p>
        </w:tc>
        <w:tc>
          <w:tcPr>
            <w:tcW w:w="3440" w:type="dxa"/>
            <w:vAlign w:val="bottom"/>
            <w:gridSpan w:val="6"/>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Results of Operations</w:t>
              </w:r>
            </w:hyperlink>
          </w:p>
        </w:tc>
        <w:tc>
          <w:tcPr>
            <w:tcW w:w="3440" w:type="dxa"/>
            <w:vAlign w:val="bottom"/>
            <w:gridSpan w:val="6"/>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84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Consolidated Statements of Comprehensive Earnings</w:t>
              </w:r>
            </w:hyperlink>
          </w:p>
        </w:tc>
        <w:tc>
          <w:tcPr>
            <w:tcW w:w="2620" w:type="dxa"/>
            <w:vAlign w:val="bottom"/>
            <w:gridSpan w:val="2"/>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w:t>
              </w:r>
            </w:hyperlink>
          </w:p>
        </w:tc>
        <w:tc>
          <w:tcPr>
            <w:tcW w:w="3440" w:type="dxa"/>
            <w:vAlign w:val="bottom"/>
            <w:gridSpan w:val="6"/>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52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Consolidated Statements of Shareholders' Equity</w:t>
              </w:r>
            </w:hyperlink>
          </w:p>
        </w:tc>
        <w:tc>
          <w:tcPr>
            <w:tcW w:w="2940" w:type="dxa"/>
            <w:vAlign w:val="bottom"/>
            <w:gridSpan w:val="3"/>
          </w:tcPr>
          <w:p>
            <w:pPr>
              <w:spacing w:after="0"/>
              <w:rPr>
                <w:sz w:val="22"/>
                <w:szCs w:val="22"/>
                <w:color w:val="auto"/>
              </w:rPr>
            </w:pPr>
          </w:p>
        </w:tc>
        <w:tc>
          <w:tcPr>
            <w:tcW w:w="3300" w:type="dxa"/>
            <w:vAlign w:val="bottom"/>
            <w:gridSpan w:val="4"/>
          </w:tcPr>
          <w:p>
            <w:pPr>
              <w:spacing w:after="0"/>
              <w:rPr>
                <w:sz w:val="22"/>
                <w:szCs w:val="22"/>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8</w:t>
              </w:r>
            </w:hyperlink>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60" w:type="dxa"/>
            <w:vAlign w:val="bottom"/>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3400" w:type="dxa"/>
            <w:vAlign w:val="bottom"/>
            <w:gridSpan w:val="5"/>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10</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Management’s Discussion and Analysis of Financial Condition and Results of Operations</w:t>
              </w:r>
            </w:hyperlink>
          </w:p>
        </w:tc>
        <w:tc>
          <w:tcPr>
            <w:tcW w:w="3400" w:type="dxa"/>
            <w:vAlign w:val="bottom"/>
            <w:gridSpan w:val="5"/>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4"/>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Quantitative and Qualitative Disclosures About Market Risk</w:t>
              </w:r>
            </w:hyperlink>
          </w:p>
        </w:tc>
        <w:tc>
          <w:tcPr>
            <w:tcW w:w="2120" w:type="dxa"/>
            <w:vAlign w:val="bottom"/>
          </w:tcPr>
          <w:p>
            <w:pPr>
              <w:spacing w:after="0"/>
              <w:rPr>
                <w:sz w:val="22"/>
                <w:szCs w:val="22"/>
                <w:color w:val="auto"/>
              </w:rPr>
            </w:pPr>
          </w:p>
        </w:tc>
        <w:tc>
          <w:tcPr>
            <w:tcW w:w="340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4"/>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2120" w:type="dxa"/>
            <w:vAlign w:val="bottom"/>
          </w:tcPr>
          <w:p>
            <w:pPr>
              <w:spacing w:after="0"/>
              <w:rPr>
                <w:sz w:val="22"/>
                <w:szCs w:val="22"/>
                <w:color w:val="auto"/>
              </w:rPr>
            </w:pPr>
          </w:p>
        </w:tc>
        <w:tc>
          <w:tcPr>
            <w:tcW w:w="340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4"/>
          </w:tcPr>
          <w:p>
            <w:pPr>
              <w:spacing w:after="0"/>
              <w:rPr>
                <w:rFonts w:ascii="Arial" w:cs="Arial" w:eastAsia="Arial" w:hAnsi="Arial"/>
                <w:sz w:val="18"/>
                <w:szCs w:val="18"/>
                <w:b w:val="1"/>
                <w:bCs w:val="1"/>
                <w:color w:val="0000FF"/>
                <w:w w:val="93"/>
              </w:rPr>
            </w:pPr>
            <w:hyperlink w:anchor="page27">
              <w:r>
                <w:rPr>
                  <w:rFonts w:ascii="Arial" w:cs="Arial" w:eastAsia="Arial" w:hAnsi="Arial"/>
                  <w:sz w:val="18"/>
                  <w:szCs w:val="18"/>
                  <w:b w:val="1"/>
                  <w:bCs w:val="1"/>
                  <w:color w:val="0000FF"/>
                  <w:w w:val="93"/>
                </w:rPr>
                <w:t>Other Information</w:t>
              </w:r>
            </w:hyperlink>
          </w:p>
        </w:tc>
        <w:tc>
          <w:tcPr>
            <w:tcW w:w="320" w:type="dxa"/>
            <w:vAlign w:val="bottom"/>
            <w:tcBorders>
              <w:top w:val="single" w:sz="8" w:color="0000FF"/>
            </w:tcBorders>
            <w:gridSpan w:val="2"/>
          </w:tcPr>
          <w:p>
            <w:pPr>
              <w:spacing w:after="0"/>
              <w:rPr>
                <w:sz w:val="22"/>
                <w:szCs w:val="22"/>
                <w:color w:val="auto"/>
              </w:rPr>
            </w:pPr>
          </w:p>
        </w:tc>
        <w:tc>
          <w:tcPr>
            <w:tcW w:w="4700" w:type="dxa"/>
            <w:vAlign w:val="bottom"/>
            <w:gridSpan w:val="9"/>
          </w:tcPr>
          <w:p>
            <w:pPr>
              <w:spacing w:after="0"/>
              <w:rPr>
                <w:sz w:val="22"/>
                <w:szCs w:val="22"/>
                <w:color w:val="auto"/>
              </w:rPr>
            </w:pPr>
          </w:p>
        </w:tc>
        <w:tc>
          <w:tcPr>
            <w:tcW w:w="2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60" w:type="dxa"/>
            <w:vAlign w:val="bottom"/>
            <w:gridSpan w:val="15"/>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Legal Proceedings</w:t>
              </w:r>
            </w:hyperlink>
          </w:p>
        </w:tc>
        <w:tc>
          <w:tcPr>
            <w:tcW w:w="340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2"/>
          </w:tcPr>
          <w:p>
            <w:pPr>
              <w:spacing w:after="0"/>
              <w:rPr>
                <w:rFonts w:ascii="Arial" w:cs="Arial" w:eastAsia="Arial" w:hAnsi="Arial"/>
                <w:sz w:val="18"/>
                <w:szCs w:val="18"/>
                <w:color w:val="0000FF"/>
                <w:w w:val="87"/>
              </w:rPr>
            </w:pPr>
            <w:hyperlink w:anchor="page27">
              <w:r>
                <w:rPr>
                  <w:rFonts w:ascii="Arial" w:cs="Arial" w:eastAsia="Arial" w:hAnsi="Arial"/>
                  <w:sz w:val="18"/>
                  <w:szCs w:val="18"/>
                  <w:color w:val="0000FF"/>
                  <w:w w:val="87"/>
                </w:rPr>
                <w:t>Risk Factors</w:t>
              </w:r>
            </w:hyperlink>
          </w:p>
        </w:tc>
        <w:tc>
          <w:tcPr>
            <w:tcW w:w="420" w:type="dxa"/>
            <w:vAlign w:val="bottom"/>
          </w:tcPr>
          <w:p>
            <w:pPr>
              <w:spacing w:after="0"/>
              <w:rPr>
                <w:sz w:val="22"/>
                <w:szCs w:val="22"/>
                <w:color w:val="auto"/>
              </w:rPr>
            </w:pPr>
          </w:p>
        </w:tc>
        <w:tc>
          <w:tcPr>
            <w:tcW w:w="5140" w:type="dxa"/>
            <w:vAlign w:val="bottom"/>
            <w:gridSpan w:val="12"/>
          </w:tcPr>
          <w:p>
            <w:pPr>
              <w:spacing w:after="0"/>
              <w:rPr>
                <w:sz w:val="22"/>
                <w:szCs w:val="22"/>
                <w:color w:val="auto"/>
              </w:rPr>
            </w:pPr>
          </w:p>
        </w:tc>
        <w:tc>
          <w:tcPr>
            <w:tcW w:w="3400" w:type="dxa"/>
            <w:vAlign w:val="bottom"/>
            <w:gridSpan w:val="5"/>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40" w:type="dxa"/>
            <w:vAlign w:val="bottom"/>
            <w:gridSpan w:val="1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5"/>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Unregistered Sales of Equity Securities and Use of Proceeds</w:t>
              </w:r>
            </w:hyperlink>
          </w:p>
        </w:tc>
        <w:tc>
          <w:tcPr>
            <w:tcW w:w="3400" w:type="dxa"/>
            <w:vAlign w:val="bottom"/>
            <w:gridSpan w:val="5"/>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FF"/>
                <w:w w:val="91"/>
              </w:rPr>
            </w:pPr>
            <w:hyperlink w:anchor="page28">
              <w:r>
                <w:rPr>
                  <w:rFonts w:ascii="Arial" w:cs="Arial" w:eastAsia="Arial" w:hAnsi="Arial"/>
                  <w:sz w:val="18"/>
                  <w:szCs w:val="18"/>
                  <w:color w:val="0000FF"/>
                  <w:w w:val="91"/>
                </w:rPr>
                <w:t>Exhibits</w:t>
              </w:r>
            </w:hyperlink>
          </w:p>
        </w:tc>
        <w:tc>
          <w:tcPr>
            <w:tcW w:w="3740" w:type="dxa"/>
            <w:vAlign w:val="bottom"/>
            <w:gridSpan w:val="13"/>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20" w:type="dxa"/>
            <w:vAlign w:val="bottom"/>
            <w:gridSpan w:val="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Signatures</w:t>
              </w:r>
            </w:hyperlink>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400" w:type="dxa"/>
            <w:vAlign w:val="bottom"/>
            <w:gridSpan w:val="5"/>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c>
          <w:tcPr>
            <w:tcW w:w="40" w:type="dxa"/>
            <w:vAlign w:val="bottom"/>
          </w:tcPr>
          <w:p>
            <w:pPr>
              <w:spacing w:after="0"/>
              <w:rPr>
                <w:sz w:val="22"/>
                <w:szCs w:val="22"/>
                <w:color w:val="auto"/>
              </w:rPr>
            </w:pPr>
          </w:p>
        </w:tc>
      </w:tr>
      <w:tr>
        <w:trPr>
          <w:trHeight w:val="871"/>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4"/>
          </w:tcPr>
          <w:p>
            <w:pPr>
              <w:ind w:left="4240"/>
              <w:spacing w:after="0"/>
              <w:rPr>
                <w:sz w:val="20"/>
                <w:szCs w:val="20"/>
                <w:color w:val="auto"/>
              </w:rPr>
            </w:pPr>
            <w:r>
              <w:rPr>
                <w:rFonts w:ascii="Arial" w:cs="Arial" w:eastAsia="Arial" w:hAnsi="Arial"/>
                <w:sz w:val="15"/>
                <w:szCs w:val="15"/>
                <w:color w:val="auto"/>
                <w:w w:val="71"/>
              </w:rPr>
              <w:t>3</w:t>
            </w:r>
          </w:p>
        </w:tc>
        <w:tc>
          <w:tcPr>
            <w:tcW w:w="2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6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6720" w:type="dxa"/>
            <w:vAlign w:val="bottom"/>
            <w:gridSpan w:val="2"/>
          </w:tcPr>
          <w:p>
            <w:pPr>
              <w:ind w:left="2820"/>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80" w:type="dxa"/>
            <w:vAlign w:val="bottom"/>
            <w:gridSpan w:val="3"/>
          </w:tcPr>
          <w:p>
            <w:pPr>
              <w:ind w:left="200"/>
              <w:spacing w:after="0"/>
              <w:rPr>
                <w:sz w:val="20"/>
                <w:szCs w:val="20"/>
                <w:color w:val="auto"/>
              </w:rPr>
            </w:pPr>
            <w:r>
              <w:rPr>
                <w:rFonts w:ascii="Arial" w:cs="Arial" w:eastAsia="Arial" w:hAnsi="Arial"/>
                <w:sz w:val="18"/>
                <w:szCs w:val="18"/>
                <w:b w:val="1"/>
                <w:bCs w:val="1"/>
                <w:color w:val="auto"/>
              </w:rPr>
              <w:t>Financial Statements</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000" w:type="dxa"/>
            <w:vAlign w:val="bottom"/>
            <w:gridSpan w:val="4"/>
          </w:tcPr>
          <w:p>
            <w:pPr>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00" w:type="dxa"/>
            <w:vAlign w:val="bottom"/>
            <w:gridSpan w:val="4"/>
          </w:tcPr>
          <w:p>
            <w:pPr>
              <w:spacing w:after="0"/>
              <w:rPr>
                <w:sz w:val="20"/>
                <w:szCs w:val="20"/>
                <w:color w:val="auto"/>
              </w:rPr>
            </w:pPr>
            <w:r>
              <w:rPr>
                <w:rFonts w:ascii="Arial" w:cs="Arial" w:eastAsia="Arial" w:hAnsi="Arial"/>
                <w:sz w:val="18"/>
                <w:szCs w:val="18"/>
                <w:color w:val="auto"/>
              </w:rPr>
              <w:t>(Unaudited)</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5"/>
        </w:trPr>
        <w:tc>
          <w:tcPr>
            <w:tcW w:w="8000" w:type="dxa"/>
            <w:vAlign w:val="bottom"/>
            <w:gridSpan w:val="4"/>
          </w:tcPr>
          <w:p>
            <w:pPr>
              <w:ind w:left="20"/>
              <w:spacing w:after="0"/>
              <w:rPr>
                <w:sz w:val="20"/>
                <w:szCs w:val="20"/>
                <w:color w:val="auto"/>
              </w:rPr>
            </w:pPr>
            <w:r>
              <w:rPr>
                <w:rFonts w:ascii="Arial" w:cs="Arial" w:eastAsia="Arial" w:hAnsi="Arial"/>
                <w:sz w:val="14"/>
                <w:szCs w:val="14"/>
                <w:i w:val="1"/>
                <w:iCs w:val="1"/>
                <w:color w:val="auto"/>
              </w:rPr>
              <w:t>(In thousands, except stock data)</w:t>
            </w:r>
          </w:p>
        </w:tc>
        <w:tc>
          <w:tcPr>
            <w:tcW w:w="120" w:type="dxa"/>
            <w:vAlign w:val="bottom"/>
          </w:tcPr>
          <w:p>
            <w:pPr>
              <w:spacing w:after="0"/>
              <w:rPr>
                <w:sz w:val="24"/>
                <w:szCs w:val="24"/>
                <w:color w:val="auto"/>
              </w:rPr>
            </w:pPr>
          </w:p>
        </w:tc>
        <w:tc>
          <w:tcPr>
            <w:tcW w:w="1560" w:type="dxa"/>
            <w:vAlign w:val="bottom"/>
            <w:gridSpan w:val="2"/>
          </w:tcPr>
          <w:p>
            <w:pPr>
              <w:spacing w:after="0"/>
              <w:rPr>
                <w:sz w:val="20"/>
                <w:szCs w:val="20"/>
                <w:color w:val="auto"/>
              </w:rPr>
            </w:pPr>
            <w:r>
              <w:rPr>
                <w:rFonts w:ascii="Arial" w:cs="Arial" w:eastAsia="Arial" w:hAnsi="Arial"/>
                <w:sz w:val="16"/>
                <w:szCs w:val="16"/>
                <w:b w:val="1"/>
                <w:bCs w:val="1"/>
                <w:color w:val="auto"/>
              </w:rPr>
              <w:t>November 27, 2021</w:t>
            </w:r>
          </w:p>
        </w:tc>
        <w:tc>
          <w:tcPr>
            <w:tcW w:w="120" w:type="dxa"/>
            <w:vAlign w:val="bottom"/>
          </w:tcPr>
          <w:p>
            <w:pPr>
              <w:spacing w:after="0"/>
              <w:rPr>
                <w:sz w:val="24"/>
                <w:szCs w:val="24"/>
                <w:color w:val="auto"/>
              </w:rPr>
            </w:pPr>
          </w:p>
        </w:tc>
        <w:tc>
          <w:tcPr>
            <w:tcW w:w="1440" w:type="dxa"/>
            <w:vAlign w:val="bottom"/>
          </w:tcPr>
          <w:p>
            <w:pPr>
              <w:jc w:val="right"/>
              <w:ind w:right="70"/>
              <w:spacing w:after="0"/>
              <w:rPr>
                <w:sz w:val="20"/>
                <w:szCs w:val="20"/>
                <w:color w:val="auto"/>
              </w:rPr>
            </w:pPr>
            <w:r>
              <w:rPr>
                <w:rFonts w:ascii="Arial" w:cs="Arial" w:eastAsia="Arial" w:hAnsi="Arial"/>
                <w:sz w:val="16"/>
                <w:szCs w:val="16"/>
                <w:b w:val="1"/>
                <w:bCs w:val="1"/>
                <w:color w:val="auto"/>
                <w:w w:val="93"/>
              </w:rPr>
              <w:t>February 27, 2021</w:t>
            </w:r>
          </w:p>
        </w:tc>
        <w:tc>
          <w:tcPr>
            <w:tcW w:w="0" w:type="dxa"/>
            <w:vAlign w:val="bottom"/>
          </w:tcPr>
          <w:p>
            <w:pPr>
              <w:spacing w:after="0"/>
              <w:rPr>
                <w:sz w:val="1"/>
                <w:szCs w:val="1"/>
                <w:color w:val="auto"/>
              </w:rPr>
            </w:pPr>
          </w:p>
        </w:tc>
      </w:tr>
      <w:tr>
        <w:trPr>
          <w:trHeight w:val="226"/>
        </w:trPr>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Assets</w:t>
            </w:r>
          </w:p>
        </w:tc>
        <w:tc>
          <w:tcPr>
            <w:tcW w:w="660" w:type="dxa"/>
            <w:vAlign w:val="bottom"/>
            <w:tcBorders>
              <w:top w:val="single" w:sz="8" w:color="auto"/>
            </w:tcBorders>
            <w:shd w:val="clear" w:color="auto" w:fill="CCEEFF"/>
          </w:tcPr>
          <w:p>
            <w:pPr>
              <w:spacing w:after="0"/>
              <w:rPr>
                <w:sz w:val="19"/>
                <w:szCs w:val="19"/>
                <w:color w:val="auto"/>
              </w:rPr>
            </w:pPr>
          </w:p>
        </w:tc>
        <w:tc>
          <w:tcPr>
            <w:tcW w:w="6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gridSpan w:val="4"/>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47,277</w:t>
            </w:r>
          </w:p>
        </w:tc>
        <w:tc>
          <w:tcPr>
            <w:tcW w:w="0" w:type="dxa"/>
            <w:vAlign w:val="bottom"/>
          </w:tcPr>
          <w:p>
            <w:pPr>
              <w:spacing w:after="0"/>
              <w:rPr>
                <w:sz w:val="1"/>
                <w:szCs w:val="1"/>
                <w:color w:val="auto"/>
              </w:rPr>
            </w:pPr>
          </w:p>
        </w:tc>
      </w:tr>
      <w:tr>
        <w:trPr>
          <w:trHeight w:val="229"/>
        </w:trPr>
        <w:tc>
          <w:tcPr>
            <w:tcW w:w="8000" w:type="dxa"/>
            <w:vAlign w:val="bottom"/>
            <w:gridSpan w:val="4"/>
          </w:tcPr>
          <w:p>
            <w:pPr>
              <w:ind w:left="360"/>
              <w:spacing w:after="0"/>
              <w:rPr>
                <w:sz w:val="20"/>
                <w:szCs w:val="20"/>
                <w:color w:val="auto"/>
              </w:rPr>
            </w:pPr>
            <w:r>
              <w:rPr>
                <w:rFonts w:ascii="Arial" w:cs="Arial" w:eastAsia="Arial" w:hAnsi="Arial"/>
                <w:sz w:val="18"/>
                <w:szCs w:val="18"/>
                <w:color w:val="auto"/>
              </w:rPr>
              <w:t>Receivables,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165,005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175,917</w:t>
            </w:r>
          </w:p>
        </w:tc>
        <w:tc>
          <w:tcPr>
            <w:tcW w:w="0" w:type="dxa"/>
            <w:vAlign w:val="bottom"/>
          </w:tcPr>
          <w:p>
            <w:pPr>
              <w:spacing w:after="0"/>
              <w:rPr>
                <w:sz w:val="1"/>
                <w:szCs w:val="1"/>
                <w:color w:val="auto"/>
              </w:rPr>
            </w:pPr>
          </w:p>
        </w:tc>
      </w:tr>
      <w:tr>
        <w:trPr>
          <w:trHeight w:val="229"/>
        </w:trPr>
        <w:tc>
          <w:tcPr>
            <w:tcW w:w="80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72,823</w:t>
            </w:r>
          </w:p>
        </w:tc>
        <w:tc>
          <w:tcPr>
            <w:tcW w:w="0" w:type="dxa"/>
            <w:vAlign w:val="bottom"/>
          </w:tcPr>
          <w:p>
            <w:pPr>
              <w:spacing w:after="0"/>
              <w:rPr>
                <w:sz w:val="1"/>
                <w:szCs w:val="1"/>
                <w:color w:val="auto"/>
              </w:rPr>
            </w:pPr>
          </w:p>
        </w:tc>
      </w:tr>
      <w:tr>
        <w:trPr>
          <w:trHeight w:val="230"/>
        </w:trPr>
        <w:tc>
          <w:tcPr>
            <w:tcW w:w="8000" w:type="dxa"/>
            <w:vAlign w:val="bottom"/>
            <w:gridSpan w:val="4"/>
          </w:tcPr>
          <w:p>
            <w:pPr>
              <w:ind w:left="360"/>
              <w:spacing w:after="0"/>
              <w:rPr>
                <w:sz w:val="20"/>
                <w:szCs w:val="20"/>
                <w:color w:val="auto"/>
              </w:rPr>
            </w:pPr>
            <w:r>
              <w:rPr>
                <w:rFonts w:ascii="Arial" w:cs="Arial" w:eastAsia="Arial" w:hAnsi="Arial"/>
                <w:sz w:val="18"/>
                <w:szCs w:val="18"/>
                <w:color w:val="auto"/>
              </w:rPr>
              <w:t>Costs and earnings on contracts in excess of billings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28,323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29,497</w:t>
            </w:r>
          </w:p>
        </w:tc>
        <w:tc>
          <w:tcPr>
            <w:tcW w:w="0" w:type="dxa"/>
            <w:vAlign w:val="bottom"/>
          </w:tcPr>
          <w:p>
            <w:pPr>
              <w:spacing w:after="0"/>
              <w:rPr>
                <w:sz w:val="1"/>
                <w:szCs w:val="1"/>
                <w:color w:val="auto"/>
              </w:rPr>
            </w:pPr>
          </w:p>
        </w:tc>
      </w:tr>
      <w:tr>
        <w:trPr>
          <w:trHeight w:val="229"/>
        </w:trPr>
        <w:tc>
          <w:tcPr>
            <w:tcW w:w="80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25,160</w:t>
            </w:r>
          </w:p>
        </w:tc>
        <w:tc>
          <w:tcPr>
            <w:tcW w:w="0" w:type="dxa"/>
            <w:vAlign w:val="bottom"/>
          </w:tcPr>
          <w:p>
            <w:pPr>
              <w:spacing w:after="0"/>
              <w:rPr>
                <w:sz w:val="1"/>
                <w:szCs w:val="1"/>
                <w:color w:val="auto"/>
              </w:rPr>
            </w:pPr>
          </w:p>
        </w:tc>
      </w:tr>
      <w:tr>
        <w:trPr>
          <w:trHeight w:val="223"/>
        </w:trPr>
        <w:tc>
          <w:tcPr>
            <w:tcW w:w="620" w:type="dxa"/>
            <w:vAlign w:val="bottom"/>
            <w:tcBorders>
              <w:bottom w:val="single" w:sz="8" w:color="CCEEFF"/>
            </w:tcBorders>
          </w:tcPr>
          <w:p>
            <w:pPr>
              <w:spacing w:after="0"/>
              <w:rPr>
                <w:sz w:val="19"/>
                <w:szCs w:val="19"/>
                <w:color w:val="auto"/>
              </w:rPr>
            </w:pPr>
          </w:p>
        </w:tc>
        <w:tc>
          <w:tcPr>
            <w:tcW w:w="7380" w:type="dxa"/>
            <w:vAlign w:val="bottom"/>
            <w:tcBorders>
              <w:bottom w:val="single" w:sz="8" w:color="CCEEFF"/>
            </w:tcBorders>
            <w:gridSpan w:val="3"/>
          </w:tcPr>
          <w:p>
            <w:pPr>
              <w:ind w:left="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366,874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350,674</w:t>
            </w:r>
          </w:p>
        </w:tc>
        <w:tc>
          <w:tcPr>
            <w:tcW w:w="0" w:type="dxa"/>
            <w:vAlign w:val="bottom"/>
          </w:tcPr>
          <w:p>
            <w:pPr>
              <w:spacing w:after="0"/>
              <w:rPr>
                <w:sz w:val="1"/>
                <w:szCs w:val="1"/>
                <w:color w:val="auto"/>
              </w:rPr>
            </w:pPr>
          </w:p>
        </w:tc>
      </w:tr>
      <w:tr>
        <w:trPr>
          <w:trHeight w:val="223"/>
        </w:trPr>
        <w:tc>
          <w:tcPr>
            <w:tcW w:w="8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298,443</w:t>
            </w:r>
          </w:p>
        </w:tc>
        <w:tc>
          <w:tcPr>
            <w:tcW w:w="0" w:type="dxa"/>
            <w:vAlign w:val="bottom"/>
          </w:tcPr>
          <w:p>
            <w:pPr>
              <w:spacing w:after="0"/>
              <w:rPr>
                <w:sz w:val="1"/>
                <w:szCs w:val="1"/>
                <w:color w:val="auto"/>
              </w:rPr>
            </w:pPr>
          </w:p>
        </w:tc>
      </w:tr>
      <w:tr>
        <w:trPr>
          <w:trHeight w:val="230"/>
        </w:trPr>
        <w:tc>
          <w:tcPr>
            <w:tcW w:w="8000" w:type="dxa"/>
            <w:vAlign w:val="bottom"/>
            <w:gridSpan w:val="4"/>
          </w:tcPr>
          <w:p>
            <w:pPr>
              <w:ind w:left="2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9,256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58,864</w:t>
            </w:r>
          </w:p>
        </w:tc>
        <w:tc>
          <w:tcPr>
            <w:tcW w:w="0" w:type="dxa"/>
            <w:vAlign w:val="bottom"/>
          </w:tcPr>
          <w:p>
            <w:pPr>
              <w:spacing w:after="0"/>
              <w:rPr>
                <w:sz w:val="1"/>
                <w:szCs w:val="1"/>
                <w:color w:val="auto"/>
              </w:rPr>
            </w:pPr>
          </w:p>
        </w:tc>
      </w:tr>
      <w:tr>
        <w:trPr>
          <w:trHeight w:val="229"/>
        </w:trPr>
        <w:tc>
          <w:tcPr>
            <w:tcW w:w="8000" w:type="dxa"/>
            <w:vAlign w:val="bottom"/>
            <w:gridSpan w:val="4"/>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129,932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130,098</w:t>
            </w: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130,053</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46,967</w:t>
            </w:r>
          </w:p>
        </w:tc>
        <w:tc>
          <w:tcPr>
            <w:tcW w:w="0" w:type="dxa"/>
            <w:vAlign w:val="bottom"/>
          </w:tcPr>
          <w:p>
            <w:pPr>
              <w:spacing w:after="0"/>
              <w:rPr>
                <w:sz w:val="1"/>
                <w:szCs w:val="1"/>
                <w:color w:val="auto"/>
              </w:rPr>
            </w:pPr>
          </w:p>
        </w:tc>
      </w:tr>
      <w:tr>
        <w:trPr>
          <w:trHeight w:val="248"/>
        </w:trPr>
        <w:tc>
          <w:tcPr>
            <w:tcW w:w="620" w:type="dxa"/>
            <w:vAlign w:val="bottom"/>
            <w:tcBorders>
              <w:bottom w:val="single" w:sz="8" w:color="CCEEFF"/>
            </w:tcBorders>
            <w:shd w:val="clear" w:color="auto" w:fill="CCEEFF"/>
          </w:tcPr>
          <w:p>
            <w:pPr>
              <w:spacing w:after="0"/>
              <w:rPr>
                <w:sz w:val="21"/>
                <w:szCs w:val="21"/>
                <w:color w:val="auto"/>
              </w:rPr>
            </w:pPr>
          </w:p>
        </w:tc>
        <w:tc>
          <w:tcPr>
            <w:tcW w:w="738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982,091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1,015,099</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gridSpan w:val="4"/>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80,995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76,204</w:t>
            </w: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Accrued payroll and related benefits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50,125</w:t>
            </w:r>
          </w:p>
        </w:tc>
        <w:tc>
          <w:tcPr>
            <w:tcW w:w="0" w:type="dxa"/>
            <w:vAlign w:val="bottom"/>
          </w:tcPr>
          <w:p>
            <w:pPr>
              <w:spacing w:after="0"/>
              <w:rPr>
                <w:sz w:val="1"/>
                <w:szCs w:val="1"/>
                <w:color w:val="auto"/>
              </w:rPr>
            </w:pPr>
          </w:p>
        </w:tc>
      </w:tr>
      <w:tr>
        <w:trPr>
          <w:trHeight w:val="230"/>
        </w:trPr>
        <w:tc>
          <w:tcPr>
            <w:tcW w:w="8000" w:type="dxa"/>
            <w:vAlign w:val="bottom"/>
            <w:gridSpan w:val="4"/>
          </w:tcPr>
          <w:p>
            <w:pPr>
              <w:ind w:left="360"/>
              <w:spacing w:after="0"/>
              <w:rPr>
                <w:sz w:val="20"/>
                <w:szCs w:val="20"/>
                <w:color w:val="auto"/>
              </w:rPr>
            </w:pPr>
            <w:r>
              <w:rPr>
                <w:rFonts w:ascii="Arial" w:cs="Arial" w:eastAsia="Arial" w:hAnsi="Arial"/>
                <w:sz w:val="18"/>
                <w:szCs w:val="18"/>
                <w:color w:val="auto"/>
              </w:rPr>
              <w:t>Billings on contracts in excess of costs and earnings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18,458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22,789</w:t>
            </w: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Operating lease liabilities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13,251</w:t>
            </w:r>
          </w:p>
        </w:tc>
        <w:tc>
          <w:tcPr>
            <w:tcW w:w="0" w:type="dxa"/>
            <w:vAlign w:val="bottom"/>
          </w:tcPr>
          <w:p>
            <w:pPr>
              <w:spacing w:after="0"/>
              <w:rPr>
                <w:sz w:val="1"/>
                <w:szCs w:val="1"/>
                <w:color w:val="auto"/>
              </w:rPr>
            </w:pPr>
          </w:p>
        </w:tc>
      </w:tr>
      <w:tr>
        <w:trPr>
          <w:trHeight w:val="229"/>
        </w:trPr>
        <w:tc>
          <w:tcPr>
            <w:tcW w:w="8000" w:type="dxa"/>
            <w:vAlign w:val="bottom"/>
            <w:gridSpan w:val="4"/>
          </w:tcPr>
          <w:p>
            <w:pPr>
              <w:ind w:left="360"/>
              <w:spacing w:after="0"/>
              <w:rPr>
                <w:sz w:val="20"/>
                <w:szCs w:val="20"/>
                <w:color w:val="auto"/>
              </w:rPr>
            </w:pPr>
            <w:r>
              <w:rPr>
                <w:rFonts w:ascii="Arial" w:cs="Arial" w:eastAsia="Arial" w:hAnsi="Arial"/>
                <w:sz w:val="18"/>
                <w:szCs w:val="18"/>
                <w:color w:val="auto"/>
              </w:rPr>
              <w:t>Current portion of debt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53,183</w:t>
            </w:r>
          </w:p>
        </w:tc>
        <w:tc>
          <w:tcPr>
            <w:tcW w:w="0" w:type="dxa"/>
            <w:vAlign w:val="bottom"/>
          </w:tcPr>
          <w:p>
            <w:pPr>
              <w:spacing w:after="0"/>
              <w:rPr>
                <w:sz w:val="1"/>
                <w:szCs w:val="1"/>
                <w:color w:val="auto"/>
              </w:rPr>
            </w:pPr>
          </w:p>
        </w:tc>
      </w:tr>
      <w:tr>
        <w:trPr>
          <w:trHeight w:val="223"/>
        </w:trPr>
        <w:tc>
          <w:tcPr>
            <w:tcW w:w="620" w:type="dxa"/>
            <w:vAlign w:val="bottom"/>
            <w:tcBorders>
              <w:bottom w:val="single" w:sz="8" w:color="CCEEFF"/>
            </w:tcBorders>
          </w:tcPr>
          <w:p>
            <w:pPr>
              <w:spacing w:after="0"/>
              <w:rPr>
                <w:sz w:val="19"/>
                <w:szCs w:val="19"/>
                <w:color w:val="auto"/>
              </w:rPr>
            </w:pPr>
          </w:p>
        </w:tc>
        <w:tc>
          <w:tcPr>
            <w:tcW w:w="7380" w:type="dxa"/>
            <w:vAlign w:val="bottom"/>
            <w:tcBorders>
              <w:bottom w:val="single" w:sz="8" w:color="CCEEFF"/>
            </w:tcBorders>
            <w:gridSpan w:val="3"/>
          </w:tcPr>
          <w:p>
            <w:pPr>
              <w:ind w:left="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217,890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217,552</w:t>
            </w:r>
          </w:p>
        </w:tc>
        <w:tc>
          <w:tcPr>
            <w:tcW w:w="0" w:type="dxa"/>
            <w:vAlign w:val="bottom"/>
          </w:tcPr>
          <w:p>
            <w:pPr>
              <w:spacing w:after="0"/>
              <w:rPr>
                <w:sz w:val="1"/>
                <w:szCs w:val="1"/>
                <w:color w:val="auto"/>
              </w:rPr>
            </w:pPr>
          </w:p>
        </w:tc>
      </w:tr>
      <w:tr>
        <w:trPr>
          <w:trHeight w:val="223"/>
        </w:trPr>
        <w:tc>
          <w:tcPr>
            <w:tcW w:w="8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0" w:type="dxa"/>
            <w:vAlign w:val="bottom"/>
          </w:tcPr>
          <w:p>
            <w:pPr>
              <w:spacing w:after="0"/>
              <w:rPr>
                <w:sz w:val="1"/>
                <w:szCs w:val="1"/>
                <w:color w:val="auto"/>
              </w:rPr>
            </w:pPr>
          </w:p>
        </w:tc>
      </w:tr>
      <w:tr>
        <w:trPr>
          <w:trHeight w:val="230"/>
        </w:trPr>
        <w:tc>
          <w:tcPr>
            <w:tcW w:w="8000" w:type="dxa"/>
            <w:vAlign w:val="bottom"/>
            <w:gridSpan w:val="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43,608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48,439</w:t>
            </w: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Non-current self-insurance reserves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24,880</w:t>
            </w:r>
          </w:p>
        </w:tc>
        <w:tc>
          <w:tcPr>
            <w:tcW w:w="0" w:type="dxa"/>
            <w:vAlign w:val="bottom"/>
          </w:tcPr>
          <w:p>
            <w:pPr>
              <w:spacing w:after="0"/>
              <w:rPr>
                <w:sz w:val="1"/>
                <w:szCs w:val="1"/>
                <w:color w:val="auto"/>
              </w:rPr>
            </w:pPr>
          </w:p>
        </w:tc>
      </w:tr>
      <w:tr>
        <w:trPr>
          <w:trHeight w:val="230"/>
        </w:trPr>
        <w:tc>
          <w:tcPr>
            <w:tcW w:w="8000" w:type="dxa"/>
            <w:vAlign w:val="bottom"/>
            <w:gridSpan w:val="4"/>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58,112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68,483</w:t>
            </w:r>
          </w:p>
        </w:tc>
        <w:tc>
          <w:tcPr>
            <w:tcW w:w="0" w:type="dxa"/>
            <w:vAlign w:val="bottom"/>
          </w:tcPr>
          <w:p>
            <w:pPr>
              <w:spacing w:after="0"/>
              <w:rPr>
                <w:sz w:val="1"/>
                <w:szCs w:val="1"/>
                <w:color w:val="auto"/>
              </w:rPr>
            </w:pPr>
          </w:p>
        </w:tc>
      </w:tr>
      <w:tr>
        <w:trPr>
          <w:trHeight w:val="229"/>
        </w:trPr>
        <w:tc>
          <w:tcPr>
            <w:tcW w:w="80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 (Note 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gridSpan w:val="4"/>
          </w:tcPr>
          <w:p>
            <w:pPr>
              <w:ind w:left="2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00" w:type="dxa"/>
            <w:vAlign w:val="bottom"/>
            <w:gridSpan w:val="4"/>
            <w:shd w:val="clear" w:color="auto" w:fill="CCEEFF"/>
          </w:tcPr>
          <w:p>
            <w:pPr>
              <w:ind w:left="360"/>
              <w:spacing w:after="0" w:line="176" w:lineRule="exact"/>
              <w:rPr>
                <w:sz w:val="20"/>
                <w:szCs w:val="20"/>
                <w:color w:val="auto"/>
              </w:rPr>
            </w:pPr>
            <w:r>
              <w:rPr>
                <w:rFonts w:ascii="Arial" w:cs="Arial" w:eastAsia="Arial" w:hAnsi="Arial"/>
                <w:sz w:val="18"/>
                <w:szCs w:val="18"/>
                <w:color w:val="auto"/>
              </w:rPr>
              <w:t>Common stock of $0.33-1/3 par value; authorized 50,000,000 shares; issued and outstanding</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8,409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8,571</w:t>
            </w: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25,227,367 and 25,713,688 respectively</w:t>
            </w:r>
          </w:p>
        </w:tc>
        <w:tc>
          <w:tcPr>
            <w:tcW w:w="1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gridSpan w:val="4"/>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158,579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154,958</w:t>
            </w:r>
          </w:p>
        </w:tc>
        <w:tc>
          <w:tcPr>
            <w:tcW w:w="0" w:type="dxa"/>
            <w:vAlign w:val="bottom"/>
          </w:tcPr>
          <w:p>
            <w:pPr>
              <w:spacing w:after="0"/>
              <w:rPr>
                <w:sz w:val="1"/>
                <w:szCs w:val="1"/>
                <w:color w:val="auto"/>
              </w:rPr>
            </w:pPr>
          </w:p>
        </w:tc>
      </w:tr>
      <w:tr>
        <w:trPr>
          <w:trHeight w:val="230"/>
        </w:trPr>
        <w:tc>
          <w:tcPr>
            <w:tcW w:w="800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336,816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357,243</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(28,027)</w:t>
            </w: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73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473,853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492,745</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7380" w:type="dxa"/>
            <w:vAlign w:val="bottom"/>
            <w:gridSpan w:val="3"/>
          </w:tcPr>
          <w:p>
            <w:pPr>
              <w:ind w:left="6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982,091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1,015,099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5"/>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100" w:type="dxa"/>
            <w:vAlign w:val="bottom"/>
            <w:gridSpan w:val="4"/>
          </w:tcPr>
          <w:p>
            <w:pPr>
              <w:jc w:val="right"/>
              <w:ind w:right="831"/>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47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November 27, 2021</w:t>
            </w: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89"/>
              </w:rPr>
              <w:t>November 28, 2020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November 27, 2021</w:t>
            </w: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6"/>
                <w:szCs w:val="16"/>
                <w:b w:val="1"/>
                <w:bCs w:val="1"/>
                <w:color w:val="auto"/>
                <w:w w:val="89"/>
              </w:rPr>
              <w:t>November 28, 2020</w:t>
            </w:r>
          </w:p>
        </w:tc>
      </w:tr>
      <w:tr>
        <w:trPr>
          <w:trHeight w:val="226"/>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334,217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922,162</w:t>
            </w:r>
          </w:p>
        </w:tc>
      </w:tr>
      <w:tr>
        <w:trPr>
          <w:trHeight w:val="229"/>
        </w:trPr>
        <w:tc>
          <w:tcPr>
            <w:tcW w:w="4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269,537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243,998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716,139</w:t>
            </w:r>
          </w:p>
        </w:tc>
      </w:tr>
      <w:tr>
        <w:trPr>
          <w:trHeight w:val="223"/>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206,023</w:t>
            </w:r>
          </w:p>
        </w:tc>
      </w:tr>
      <w:tr>
        <w:trPr>
          <w:trHeight w:val="229"/>
        </w:trPr>
        <w:tc>
          <w:tcPr>
            <w:tcW w:w="47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46,970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149,709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126,590</w:t>
            </w:r>
          </w:p>
        </w:tc>
      </w:tr>
      <w:tr>
        <w:trPr>
          <w:trHeight w:val="223"/>
        </w:trPr>
        <w:tc>
          <w:tcPr>
            <w:tcW w:w="4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79,433</w:t>
            </w: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4,240</w:t>
            </w:r>
          </w:p>
        </w:tc>
      </w:tr>
      <w:tr>
        <w:trPr>
          <w:trHeight w:val="22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23"/>
        </w:trPr>
        <w:tc>
          <w:tcPr>
            <w:tcW w:w="4700" w:type="dxa"/>
            <w:vAlign w:val="bottom"/>
            <w:gridSpan w:val="2"/>
          </w:tcPr>
          <w:p>
            <w:pPr>
              <w:ind w:left="360"/>
              <w:spacing w:after="0"/>
              <w:rPr>
                <w:sz w:val="20"/>
                <w:szCs w:val="20"/>
                <w:color w:val="auto"/>
              </w:rPr>
            </w:pPr>
            <w:r>
              <w:rPr>
                <w:rFonts w:ascii="Arial" w:cs="Arial" w:eastAsia="Arial" w:hAnsi="Arial"/>
                <w:sz w:val="18"/>
                <w:szCs w:val="18"/>
                <w:color w:val="auto"/>
              </w:rPr>
              <w:t>Earnings before income taxes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48,720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24,580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75,877</w:t>
            </w:r>
          </w:p>
        </w:tc>
      </w:tr>
      <w:tr>
        <w:trPr>
          <w:trHeight w:val="22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18,070</w:t>
            </w:r>
          </w:p>
        </w:tc>
      </w:tr>
      <w:tr>
        <w:trPr>
          <w:trHeight w:val="223"/>
        </w:trPr>
        <w:tc>
          <w:tcPr>
            <w:tcW w:w="4700" w:type="dxa"/>
            <w:vAlign w:val="bottom"/>
            <w:gridSpan w:val="2"/>
          </w:tcPr>
          <w:p>
            <w:pPr>
              <w:ind w:left="360"/>
              <w:spacing w:after="0"/>
              <w:rPr>
                <w:sz w:val="20"/>
                <w:szCs w:val="20"/>
                <w:color w:val="auto"/>
              </w:rPr>
            </w:pPr>
            <w:r>
              <w:rPr>
                <w:rFonts w:ascii="Arial" w:cs="Arial" w:eastAsia="Arial" w:hAnsi="Arial"/>
                <w:sz w:val="18"/>
                <w:szCs w:val="18"/>
                <w:color w:val="auto"/>
              </w:rPr>
              <w:t>Net earnings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37,273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57,807</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23"/>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Earnings per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Earnings per share -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30"/>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basic shares outstanding</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26,068</w:t>
            </w:r>
          </w:p>
        </w:tc>
      </w:tr>
      <w:tr>
        <w:trPr>
          <w:trHeight w:val="230"/>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26,225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25,459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26,350</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right="5600"/>
        <w:spacing w:after="0" w:line="282" w:lineRule="auto"/>
        <w:rPr>
          <w:sz w:val="20"/>
          <w:szCs w:val="20"/>
          <w:color w:val="auto"/>
        </w:rPr>
      </w:pPr>
      <w:r>
        <w:rPr>
          <w:rFonts w:ascii="Arial" w:cs="Arial" w:eastAsia="Arial" w:hAnsi="Arial"/>
          <w:sz w:val="18"/>
          <w:szCs w:val="18"/>
          <w:b w:val="1"/>
          <w:bCs w:val="1"/>
          <w:color w:val="auto"/>
        </w:rPr>
        <w:t xml:space="preserve">CONSOLIDATED STATEMENTS OF COMPREHENSIVE EARNINGS </w:t>
      </w:r>
      <w:r>
        <w:rPr>
          <w:rFonts w:ascii="Arial" w:cs="Arial" w:eastAsia="Arial" w:hAnsi="Arial"/>
          <w:sz w:val="18"/>
          <w:szCs w:val="18"/>
          <w:color w:val="auto"/>
        </w:rPr>
        <w:t>(Unaudited)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73"/>
              <w:spacing w:after="0"/>
              <w:rPr>
                <w:sz w:val="20"/>
                <w:szCs w:val="20"/>
                <w:color w:val="auto"/>
              </w:rPr>
            </w:pPr>
            <w:r>
              <w:rPr>
                <w:rFonts w:ascii="Arial" w:cs="Arial" w:eastAsia="Arial" w:hAnsi="Arial"/>
                <w:sz w:val="16"/>
                <w:szCs w:val="16"/>
                <w:b w:val="1"/>
                <w:bCs w:val="1"/>
                <w:color w:val="auto"/>
              </w:rPr>
              <w:t>Nine Months Ended</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November 27, 2021</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November 28, 2020</w:t>
            </w:r>
          </w:p>
        </w:tc>
        <w:tc>
          <w:tcPr>
            <w:tcW w:w="120" w:type="dxa"/>
            <w:vAlign w:val="bottom"/>
          </w:tcPr>
          <w:p>
            <w:pPr>
              <w:spacing w:after="0"/>
              <w:rPr>
                <w:sz w:val="18"/>
                <w:szCs w:val="18"/>
                <w:color w:val="auto"/>
              </w:rPr>
            </w:pPr>
          </w:p>
        </w:tc>
        <w:tc>
          <w:tcPr>
            <w:tcW w:w="1620" w:type="dxa"/>
            <w:vAlign w:val="bottom"/>
            <w:gridSpan w:val="3"/>
          </w:tcPr>
          <w:p>
            <w:pPr>
              <w:ind w:left="80"/>
              <w:spacing w:after="0"/>
              <w:rPr>
                <w:sz w:val="20"/>
                <w:szCs w:val="20"/>
                <w:color w:val="auto"/>
              </w:rPr>
            </w:pPr>
            <w:r>
              <w:rPr>
                <w:rFonts w:ascii="Arial" w:cs="Arial" w:eastAsia="Arial" w:hAnsi="Arial"/>
                <w:sz w:val="16"/>
                <w:szCs w:val="16"/>
                <w:b w:val="1"/>
                <w:bCs w:val="1"/>
                <w:color w:val="auto"/>
              </w:rPr>
              <w:t>November 27, 2021</w:t>
            </w:r>
          </w:p>
        </w:tc>
        <w:tc>
          <w:tcPr>
            <w:tcW w:w="15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6"/>
              </w:rPr>
              <w:t>November 28, 2020</w:t>
            </w:r>
          </w:p>
        </w:tc>
        <w:tc>
          <w:tcPr>
            <w:tcW w:w="0" w:type="dxa"/>
            <w:vAlign w:val="bottom"/>
          </w:tcPr>
          <w:p>
            <w:pPr>
              <w:spacing w:after="0"/>
              <w:rPr>
                <w:sz w:val="1"/>
                <w:szCs w:val="1"/>
                <w:color w:val="auto"/>
              </w:rPr>
            </w:pPr>
          </w:p>
        </w:tc>
      </w:tr>
      <w:tr>
        <w:trPr>
          <w:trHeight w:val="226"/>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11,057</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37,273</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19,759</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57,807</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Other comprehensive earnings (loss):</w:t>
            </w:r>
          </w:p>
        </w:tc>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gridSpan w:val="2"/>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Unrealized (loss) gain on marketable securities, net of $(40),</w:t>
            </w:r>
          </w:p>
        </w:tc>
        <w:tc>
          <w:tcPr>
            <w:tcW w:w="4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8"/>
              </w:rPr>
              <w:t>$0, $(39) and $39 of tax (benefit) expense, respectively</w:t>
            </w:r>
          </w:p>
        </w:tc>
        <w:tc>
          <w:tcPr>
            <w:tcW w:w="46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Unrealized (loss) gain on derivative instruments, net of</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gridSpan w:val="2"/>
          </w:tcPr>
          <w:p>
            <w:pPr>
              <w:ind w:left="520"/>
              <w:spacing w:after="0" w:line="176" w:lineRule="exact"/>
              <w:rPr>
                <w:sz w:val="20"/>
                <w:szCs w:val="20"/>
                <w:color w:val="auto"/>
              </w:rPr>
            </w:pPr>
            <w:r>
              <w:rPr>
                <w:rFonts w:ascii="Arial" w:cs="Arial" w:eastAsia="Arial" w:hAnsi="Arial"/>
                <w:sz w:val="18"/>
                <w:szCs w:val="18"/>
                <w:color w:val="auto"/>
                <w:w w:val="99"/>
              </w:rPr>
              <w:t>$(265), $90, $(257) and $305 of tax (benefit) expense,</w:t>
            </w:r>
          </w:p>
        </w:tc>
        <w:tc>
          <w:tcPr>
            <w:tcW w:w="4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30"/>
        </w:trPr>
        <w:tc>
          <w:tcPr>
            <w:tcW w:w="4860" w:type="dxa"/>
            <w:vAlign w:val="bottom"/>
            <w:gridSpan w:val="2"/>
          </w:tcPr>
          <w:p>
            <w:pPr>
              <w:ind w:left="520"/>
              <w:spacing w:after="0"/>
              <w:rPr>
                <w:sz w:val="20"/>
                <w:szCs w:val="20"/>
                <w:color w:val="auto"/>
              </w:rPr>
            </w:pPr>
            <w:r>
              <w:rPr>
                <w:rFonts w:ascii="Arial" w:cs="Arial" w:eastAsia="Arial" w:hAnsi="Arial"/>
                <w:sz w:val="18"/>
                <w:szCs w:val="18"/>
                <w:color w:val="auto"/>
              </w:rPr>
              <w:t>respectively</w:t>
            </w:r>
          </w:p>
        </w:tc>
        <w:tc>
          <w:tcPr>
            <w:tcW w:w="4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comprehensive (loss) earnings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(3,534)</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comprehensive earnings</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76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27, 2021</w:t>
            </w:r>
          </w:p>
        </w:tc>
        <w:tc>
          <w:tcPr>
            <w:tcW w:w="160" w:type="dxa"/>
            <w:vAlign w:val="bottom"/>
          </w:tcPr>
          <w:p>
            <w:pPr>
              <w:spacing w:after="0"/>
              <w:rPr>
                <w:sz w:val="18"/>
                <w:szCs w:val="18"/>
                <w:color w:val="auto"/>
              </w:rPr>
            </w:pPr>
          </w:p>
        </w:tc>
        <w:tc>
          <w:tcPr>
            <w:tcW w:w="1600" w:type="dxa"/>
            <w:vAlign w:val="bottom"/>
          </w:tcPr>
          <w:p>
            <w:pPr>
              <w:jc w:val="right"/>
              <w:ind w:right="130"/>
              <w:spacing w:after="0"/>
              <w:rPr>
                <w:sz w:val="20"/>
                <w:szCs w:val="20"/>
                <w:color w:val="auto"/>
              </w:rPr>
            </w:pPr>
            <w:r>
              <w:rPr>
                <w:rFonts w:ascii="Arial" w:cs="Arial" w:eastAsia="Arial" w:hAnsi="Arial"/>
                <w:sz w:val="16"/>
                <w:szCs w:val="16"/>
                <w:b w:val="1"/>
                <w:bCs w:val="1"/>
                <w:color w:val="auto"/>
                <w:w w:val="93"/>
              </w:rPr>
              <w:t>November 28, 2020</w:t>
            </w:r>
          </w:p>
        </w:tc>
      </w:tr>
      <w:tr>
        <w:trPr>
          <w:trHeight w:val="226"/>
        </w:trPr>
        <w:tc>
          <w:tcPr>
            <w:tcW w:w="7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9"/>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19,759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57,807</w:t>
            </w: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760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38,353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38,000</w:t>
            </w:r>
          </w:p>
        </w:tc>
      </w:tr>
      <w:tr>
        <w:trPr>
          <w:trHeight w:val="229"/>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w:t>
            </w:r>
          </w:p>
        </w:tc>
      </w:tr>
      <w:tr>
        <w:trPr>
          <w:trHeight w:val="230"/>
        </w:trPr>
        <w:tc>
          <w:tcPr>
            <w:tcW w:w="760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5,012</w:t>
            </w:r>
          </w:p>
        </w:tc>
      </w:tr>
      <w:tr>
        <w:trPr>
          <w:trHeight w:val="229"/>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Asset impairment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600" w:type="dxa"/>
            <w:vAlign w:val="bottom"/>
            <w:gridSpan w:val="2"/>
          </w:tcPr>
          <w:p>
            <w:pPr>
              <w:ind w:left="360"/>
              <w:spacing w:after="0"/>
              <w:rPr>
                <w:sz w:val="20"/>
                <w:szCs w:val="20"/>
                <w:color w:val="auto"/>
              </w:rPr>
            </w:pPr>
            <w:r>
              <w:rPr>
                <w:rFonts w:ascii="Arial" w:cs="Arial" w:eastAsia="Arial" w:hAnsi="Arial"/>
                <w:sz w:val="18"/>
                <w:szCs w:val="18"/>
                <w:color w:val="auto"/>
              </w:rPr>
              <w:t>Gain on disposal of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(19,346)</w:t>
            </w:r>
          </w:p>
        </w:tc>
      </w:tr>
      <w:tr>
        <w:trPr>
          <w:trHeight w:val="230"/>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9,531</w:t>
            </w:r>
          </w:p>
        </w:tc>
      </w:tr>
      <w:tr>
        <w:trPr>
          <w:trHeight w:val="229"/>
        </w:trPr>
        <w:tc>
          <w:tcPr>
            <w:tcW w:w="7600" w:type="dxa"/>
            <w:vAlign w:val="bottom"/>
            <w:gridSpan w:val="2"/>
          </w:tcPr>
          <w:p>
            <w:pPr>
              <w:ind w:left="36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7600" w:type="dxa"/>
            <w:vAlign w:val="bottom"/>
            <w:gridSpan w:val="2"/>
          </w:tcPr>
          <w:p>
            <w:pPr>
              <w:ind w:left="360"/>
              <w:spacing w:after="0"/>
              <w:rPr>
                <w:sz w:val="20"/>
                <w:szCs w:val="20"/>
                <w:color w:val="auto"/>
              </w:rPr>
            </w:pPr>
            <w:r>
              <w:rPr>
                <w:rFonts w:ascii="Arial" w:cs="Arial" w:eastAsia="Arial" w:hAnsi="Arial"/>
                <w:sz w:val="18"/>
                <w:szCs w:val="18"/>
                <w:color w:val="auto"/>
              </w:rPr>
              <w:t>Receivables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24,153</w:t>
            </w:r>
          </w:p>
        </w:tc>
      </w:tr>
      <w:tr>
        <w:trPr>
          <w:trHeight w:val="229"/>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w:t>
            </w:r>
          </w:p>
        </w:tc>
      </w:tr>
      <w:tr>
        <w:trPr>
          <w:trHeight w:val="230"/>
        </w:trPr>
        <w:tc>
          <w:tcPr>
            <w:tcW w:w="7600" w:type="dxa"/>
            <w:vAlign w:val="bottom"/>
            <w:gridSpan w:val="2"/>
          </w:tcPr>
          <w:p>
            <w:pPr>
              <w:ind w:left="360"/>
              <w:spacing w:after="0"/>
              <w:rPr>
                <w:sz w:val="20"/>
                <w:szCs w:val="20"/>
                <w:color w:val="auto"/>
              </w:rPr>
            </w:pPr>
            <w:r>
              <w:rPr>
                <w:rFonts w:ascii="Arial" w:cs="Arial" w:eastAsia="Arial" w:hAnsi="Arial"/>
                <w:sz w:val="18"/>
                <w:szCs w:val="18"/>
                <w:color w:val="auto"/>
              </w:rPr>
              <w:t>Costs and earnings on contracts in excess of billings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44,501</w:t>
            </w:r>
          </w:p>
        </w:tc>
      </w:tr>
      <w:tr>
        <w:trPr>
          <w:trHeight w:val="229"/>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(43,915)</w:t>
            </w:r>
          </w:p>
        </w:tc>
      </w:tr>
      <w:tr>
        <w:trPr>
          <w:trHeight w:val="229"/>
        </w:trPr>
        <w:tc>
          <w:tcPr>
            <w:tcW w:w="7600" w:type="dxa"/>
            <w:vAlign w:val="bottom"/>
            <w:gridSpan w:val="2"/>
          </w:tcPr>
          <w:p>
            <w:pPr>
              <w:ind w:left="360"/>
              <w:spacing w:after="0"/>
              <w:rPr>
                <w:sz w:val="20"/>
                <w:szCs w:val="20"/>
                <w:color w:val="auto"/>
              </w:rPr>
            </w:pPr>
            <w:r>
              <w:rPr>
                <w:rFonts w:ascii="Arial" w:cs="Arial" w:eastAsia="Arial" w:hAnsi="Arial"/>
                <w:sz w:val="18"/>
                <w:szCs w:val="18"/>
                <w:color w:val="auto"/>
              </w:rPr>
              <w:t>Billings on contracts in excess of costs and earnings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(4,474)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(6,981)</w:t>
            </w:r>
          </w:p>
        </w:tc>
      </w:tr>
      <w:tr>
        <w:trPr>
          <w:trHeight w:val="230"/>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Refundable and accrued income taxes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12,424</w:t>
            </w:r>
          </w:p>
        </w:tc>
      </w:tr>
      <w:tr>
        <w:trPr>
          <w:trHeight w:val="229"/>
        </w:trPr>
        <w:tc>
          <w:tcPr>
            <w:tcW w:w="7600" w:type="dxa"/>
            <w:vAlign w:val="bottom"/>
            <w:gridSpan w:val="2"/>
          </w:tcPr>
          <w:p>
            <w:pPr>
              <w:ind w:left="360"/>
              <w:spacing w:after="0"/>
              <w:rPr>
                <w:sz w:val="20"/>
                <w:szCs w:val="20"/>
                <w:color w:val="auto"/>
              </w:rPr>
            </w:pPr>
            <w:r>
              <w:rPr>
                <w:rFonts w:ascii="Arial" w:cs="Arial" w:eastAsia="Arial" w:hAnsi="Arial"/>
                <w:sz w:val="18"/>
                <w:szCs w:val="18"/>
                <w:color w:val="auto"/>
              </w:rPr>
              <w:t>Operating lease liability</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(9,387)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(9,168)</w:t>
            </w:r>
          </w:p>
        </w:tc>
      </w:tr>
      <w:tr>
        <w:trPr>
          <w:trHeight w:val="230"/>
        </w:trPr>
        <w:tc>
          <w:tcPr>
            <w:tcW w:w="7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w:t>
            </w:r>
          </w:p>
        </w:tc>
      </w:tr>
      <w:tr>
        <w:trPr>
          <w:trHeight w:val="223"/>
        </w:trPr>
        <w:tc>
          <w:tcPr>
            <w:tcW w:w="76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120,512</w:t>
            </w:r>
          </w:p>
        </w:tc>
      </w:tr>
      <w:tr>
        <w:trPr>
          <w:trHeight w:val="21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(13,070)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(17,116)</w:t>
            </w: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23,724</w:t>
            </w:r>
          </w:p>
        </w:tc>
      </w:tr>
      <w:tr>
        <w:trPr>
          <w:trHeight w:val="230"/>
        </w:trPr>
        <w:tc>
          <w:tcPr>
            <w:tcW w:w="7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r>
      <w:tr>
        <w:trPr>
          <w:trHeight w:val="223"/>
        </w:trPr>
        <w:tc>
          <w:tcPr>
            <w:tcW w:w="76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Net cash (used) provided by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w:t>
            </w:r>
          </w:p>
        </w:tc>
      </w:tr>
      <w:tr>
        <w:trPr>
          <w:trHeight w:val="210"/>
        </w:trPr>
        <w:tc>
          <w:tcPr>
            <w:tcW w:w="760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Borrowings on line of credit</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193,332</w:t>
            </w: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Repayments on debt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(5,400)</w:t>
            </w: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 on line of credit</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(237,500)</w:t>
            </w: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1,456</w:t>
            </w:r>
          </w:p>
        </w:tc>
      </w:tr>
      <w:tr>
        <w:trPr>
          <w:trHeight w:val="230"/>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 and retirement of common stock</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(20,731)</w:t>
            </w: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(14,546)</w:t>
            </w: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r>
      <w:tr>
        <w:trPr>
          <w:trHeight w:val="223"/>
        </w:trPr>
        <w:tc>
          <w:tcPr>
            <w:tcW w:w="760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Net cash used by financing activities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(85,698)</w:t>
            </w:r>
          </w:p>
        </w:tc>
      </w:tr>
      <w:tr>
        <w:trPr>
          <w:trHeight w:val="223"/>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in cash and cash equivalents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40,332</w:t>
            </w: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Effect of exchange rates on cash</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7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14,952</w:t>
            </w:r>
          </w:p>
        </w:tc>
      </w:tr>
      <w:tr>
        <w:trPr>
          <w:trHeight w:val="223"/>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78,272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55,413</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7"/>
        </w:trPr>
        <w:tc>
          <w:tcPr>
            <w:tcW w:w="76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Noncash Activity</w:t>
            </w: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30"/>
        </w:trPr>
        <w:tc>
          <w:tcPr>
            <w:tcW w:w="7600" w:type="dxa"/>
            <w:vAlign w:val="bottom"/>
            <w:gridSpan w:val="2"/>
          </w:tcPr>
          <w:p>
            <w:pPr>
              <w:ind w:left="20"/>
              <w:spacing w:after="0"/>
              <w:rPr>
                <w:sz w:val="20"/>
                <w:szCs w:val="20"/>
                <w:color w:val="auto"/>
              </w:rPr>
            </w:pPr>
            <w:r>
              <w:rPr>
                <w:rFonts w:ascii="Arial" w:cs="Arial" w:eastAsia="Arial" w:hAnsi="Arial"/>
                <w:sz w:val="18"/>
                <w:szCs w:val="18"/>
                <w:color w:val="auto"/>
              </w:rPr>
              <w:t>Capital expenditures in 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1,095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684</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3"/>
              </w:rPr>
              <w:t>Deferred</w:t>
            </w:r>
          </w:p>
        </w:tc>
        <w:tc>
          <w:tcPr>
            <w:tcW w:w="8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3"/>
                <w:szCs w:val="13"/>
                <w:color w:val="auto"/>
              </w:rPr>
            </w:pPr>
          </w:p>
        </w:tc>
        <w:tc>
          <w:tcPr>
            <w:tcW w:w="740" w:type="dxa"/>
            <w:vAlign w:val="bottom"/>
            <w:vMerge w:val="restart"/>
          </w:tcPr>
          <w:p>
            <w:pPr>
              <w:jc w:val="center"/>
              <w:ind w:right="132"/>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8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w w:val="97"/>
              </w:rPr>
              <w:t>Stock Held in</w:t>
            </w: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Compensation</w:t>
            </w:r>
          </w:p>
        </w:tc>
        <w:tc>
          <w:tcPr>
            <w:tcW w:w="10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82"/>
        </w:trPr>
        <w:tc>
          <w:tcPr>
            <w:tcW w:w="334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Outstanding</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Trust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Obligation</w:t>
            </w: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(Loss) Income</w:t>
            </w:r>
          </w:p>
        </w:tc>
        <w:tc>
          <w:tcPr>
            <w:tcW w:w="180" w:type="dxa"/>
            <w:vAlign w:val="bottom"/>
          </w:tcPr>
          <w:p>
            <w:pPr>
              <w:spacing w:after="0"/>
              <w:rPr>
                <w:sz w:val="15"/>
                <w:szCs w:val="15"/>
                <w:color w:val="auto"/>
              </w:rPr>
            </w:pPr>
          </w:p>
        </w:tc>
        <w:tc>
          <w:tcPr>
            <w:tcW w:w="740" w:type="dxa"/>
            <w:vAlign w:val="bottom"/>
          </w:tcPr>
          <w:p>
            <w:pPr>
              <w:jc w:val="center"/>
              <w:ind w:right="132"/>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February 27, 2021</w:t>
            </w: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25,714</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8,571</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154,958</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357,243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186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(28,027)</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492,745</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Net earnings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10,817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10,817</w:t>
            </w:r>
          </w:p>
        </w:tc>
        <w:tc>
          <w:tcPr>
            <w:tcW w:w="0" w:type="dxa"/>
            <w:vAlign w:val="bottom"/>
          </w:tcPr>
          <w:p>
            <w:pPr>
              <w:spacing w:after="0"/>
              <w:rPr>
                <w:sz w:val="1"/>
                <w:szCs w:val="1"/>
                <w:color w:val="auto"/>
              </w:rPr>
            </w:pPr>
          </w:p>
        </w:tc>
      </w:tr>
      <w:tr>
        <w:trPr>
          <w:trHeight w:val="143"/>
        </w:trPr>
        <w:tc>
          <w:tcPr>
            <w:tcW w:w="33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7"/>
              </w:rPr>
              <w:t>Unrealized gain on marketable securities, net of $0 tax</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34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6"/>
              </w:rPr>
              <w:t>Unrealized gain on foreign currency hedge, net of $211</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692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692</w:t>
            </w:r>
          </w:p>
        </w:tc>
        <w:tc>
          <w:tcPr>
            <w:tcW w:w="0" w:type="dxa"/>
            <w:vAlign w:val="bottom"/>
          </w:tcPr>
          <w:p>
            <w:pPr>
              <w:spacing w:after="0"/>
              <w:rPr>
                <w:sz w:val="1"/>
                <w:szCs w:val="1"/>
                <w:color w:val="auto"/>
              </w:rPr>
            </w:pPr>
          </w:p>
        </w:tc>
      </w:tr>
      <w:tr>
        <w:trPr>
          <w:trHeight w:val="181"/>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tax expense</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5,880</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Issuance of stock, net of cancellations</w:t>
            </w: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Exercise of stock options</w:t>
            </w: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4,055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4,115</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(12,625)</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Other share retirements</w:t>
            </w:r>
          </w:p>
        </w:tc>
        <w:tc>
          <w:tcPr>
            <w:tcW w:w="92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(5,035)</w:t>
            </w:r>
          </w:p>
        </w:tc>
        <w:tc>
          <w:tcPr>
            <w:tcW w:w="0" w:type="dxa"/>
            <w:vAlign w:val="bottom"/>
          </w:tcPr>
          <w:p>
            <w:pPr>
              <w:spacing w:after="0"/>
              <w:rPr>
                <w:sz w:val="1"/>
                <w:szCs w:val="1"/>
                <w:color w:val="auto"/>
              </w:rPr>
            </w:pPr>
          </w:p>
        </w:tc>
      </w:tr>
      <w:tr>
        <w:trPr>
          <w:trHeight w:val="176"/>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May 29, 2021</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25,606</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8,535</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158,341</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352,130</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(189)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189</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(21,455)</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497,551</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0" w:type="dxa"/>
            <w:vAlign w:val="bottom"/>
          </w:tcPr>
          <w:p>
            <w:pPr>
              <w:spacing w:after="0"/>
              <w:rPr>
                <w:sz w:val="1"/>
                <w:szCs w:val="1"/>
                <w:color w:val="auto"/>
              </w:rPr>
            </w:pPr>
          </w:p>
        </w:tc>
      </w:tr>
      <w:tr>
        <w:trPr>
          <w:trHeight w:val="136"/>
        </w:trPr>
        <w:tc>
          <w:tcPr>
            <w:tcW w:w="334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7"/>
              </w:rPr>
              <w:t>Unrealized gain on marketable securities, net of $2 tax</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1"/>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expense</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3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0"/>
              </w:rPr>
              <w:t>Unrealized loss on foreign currency hedge, net of $203 tax</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8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benefit</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(4,300)</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stock, net of cancellations</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67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1,587</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(9,794)</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Other share retirements</w:t>
            </w:r>
          </w:p>
        </w:tc>
        <w:tc>
          <w:tcPr>
            <w:tcW w:w="92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w:t>
            </w:r>
          </w:p>
        </w:tc>
        <w:tc>
          <w:tcPr>
            <w:tcW w:w="0" w:type="dxa"/>
            <w:vAlign w:val="bottom"/>
          </w:tcPr>
          <w:p>
            <w:pPr>
              <w:spacing w:after="0"/>
              <w:rPr>
                <w:sz w:val="1"/>
                <w:szCs w:val="1"/>
                <w:color w:val="auto"/>
              </w:rPr>
            </w:pPr>
          </w:p>
        </w:tc>
      </w:tr>
      <w:tr>
        <w:trPr>
          <w:trHeight w:val="177"/>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August 28, 2021</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25,394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8,465</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158,115</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336,398</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192</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(26,417)</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476,561</w:t>
            </w:r>
          </w:p>
        </w:tc>
        <w:tc>
          <w:tcPr>
            <w:tcW w:w="0" w:type="dxa"/>
            <w:vAlign w:val="bottom"/>
          </w:tcPr>
          <w:p>
            <w:pPr>
              <w:spacing w:after="0"/>
              <w:rPr>
                <w:sz w:val="1"/>
                <w:szCs w:val="1"/>
                <w:color w:val="auto"/>
              </w:rPr>
            </w:pPr>
          </w:p>
        </w:tc>
      </w:tr>
      <w:tr>
        <w:trPr>
          <w:trHeight w:val="195"/>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11,057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11,057</w:t>
            </w:r>
          </w:p>
        </w:tc>
        <w:tc>
          <w:tcPr>
            <w:tcW w:w="0" w:type="dxa"/>
            <w:vAlign w:val="bottom"/>
          </w:tcPr>
          <w:p>
            <w:pPr>
              <w:spacing w:after="0"/>
              <w:rPr>
                <w:sz w:val="1"/>
                <w:szCs w:val="1"/>
                <w:color w:val="auto"/>
              </w:rPr>
            </w:pPr>
          </w:p>
        </w:tc>
      </w:tr>
      <w:tr>
        <w:trPr>
          <w:trHeight w:val="136"/>
        </w:trPr>
        <w:tc>
          <w:tcPr>
            <w:tcW w:w="334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5"/>
              </w:rPr>
              <w:t>Unrealized loss on marketable securities, net of $40 tax</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1"/>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benefit</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3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0"/>
              </w:rPr>
              <w:t>Unrealized loss on foreign currency hedge, net of $265 tax</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(868)</w:t>
            </w:r>
          </w:p>
        </w:tc>
        <w:tc>
          <w:tcPr>
            <w:tcW w:w="0" w:type="dxa"/>
            <w:vAlign w:val="bottom"/>
          </w:tcPr>
          <w:p>
            <w:pPr>
              <w:spacing w:after="0"/>
              <w:rPr>
                <w:sz w:val="1"/>
                <w:szCs w:val="1"/>
                <w:color w:val="auto"/>
              </w:rPr>
            </w:pPr>
          </w:p>
        </w:tc>
      </w:tr>
      <w:tr>
        <w:trPr>
          <w:trHeight w:val="18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benefit</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(2,515)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(2,515)</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stock, net of cancellations</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1,546</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 repurchases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(6,745)</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Other share retirements</w:t>
            </w: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(4,990)</w:t>
            </w:r>
          </w:p>
        </w:tc>
        <w:tc>
          <w:tcPr>
            <w:tcW w:w="0" w:type="dxa"/>
            <w:vAlign w:val="bottom"/>
          </w:tcPr>
          <w:p>
            <w:pPr>
              <w:spacing w:after="0"/>
              <w:rPr>
                <w:sz w:val="1"/>
                <w:szCs w:val="1"/>
                <w:color w:val="auto"/>
              </w:rPr>
            </w:pPr>
          </w:p>
        </w:tc>
      </w:tr>
      <w:tr>
        <w:trPr>
          <w:trHeight w:val="189"/>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November 27, 2021</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25,227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8,409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158,579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336,816</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195</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(29,951)</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473,853</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3"/>
              </w:rPr>
              <w:t>Deferred</w:t>
            </w:r>
          </w:p>
        </w:tc>
        <w:tc>
          <w:tcPr>
            <w:tcW w:w="8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3"/>
                <w:szCs w:val="13"/>
                <w:color w:val="auto"/>
              </w:rPr>
            </w:pPr>
          </w:p>
        </w:tc>
        <w:tc>
          <w:tcPr>
            <w:tcW w:w="740" w:type="dxa"/>
            <w:vAlign w:val="bottom"/>
            <w:vMerge w:val="restart"/>
          </w:tcPr>
          <w:p>
            <w:pPr>
              <w:jc w:val="center"/>
              <w:ind w:right="132"/>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2"/>
              </w:rPr>
              <w:t>Common</w:t>
            </w: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Other</w:t>
            </w:r>
          </w:p>
        </w:tc>
        <w:tc>
          <w:tcPr>
            <w:tcW w:w="1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40" w:type="dxa"/>
            <w:vAlign w:val="bottom"/>
            <w:gridSpan w:val="2"/>
            <w:vMerge w:val="restart"/>
          </w:tcPr>
          <w:p>
            <w:pPr>
              <w:ind w:left="20"/>
              <w:spacing w:after="0"/>
              <w:rPr>
                <w:sz w:val="20"/>
                <w:szCs w:val="20"/>
                <w:color w:val="auto"/>
              </w:rPr>
            </w:pPr>
            <w:r>
              <w:rPr>
                <w:rFonts w:ascii="Arial" w:cs="Arial" w:eastAsia="Arial" w:hAnsi="Arial"/>
                <w:sz w:val="13"/>
                <w:szCs w:val="13"/>
                <w:i w:val="1"/>
                <w:iCs w:val="1"/>
                <w:color w:val="auto"/>
              </w:rPr>
              <w:t>(In thousands)</w:t>
            </w:r>
          </w:p>
        </w:tc>
        <w:tc>
          <w:tcPr>
            <w:tcW w:w="10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9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4"/>
              </w:rPr>
              <w:t>Stock Held in</w:t>
            </w:r>
          </w:p>
        </w:tc>
        <w:tc>
          <w:tcPr>
            <w:tcW w:w="10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0"/>
              </w:rPr>
              <w:t>Compensation</w:t>
            </w:r>
          </w:p>
        </w:tc>
        <w:tc>
          <w:tcPr>
            <w:tcW w:w="10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Comprehensive</w:t>
            </w:r>
          </w:p>
        </w:tc>
        <w:tc>
          <w:tcPr>
            <w:tcW w:w="9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2"/>
              </w:rPr>
              <w:t>Shareholders'</w:t>
            </w:r>
          </w:p>
        </w:tc>
        <w:tc>
          <w:tcPr>
            <w:tcW w:w="0" w:type="dxa"/>
            <w:vAlign w:val="bottom"/>
          </w:tcPr>
          <w:p>
            <w:pPr>
              <w:spacing w:after="0"/>
              <w:rPr>
                <w:sz w:val="1"/>
                <w:szCs w:val="1"/>
                <w:color w:val="auto"/>
              </w:rPr>
            </w:pPr>
          </w:p>
        </w:tc>
      </w:tr>
      <w:tr>
        <w:trPr>
          <w:trHeight w:val="182"/>
        </w:trPr>
        <w:tc>
          <w:tcPr>
            <w:tcW w:w="3340" w:type="dxa"/>
            <w:vAlign w:val="bottom"/>
            <w:gridSpan w:val="2"/>
            <w:vMerge w:val="continue"/>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3"/>
              </w:rPr>
              <w:t>Outstanding</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Stock</w:t>
            </w:r>
          </w:p>
        </w:tc>
        <w:tc>
          <w:tcPr>
            <w:tcW w:w="10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Trust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Obligation</w:t>
            </w: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(Loss) Income</w:t>
            </w:r>
          </w:p>
        </w:tc>
        <w:tc>
          <w:tcPr>
            <w:tcW w:w="180" w:type="dxa"/>
            <w:vAlign w:val="bottom"/>
          </w:tcPr>
          <w:p>
            <w:pPr>
              <w:spacing w:after="0"/>
              <w:rPr>
                <w:sz w:val="15"/>
                <w:szCs w:val="15"/>
                <w:color w:val="auto"/>
              </w:rPr>
            </w:pPr>
          </w:p>
        </w:tc>
        <w:tc>
          <w:tcPr>
            <w:tcW w:w="740" w:type="dxa"/>
            <w:vAlign w:val="bottom"/>
          </w:tcPr>
          <w:p>
            <w:pPr>
              <w:jc w:val="center"/>
              <w:ind w:right="132"/>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89"/>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February 29, 2020</w:t>
            </w:r>
          </w:p>
        </w:tc>
        <w:tc>
          <w:tcPr>
            <w:tcW w:w="8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26,443</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8,814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154,016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388,010</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(685)</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685</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(34,062)</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516,778</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Net earnings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2,876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2,876</w:t>
            </w:r>
          </w:p>
        </w:tc>
        <w:tc>
          <w:tcPr>
            <w:tcW w:w="0" w:type="dxa"/>
            <w:vAlign w:val="bottom"/>
          </w:tcPr>
          <w:p>
            <w:pPr>
              <w:spacing w:after="0"/>
              <w:rPr>
                <w:sz w:val="1"/>
                <w:szCs w:val="1"/>
                <w:color w:val="auto"/>
              </w:rPr>
            </w:pPr>
          </w:p>
        </w:tc>
      </w:tr>
      <w:tr>
        <w:trPr>
          <w:trHeight w:val="143"/>
        </w:trPr>
        <w:tc>
          <w:tcPr>
            <w:tcW w:w="33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5"/>
              </w:rPr>
              <w:t>Unrealized gain on marketable securities, net of $26 tax</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34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0"/>
              </w:rPr>
              <w:t>Unrealized loss on foreign currency hedge, net of $189 tax</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(617)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81"/>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benefit</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(6,151)</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Issuance of stock, net of cancellations</w:t>
            </w: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920" w:type="dxa"/>
            <w:vAlign w:val="bottom"/>
          </w:tcPr>
          <w:p>
            <w:pPr>
              <w:jc w:val="right"/>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(4,731)</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share retirements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83"/>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Cash dividends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(4,872)</w:t>
            </w:r>
          </w:p>
        </w:tc>
        <w:tc>
          <w:tcPr>
            <w:tcW w:w="0" w:type="dxa"/>
            <w:vAlign w:val="bottom"/>
          </w:tcPr>
          <w:p>
            <w:pPr>
              <w:spacing w:after="0"/>
              <w:rPr>
                <w:sz w:val="1"/>
                <w:szCs w:val="1"/>
                <w:color w:val="auto"/>
              </w:rPr>
            </w:pPr>
          </w:p>
        </w:tc>
      </w:tr>
      <w:tr>
        <w:trPr>
          <w:trHeight w:val="189"/>
        </w:trPr>
        <w:tc>
          <w:tcPr>
            <w:tcW w:w="33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May 30, 2020</w:t>
            </w:r>
          </w:p>
        </w:tc>
        <w:tc>
          <w:tcPr>
            <w:tcW w:w="9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26,369</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8,790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153,862</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382,225</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696</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(40,733)</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504,144</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Net earnings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ind w:right="12"/>
              <w:spacing w:after="0"/>
              <w:rPr>
                <w:sz w:val="20"/>
                <w:szCs w:val="20"/>
                <w:color w:val="auto"/>
              </w:rPr>
            </w:pPr>
            <w:r>
              <w:rPr>
                <w:rFonts w:ascii="Arial" w:cs="Arial" w:eastAsia="Arial" w:hAnsi="Arial"/>
                <w:sz w:val="14"/>
                <w:szCs w:val="14"/>
                <w:color w:val="auto"/>
              </w:rPr>
              <w:t>17,658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17,658</w:t>
            </w:r>
          </w:p>
        </w:tc>
        <w:tc>
          <w:tcPr>
            <w:tcW w:w="0" w:type="dxa"/>
            <w:vAlign w:val="bottom"/>
          </w:tcPr>
          <w:p>
            <w:pPr>
              <w:spacing w:after="0"/>
              <w:rPr>
                <w:sz w:val="1"/>
                <w:szCs w:val="1"/>
                <w:color w:val="auto"/>
              </w:rPr>
            </w:pPr>
          </w:p>
        </w:tc>
      </w:tr>
      <w:tr>
        <w:trPr>
          <w:trHeight w:val="143"/>
        </w:trPr>
        <w:tc>
          <w:tcPr>
            <w:tcW w:w="33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5"/>
              </w:rPr>
              <w:t>Unrealized gain on marketable securities, net of $13 tax</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34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6"/>
              </w:rPr>
              <w:t>Unrealized gain on foreign currency hedge, net of $404</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1,319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81"/>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tax expense</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6,139</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Issuance of stock, net of cancellations</w:t>
            </w:r>
          </w:p>
        </w:tc>
        <w:tc>
          <w:tcPr>
            <w:tcW w:w="920" w:type="dxa"/>
            <w:vAlign w:val="bottom"/>
          </w:tcPr>
          <w:p>
            <w:pPr>
              <w:jc w:val="right"/>
              <w:ind w:right="12"/>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2,256</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Other share retirements</w:t>
            </w:r>
          </w:p>
        </w:tc>
        <w:tc>
          <w:tcPr>
            <w:tcW w:w="92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(537)</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 dividends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(4,879)</w:t>
            </w:r>
          </w:p>
        </w:tc>
        <w:tc>
          <w:tcPr>
            <w:tcW w:w="0" w:type="dxa"/>
            <w:vAlign w:val="bottom"/>
          </w:tcPr>
          <w:p>
            <w:pPr>
              <w:spacing w:after="0"/>
              <w:rPr>
                <w:sz w:val="1"/>
                <w:szCs w:val="1"/>
                <w:color w:val="auto"/>
              </w:rPr>
            </w:pPr>
          </w:p>
        </w:tc>
      </w:tr>
      <w:tr>
        <w:trPr>
          <w:trHeight w:val="177"/>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August 29, 2020</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26,467</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8,823</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155,956</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394,614</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(707)</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707</w:t>
            </w:r>
          </w:p>
        </w:tc>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(33,225)</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526,168</w:t>
            </w:r>
          </w:p>
        </w:tc>
        <w:tc>
          <w:tcPr>
            <w:tcW w:w="0" w:type="dxa"/>
            <w:vAlign w:val="bottom"/>
          </w:tcPr>
          <w:p>
            <w:pPr>
              <w:spacing w:after="0"/>
              <w:rPr>
                <w:sz w:val="1"/>
                <w:szCs w:val="1"/>
                <w:color w:val="auto"/>
              </w:rPr>
            </w:pPr>
          </w:p>
        </w:tc>
      </w:tr>
      <w:tr>
        <w:trPr>
          <w:trHeight w:val="195"/>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earnings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37,273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37,273</w:t>
            </w:r>
          </w:p>
        </w:tc>
        <w:tc>
          <w:tcPr>
            <w:tcW w:w="0" w:type="dxa"/>
            <w:vAlign w:val="bottom"/>
          </w:tcPr>
          <w:p>
            <w:pPr>
              <w:spacing w:after="0"/>
              <w:rPr>
                <w:sz w:val="1"/>
                <w:szCs w:val="1"/>
                <w:color w:val="auto"/>
              </w:rPr>
            </w:pPr>
          </w:p>
        </w:tc>
      </w:tr>
      <w:tr>
        <w:trPr>
          <w:trHeight w:val="136"/>
        </w:trPr>
        <w:tc>
          <w:tcPr>
            <w:tcW w:w="3340" w:type="dxa"/>
            <w:vAlign w:val="bottom"/>
            <w:gridSpan w:val="2"/>
          </w:tcPr>
          <w:p>
            <w:pPr>
              <w:ind w:left="20"/>
              <w:spacing w:after="0" w:line="136" w:lineRule="exact"/>
              <w:rPr>
                <w:sz w:val="20"/>
                <w:szCs w:val="20"/>
                <w:color w:val="auto"/>
              </w:rPr>
            </w:pPr>
            <w:r>
              <w:rPr>
                <w:rFonts w:ascii="Arial" w:cs="Arial" w:eastAsia="Arial" w:hAnsi="Arial"/>
                <w:sz w:val="14"/>
                <w:szCs w:val="14"/>
                <w:color w:val="auto"/>
                <w:w w:val="98"/>
              </w:rPr>
              <w:t>Unrealized loss on marketable securities, net of $0 tax</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1"/>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benefit</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34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w w:val="92"/>
              </w:rPr>
              <w:t>Unrealized gain on foreign currency hedge, net of $90 tax</w:t>
            </w: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8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899</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stock, net of cancellations</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524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2,501</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0" w:type="dxa"/>
            <w:vAlign w:val="bottom"/>
          </w:tcPr>
          <w:p>
            <w:pPr>
              <w:spacing w:after="0"/>
              <w:rPr>
                <w:sz w:val="1"/>
                <w:szCs w:val="1"/>
                <w:color w:val="auto"/>
              </w:rPr>
            </w:pPr>
          </w:p>
        </w:tc>
      </w:tr>
      <w:tr>
        <w:trPr>
          <w:trHeight w:val="182"/>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920" w:type="dxa"/>
            <w:vAlign w:val="bottom"/>
          </w:tcPr>
          <w:p>
            <w:pPr>
              <w:jc w:val="right"/>
              <w:spacing w:after="0"/>
              <w:rPr>
                <w:sz w:val="20"/>
                <w:szCs w:val="20"/>
                <w:color w:val="auto"/>
              </w:rPr>
            </w:pPr>
            <w:r>
              <w:rPr>
                <w:rFonts w:ascii="Arial" w:cs="Arial" w:eastAsia="Arial" w:hAnsi="Arial"/>
                <w:sz w:val="14"/>
                <w:szCs w:val="14"/>
                <w:color w:val="auto"/>
              </w:rPr>
              <w:t>(620)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19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share retirements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83"/>
        </w:trPr>
        <w:tc>
          <w:tcPr>
            <w:tcW w:w="3340" w:type="dxa"/>
            <w:vAlign w:val="bottom"/>
            <w:gridSpan w:val="2"/>
          </w:tcPr>
          <w:p>
            <w:pPr>
              <w:ind w:left="20"/>
              <w:spacing w:after="0"/>
              <w:rPr>
                <w:sz w:val="20"/>
                <w:szCs w:val="20"/>
                <w:color w:val="auto"/>
              </w:rPr>
            </w:pPr>
            <w:r>
              <w:rPr>
                <w:rFonts w:ascii="Arial" w:cs="Arial" w:eastAsia="Arial" w:hAnsi="Arial"/>
                <w:sz w:val="14"/>
                <w:szCs w:val="14"/>
                <w:color w:val="auto"/>
              </w:rPr>
              <w:t>Cash dividends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(4,795)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(4,795)</w:t>
            </w:r>
          </w:p>
        </w:tc>
        <w:tc>
          <w:tcPr>
            <w:tcW w:w="0" w:type="dxa"/>
            <w:vAlign w:val="bottom"/>
          </w:tcPr>
          <w:p>
            <w:pPr>
              <w:spacing w:after="0"/>
              <w:rPr>
                <w:sz w:val="1"/>
                <w:szCs w:val="1"/>
                <w:color w:val="auto"/>
              </w:rPr>
            </w:pPr>
          </w:p>
        </w:tc>
      </w:tr>
      <w:tr>
        <w:trPr>
          <w:trHeight w:val="214"/>
        </w:trPr>
        <w:tc>
          <w:tcPr>
            <w:tcW w:w="3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November 28, 2020</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25,962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155,974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414,749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183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(32,034)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547,343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consolidated financial statements of Apogee Enterprises, Inc. (we, us, our or the Company) have been prepared in accordance with accounting principles generally accepted in the United States. The information included in this Form 10-Q should be read in conjunction with the Company’s Form 10-K for the year ended February 27, 2021. We use the same accounting policies in preparing quarterly and annual financial statements. All adjustments necessary for a fair presentation of quarterly and year to date operating results are reflected herein and are of a normal, recurring nature. The results of operations for the three- and nine-month periods ended November 27, 2021 are not necessarily indicative of the results to be expected for the full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fiscal 2021, as a result of the global COVID-19 pandemic, we experienced some delays in commercial construction projects and orders and other disruptions to our business, including various physical distancing and health-related precautions, and we were required to close operations at two facilities in our Large-Scale Optical (LSO) segment for a portion of fiscal 2021 due to governmental orders. We were also impacted by quarantine-related absenteeism among our production workforce, resulting in labor constraints at some of our facilities. Through the first three quarters of fiscal 2022, the negative impacts on our business directly due to the COVID-19 pandemic have moderated. The extent to which COVID-19 will continue to impact our businesses in the future will depend on numerous evolving factors including, but not limited to, the emergence of new variants of the coronavirus, such as the Delta and Omicron variants, and the effectiveness of ongoing public health initiatives, which have been boosted by vaccine production and distribution.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At the beginning of fiscal 2022, we adopted the guidance in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this ASU removed exceptions on intra-period tax allocations and reporting and provided simplification on accounting for franchise taxes, tax basis goodwill and tax law changes. The adoption of this ASU did not have a significant impact on the consolidated financial statements.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At the beginning of fiscal 2022, we adopted the guidance in ASU 2020-04, </w:t>
      </w:r>
      <w:r>
        <w:rPr>
          <w:rFonts w:ascii="Arial" w:cs="Arial" w:eastAsia="Arial" w:hAnsi="Arial"/>
          <w:sz w:val="18"/>
          <w:szCs w:val="18"/>
          <w:i w:val="1"/>
          <w:iCs w:val="1"/>
          <w:color w:val="auto"/>
        </w:rPr>
        <w:t>Reference Rate Reform (Topic 848): Facilitation of the Effects of Reference</w:t>
      </w:r>
      <w:r>
        <w:rPr>
          <w:rFonts w:ascii="Arial" w:cs="Arial" w:eastAsia="Arial" w:hAnsi="Arial"/>
          <w:sz w:val="18"/>
          <w:szCs w:val="18"/>
          <w:color w:val="auto"/>
        </w:rPr>
        <w:t xml:space="preserve"> </w:t>
      </w:r>
      <w:r>
        <w:rPr>
          <w:rFonts w:ascii="Arial" w:cs="Arial" w:eastAsia="Arial" w:hAnsi="Arial"/>
          <w:sz w:val="18"/>
          <w:szCs w:val="18"/>
          <w:i w:val="1"/>
          <w:iCs w:val="1"/>
          <w:color w:val="auto"/>
        </w:rPr>
        <w:t>Rate Reform on Financial Reporting</w:t>
      </w:r>
      <w:r>
        <w:rPr>
          <w:rFonts w:ascii="Arial" w:cs="Arial" w:eastAsia="Arial" w:hAnsi="Arial"/>
          <w:sz w:val="18"/>
          <w:szCs w:val="18"/>
          <w:color w:val="auto"/>
        </w:rPr>
        <w:t>. The amendments in this ASU apply only to contracts, hedging relationships, and other transactions that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LIBOR or another reference rate expected to be discontinued because of reference rate reform. The adoption of this ASU did not have a significant impact on the consolidated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w:t>
      </w:r>
    </w:p>
    <w:p>
      <w:pPr>
        <w:spacing w:after="0" w:line="16"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During the third quarter of fiscal 2022, an impairment of $3.0 million was recognized within other (expense) income within the consolidated results of operations related to a minority equity investment held by the Company which represents a write-down of the entire investment in the company.</w:t>
      </w:r>
    </w:p>
    <w:p>
      <w:pPr>
        <w:spacing w:after="0" w:line="18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Receivables and Contract Assets and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total revenue by timing of recognition (see Note 12 for disclosure of revenue by segment):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gridSpan w:val="5"/>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3080" w:type="dxa"/>
            <w:vAlign w:val="bottom"/>
            <w:gridSpan w:val="4"/>
          </w:tcPr>
          <w:p>
            <w:pPr>
              <w:jc w:val="right"/>
              <w:ind w:right="915"/>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466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4"/>
              </w:rPr>
              <w:t>November 28, 2020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4"/>
              </w:rPr>
              <w:t>November 28, 2020</w:t>
            </w:r>
          </w:p>
        </w:tc>
      </w:tr>
      <w:tr>
        <w:trPr>
          <w:trHeight w:val="224"/>
        </w:trPr>
        <w:tc>
          <w:tcPr>
            <w:tcW w:w="4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Recognized at shipment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141,826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419,893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379,292</w:t>
            </w:r>
          </w:p>
        </w:tc>
      </w:tr>
      <w:tr>
        <w:trPr>
          <w:trHeight w:val="230"/>
        </w:trPr>
        <w:tc>
          <w:tcPr>
            <w:tcW w:w="4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Recognized over time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566,127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542,870</w:t>
            </w:r>
          </w:p>
        </w:tc>
      </w:tr>
      <w:tr>
        <w:trPr>
          <w:trHeight w:val="248"/>
        </w:trPr>
        <w:tc>
          <w:tcPr>
            <w:tcW w:w="4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922,162</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Receivables reflected in the financial statements represent the net amount expected to be collected. An allowance for credit losses is established based on expected losses. Expected losses are estimated by reviewing individual accounts, considering aging, financial condition of the debtor, recent payment history, current and forecast economic conditions and other relevant factors. Upon billing, aging of receivables is monitored until collection. An account is considered current when it is within agreed upon payment terms. An account is written off when it is determined that the asset is no longer collectible. Retainage on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construction contracts represents amounts withheld by our customers on long-term projects until the project reaches a level of completion where amounts are released.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60" w:type="dxa"/>
            <w:vAlign w:val="bottom"/>
          </w:tcPr>
          <w:p>
            <w:pPr>
              <w:spacing w:after="0"/>
              <w:rPr>
                <w:sz w:val="16"/>
                <w:szCs w:val="16"/>
                <w:color w:val="auto"/>
              </w:rPr>
            </w:pPr>
          </w:p>
        </w:tc>
        <w:tc>
          <w:tcPr>
            <w:tcW w:w="140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February 27, 2021</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 accounts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120,534</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Construction contracts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12,163</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 retainage</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45,167</w:t>
            </w:r>
          </w:p>
        </w:tc>
        <w:tc>
          <w:tcPr>
            <w:tcW w:w="0" w:type="dxa"/>
            <w:vAlign w:val="bottom"/>
          </w:tcPr>
          <w:p>
            <w:pPr>
              <w:spacing w:after="0"/>
              <w:rPr>
                <w:sz w:val="1"/>
                <w:szCs w:val="1"/>
                <w:color w:val="auto"/>
              </w:rPr>
            </w:pP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receivables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167,320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177,864</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allowance for credit losses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Net receivables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175,917</w:t>
            </w:r>
          </w:p>
        </w:tc>
        <w:tc>
          <w:tcPr>
            <w:tcW w:w="0" w:type="dxa"/>
            <w:vAlign w:val="bottom"/>
          </w:tcPr>
          <w:p>
            <w:pPr>
              <w:spacing w:after="0"/>
              <w:rPr>
                <w:sz w:val="1"/>
                <w:szCs w:val="1"/>
                <w:color w:val="auto"/>
              </w:rPr>
            </w:pPr>
          </w:p>
        </w:tc>
      </w:tr>
      <w:tr>
        <w:trPr>
          <w:trHeight w:val="21"/>
        </w:trPr>
        <w:tc>
          <w:tcPr>
            <w:tcW w:w="800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summarizes the activity in the allowance for credit losses:</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80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60" w:type="dxa"/>
            <w:vAlign w:val="bottom"/>
          </w:tcPr>
          <w:p>
            <w:pPr>
              <w:spacing w:after="0"/>
              <w:rPr>
                <w:sz w:val="24"/>
                <w:szCs w:val="24"/>
                <w:color w:val="auto"/>
              </w:rPr>
            </w:pPr>
          </w:p>
        </w:tc>
        <w:tc>
          <w:tcPr>
            <w:tcW w:w="140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February 27, 2021</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Additions charged to costs and expenses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Deductions from allowance, net of recoveries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Other changes </w:t>
            </w:r>
            <w:r>
              <w:rPr>
                <w:rFonts w:ascii="Arial" w:cs="Arial" w:eastAsia="Arial" w:hAnsi="Arial"/>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Ending balance</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7"/>
        </w:trPr>
        <w:tc>
          <w:tcPr>
            <w:tcW w:w="8000" w:type="dxa"/>
            <w:vAlign w:val="bottom"/>
            <w:gridSpan w:val="2"/>
            <w:vMerge w:val="restart"/>
          </w:tcPr>
          <w:p>
            <w:pPr>
              <w:ind w:left="20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Result of foreign currency effects</w:t>
            </w: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0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assets and liabilities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60" w:type="dxa"/>
            <w:vAlign w:val="bottom"/>
          </w:tcPr>
          <w:p>
            <w:pPr>
              <w:spacing w:after="0"/>
              <w:rPr>
                <w:sz w:val="16"/>
                <w:szCs w:val="16"/>
                <w:color w:val="auto"/>
              </w:rPr>
            </w:pPr>
          </w:p>
        </w:tc>
        <w:tc>
          <w:tcPr>
            <w:tcW w:w="1400" w:type="dxa"/>
            <w:vAlign w:val="bottom"/>
          </w:tcPr>
          <w:p>
            <w:pPr>
              <w:jc w:val="right"/>
              <w:ind w:right="136"/>
              <w:spacing w:after="0"/>
              <w:rPr>
                <w:sz w:val="20"/>
                <w:szCs w:val="20"/>
                <w:color w:val="auto"/>
              </w:rPr>
            </w:pPr>
            <w:r>
              <w:rPr>
                <w:rFonts w:ascii="Arial" w:cs="Arial" w:eastAsia="Arial" w:hAnsi="Arial"/>
                <w:sz w:val="14"/>
                <w:szCs w:val="14"/>
                <w:b w:val="1"/>
                <w:bCs w:val="1"/>
                <w:color w:val="auto"/>
                <w:w w:val="98"/>
              </w:rPr>
              <w:t>February 27, 2021</w:t>
            </w: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74,664</w:t>
            </w:r>
          </w:p>
        </w:tc>
      </w:tr>
      <w:tr>
        <w:trPr>
          <w:trHeight w:val="230"/>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Contract liabilities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20,689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25,000</w:t>
            </w:r>
          </w:p>
        </w:tc>
      </w:tr>
    </w:tbl>
    <w:p>
      <w:pPr>
        <w:spacing w:after="0" w:line="3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contract assets and contract liabilities was mainly due to timing of project activity within our businesses that operate under long-term contracts.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contract-related disclosures</w:t>
            </w:r>
          </w:p>
        </w:tc>
        <w:tc>
          <w:tcPr>
            <w:tcW w:w="160" w:type="dxa"/>
            <w:vAlign w:val="bottom"/>
          </w:tcPr>
          <w:p>
            <w:pPr>
              <w:spacing w:after="0"/>
              <w:rPr>
                <w:sz w:val="20"/>
                <w:szCs w:val="20"/>
                <w:color w:val="auto"/>
              </w:rPr>
            </w:pPr>
          </w:p>
        </w:tc>
        <w:tc>
          <w:tcPr>
            <w:tcW w:w="316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0"/>
                <w:szCs w:val="20"/>
                <w:color w:val="auto"/>
              </w:rPr>
            </w:pPr>
          </w:p>
        </w:tc>
        <w:tc>
          <w:tcPr>
            <w:tcW w:w="3060" w:type="dxa"/>
            <w:vAlign w:val="bottom"/>
            <w:gridSpan w:val="4"/>
          </w:tcPr>
          <w:p>
            <w:pPr>
              <w:ind w:left="8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1"/>
        </w:trPr>
        <w:tc>
          <w:tcPr>
            <w:tcW w:w="47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4"/>
              </w:rPr>
              <w:t>November 28, 2020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4"/>
              </w:rPr>
              <w:t>November 28, 2020</w:t>
            </w:r>
          </w:p>
        </w:tc>
        <w:tc>
          <w:tcPr>
            <w:tcW w:w="0" w:type="dxa"/>
            <w:vAlign w:val="bottom"/>
          </w:tcPr>
          <w:p>
            <w:pPr>
              <w:spacing w:after="0"/>
              <w:rPr>
                <w:sz w:val="1"/>
                <w:szCs w:val="1"/>
                <w:color w:val="auto"/>
              </w:rPr>
            </w:pPr>
          </w:p>
        </w:tc>
      </w:tr>
      <w:tr>
        <w:trPr>
          <w:trHeight w:val="170"/>
        </w:trPr>
        <w:tc>
          <w:tcPr>
            <w:tcW w:w="460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w w:val="97"/>
              </w:rPr>
              <w:t>Revenue recognized related to contract liabilities from prior</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vMerge w:val="restart"/>
            <w:shd w:val="clear" w:color="auto" w:fill="CCEEFF"/>
          </w:tcPr>
          <w:p>
            <w:pPr>
              <w:ind w:left="840"/>
              <w:spacing w:after="0"/>
              <w:rPr>
                <w:sz w:val="20"/>
                <w:szCs w:val="20"/>
                <w:color w:val="auto"/>
              </w:rPr>
            </w:pPr>
            <w:r>
              <w:rPr>
                <w:rFonts w:ascii="Arial" w:cs="Arial" w:eastAsia="Arial" w:hAnsi="Arial"/>
                <w:sz w:val="18"/>
                <w:szCs w:val="18"/>
                <w:color w:val="auto"/>
                <w:w w:val="98"/>
              </w:rPr>
              <w:t>18,266</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16,239</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year-end</w:t>
            </w:r>
          </w:p>
        </w:tc>
        <w:tc>
          <w:tcPr>
            <w:tcW w:w="16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Revenue recognized related to prior satisfaction of</w:t>
            </w:r>
          </w:p>
        </w:tc>
        <w:tc>
          <w:tcPr>
            <w:tcW w:w="1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5,051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4,016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restart"/>
          </w:tcPr>
          <w:p>
            <w:pPr>
              <w:ind w:left="840"/>
              <w:spacing w:after="0"/>
              <w:rPr>
                <w:sz w:val="20"/>
                <w:szCs w:val="20"/>
                <w:color w:val="auto"/>
              </w:rPr>
            </w:pPr>
            <w:r>
              <w:rPr>
                <w:rFonts w:ascii="Arial" w:cs="Arial" w:eastAsia="Arial" w:hAnsi="Arial"/>
                <w:sz w:val="18"/>
                <w:szCs w:val="18"/>
                <w:color w:val="auto"/>
                <w:w w:val="98"/>
              </w:rPr>
              <w:t>12,568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10,545</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performance obligations</w:t>
            </w:r>
          </w:p>
        </w:tc>
        <w:tc>
          <w:tcPr>
            <w:tcW w:w="16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Some of our contracts have an expected duration of longer than a year, with performance obligations extending over that time frame. Generally, these contracts are found in our businesses that typically operate with long-term contracts, which recognize revenue over time. As of November 27, 2021, the transaction price associated with unsatisfied performance obligations was approximately $863.1 million. The performance obligations are expected to be satisfied, and the corresponding revenue to be recognized, over the following estimated time periods: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November 27, 2021</w:t>
            </w:r>
          </w:p>
        </w:tc>
      </w:tr>
      <w:tr>
        <w:trPr>
          <w:trHeight w:val="229"/>
        </w:trPr>
        <w:tc>
          <w:tcPr>
            <w:tcW w:w="9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Within one year</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547,110</w:t>
            </w:r>
          </w:p>
        </w:tc>
      </w:tr>
      <w:tr>
        <w:trPr>
          <w:trHeight w:val="229"/>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Within two years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247,753</w:t>
            </w:r>
          </w:p>
        </w:tc>
      </w:tr>
      <w:tr>
        <w:trPr>
          <w:trHeight w:val="230"/>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Beyond</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68,209</w:t>
            </w:r>
          </w:p>
        </w:tc>
      </w:tr>
      <w:tr>
        <w:trPr>
          <w:trHeight w:val="223"/>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863,072</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Supplemental Balance Sheet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60" w:type="dxa"/>
            <w:vAlign w:val="bottom"/>
          </w:tcPr>
          <w:p>
            <w:pPr>
              <w:spacing w:after="0"/>
              <w:rPr>
                <w:sz w:val="16"/>
                <w:szCs w:val="16"/>
                <w:color w:val="auto"/>
              </w:rPr>
            </w:pPr>
          </w:p>
        </w:tc>
        <w:tc>
          <w:tcPr>
            <w:tcW w:w="140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February 27, 2021</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36,681</w:t>
            </w:r>
          </w:p>
        </w:tc>
        <w:tc>
          <w:tcPr>
            <w:tcW w:w="0" w:type="dxa"/>
            <w:vAlign w:val="bottom"/>
          </w:tcPr>
          <w:p>
            <w:pPr>
              <w:spacing w:after="0"/>
              <w:rPr>
                <w:sz w:val="1"/>
                <w:szCs w:val="1"/>
                <w:color w:val="auto"/>
              </w:rPr>
            </w:pPr>
          </w:p>
        </w:tc>
      </w:tr>
      <w:tr>
        <w:trPr>
          <w:trHeight w:val="229"/>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18,932</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17,210</w:t>
            </w:r>
          </w:p>
        </w:tc>
        <w:tc>
          <w:tcPr>
            <w:tcW w:w="0" w:type="dxa"/>
            <w:vAlign w:val="bottom"/>
          </w:tcPr>
          <w:p>
            <w:pPr>
              <w:spacing w:after="0"/>
              <w:rPr>
                <w:sz w:val="1"/>
                <w:szCs w:val="1"/>
                <w:color w:val="auto"/>
              </w:rPr>
            </w:pP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75,437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72,823</w:t>
            </w:r>
          </w:p>
        </w:tc>
        <w:tc>
          <w:tcPr>
            <w:tcW w:w="0" w:type="dxa"/>
            <w:vAlign w:val="bottom"/>
          </w:tcPr>
          <w:p>
            <w:pPr>
              <w:spacing w:after="0"/>
              <w:rPr>
                <w:sz w:val="1"/>
                <w:szCs w:val="1"/>
                <w:color w:val="auto"/>
              </w:rPr>
            </w:pPr>
          </w:p>
        </w:tc>
      </w:tr>
      <w:tr>
        <w:trPr>
          <w:trHeight w:val="21"/>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current liabilities</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60" w:type="dxa"/>
            <w:vAlign w:val="bottom"/>
          </w:tcPr>
          <w:p>
            <w:pPr>
              <w:spacing w:after="0"/>
              <w:rPr>
                <w:sz w:val="24"/>
                <w:szCs w:val="24"/>
                <w:color w:val="auto"/>
              </w:rPr>
            </w:pPr>
          </w:p>
        </w:tc>
        <w:tc>
          <w:tcPr>
            <w:tcW w:w="140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February 27, 2021</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Warranties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12,298</w:t>
            </w:r>
          </w:p>
        </w:tc>
        <w:tc>
          <w:tcPr>
            <w:tcW w:w="0" w:type="dxa"/>
            <w:vAlign w:val="bottom"/>
          </w:tcPr>
          <w:p>
            <w:pPr>
              <w:spacing w:after="0"/>
              <w:rPr>
                <w:sz w:val="1"/>
                <w:szCs w:val="1"/>
                <w:color w:val="auto"/>
              </w:rPr>
            </w:pPr>
          </w:p>
        </w:tc>
      </w:tr>
      <w:tr>
        <w:trPr>
          <w:trHeight w:val="229"/>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Accrued project losses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and other taxes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0" w:type="dxa"/>
            <w:vAlign w:val="bottom"/>
          </w:tcPr>
          <w:p>
            <w:pPr>
              <w:spacing w:after="0"/>
              <w:rPr>
                <w:sz w:val="1"/>
                <w:szCs w:val="1"/>
                <w:color w:val="auto"/>
              </w:rPr>
            </w:pPr>
          </w:p>
        </w:tc>
      </w:tr>
      <w:tr>
        <w:trPr>
          <w:trHeight w:val="229"/>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Accrued self-insurance reserves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freight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20,895</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53,183</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Other non-current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80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80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60" w:type="dxa"/>
            <w:vAlign w:val="bottom"/>
          </w:tcPr>
          <w:p>
            <w:pPr>
              <w:spacing w:after="0"/>
              <w:rPr>
                <w:sz w:val="24"/>
                <w:szCs w:val="24"/>
                <w:color w:val="auto"/>
              </w:rPr>
            </w:pPr>
          </w:p>
        </w:tc>
        <w:tc>
          <w:tcPr>
            <w:tcW w:w="140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February 27, 2021</w:t>
            </w:r>
          </w:p>
        </w:tc>
        <w:tc>
          <w:tcPr>
            <w:tcW w:w="0" w:type="dxa"/>
            <w:vAlign w:val="bottom"/>
          </w:tcPr>
          <w:p>
            <w:pPr>
              <w:spacing w:after="0"/>
              <w:rPr>
                <w:sz w:val="1"/>
                <w:szCs w:val="1"/>
                <w:color w:val="auto"/>
              </w:rPr>
            </w:pP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benefit from New Market Tax Credit transactions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15,717</w:t>
            </w:r>
          </w:p>
        </w:tc>
        <w:tc>
          <w:tcPr>
            <w:tcW w:w="0" w:type="dxa"/>
            <w:vAlign w:val="bottom"/>
          </w:tcPr>
          <w:p>
            <w:pPr>
              <w:spacing w:after="0"/>
              <w:rPr>
                <w:sz w:val="1"/>
                <w:szCs w:val="1"/>
                <w:color w:val="auto"/>
              </w:rPr>
            </w:pPr>
          </w:p>
        </w:tc>
      </w:tr>
      <w:tr>
        <w:trPr>
          <w:trHeight w:val="229"/>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Retirement plan obligations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7,575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compensation plan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13,507</w:t>
            </w:r>
          </w:p>
        </w:tc>
        <w:tc>
          <w:tcPr>
            <w:tcW w:w="0" w:type="dxa"/>
            <w:vAlign w:val="bottom"/>
          </w:tcPr>
          <w:p>
            <w:pPr>
              <w:spacing w:after="0"/>
              <w:rPr>
                <w:sz w:val="1"/>
                <w:szCs w:val="1"/>
                <w:color w:val="auto"/>
              </w:rPr>
            </w:pPr>
          </w:p>
        </w:tc>
      </w:tr>
      <w:tr>
        <w:trPr>
          <w:trHeight w:val="230"/>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8,310</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payroll taxes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16,430</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other non-current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Through our wholly-owned insurance subsidiary, Prism Assurance, Ltd. (Prism), we hold the following available-for-sale marketable securities, made up of municipal and corporate bonds: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Unrealized Gains</w:t>
            </w:r>
          </w:p>
        </w:tc>
        <w:tc>
          <w:tcPr>
            <w:tcW w:w="1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5"/>
              </w:rPr>
              <w:t>Gross Unrealized Losses</w:t>
            </w:r>
          </w:p>
        </w:tc>
        <w:tc>
          <w:tcPr>
            <w:tcW w:w="280" w:type="dxa"/>
            <w:vAlign w:val="bottom"/>
          </w:tcPr>
          <w:p>
            <w:pPr>
              <w:spacing w:after="0"/>
              <w:rPr>
                <w:sz w:val="14"/>
                <w:szCs w:val="14"/>
                <w:color w:val="auto"/>
              </w:rPr>
            </w:pPr>
          </w:p>
        </w:tc>
        <w:tc>
          <w:tcPr>
            <w:tcW w:w="1280" w:type="dxa"/>
            <w:vAlign w:val="bottom"/>
          </w:tcPr>
          <w:p>
            <w:pPr>
              <w:jc w:val="right"/>
              <w:ind w:right="399"/>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47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4"/>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27, 2021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12,527</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February 27, 2021</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12,517</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Prism insures a portion of our general liability, workers’ compensation and automobile liability risks using reinsurance agreements to meet statutory requirements. The reinsurance carrier requires Prism to maintain fixed-maturity investments for the purpose of providing collateral for Prism’s obligations under the reinsurance agreements.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estimated fair values of these bonds at November 27, 2021, by contractual maturity, are shown below. Expected maturities may differ from contractual maturities, as borrowers may have the right to call or prepay obligations with or without penalty.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6"/>
                <w:szCs w:val="16"/>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Estimated Fair Value</w:t>
            </w:r>
          </w:p>
        </w:tc>
      </w:tr>
      <w:tr>
        <w:trPr>
          <w:trHeight w:val="229"/>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29"/>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Due after one year through five years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9,716</w:t>
            </w:r>
          </w:p>
        </w:tc>
      </w:tr>
      <w:tr>
        <w:trPr>
          <w:trHeight w:val="23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Due after five years through 10 years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r>
      <w:tr>
        <w:trPr>
          <w:trHeight w:val="229"/>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Due beyond 15 years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r>
      <w:tr>
        <w:trPr>
          <w:trHeight w:val="248"/>
        </w:trPr>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use interest rate swaps, foreign exchange forward contracts, commodity swaps and forward purchase contracts to manage risks generally associated with foreign exchange rate, interest rate and commodity price fluctuations. The information that follows explains the various types of derivatives and financial instruments we use, how such instruments are accounted for, and how such instruments impact our financial position and performance.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2020, we entered into an interest rate swap to hedge exposure to variability in cash flows from interest payments on our floating-rate revolving credit facility and term loan. As of November 27, 2021, the interest rate swap contract had a notional value of $30.0 million.</w:t>
      </w:r>
    </w:p>
    <w:p>
      <w:pPr>
        <w:spacing w:after="0" w:line="184"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periodically enter into forward purchase contracts and/or fixed/floating swaps to manage the risk associated with fluctuations in aluminum prices and fluctuations in foreign exchange rates (primarily related to the Canadian dollar). These contracts generally have an original maturity date of less than one year. As of November 27, 2021, we held foreign exchange forward contracts and aluminum fixed/floating swaps with U.S. dollar notional values of $16.5 million and $8.0 million, respectively.</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derivative instruments are recorded within our consolidated balance sheets within other current assets and liabilities. Gains or losses associated with these instruments are recorded as a component of accumulated other comprehensive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financial assets or liabilities.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Other Observable</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Active Markets</w:t>
            </w:r>
          </w:p>
        </w:tc>
        <w:tc>
          <w:tcPr>
            <w:tcW w:w="1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Total Fair Value</w:t>
            </w:r>
          </w:p>
        </w:tc>
        <w:tc>
          <w:tcPr>
            <w:tcW w:w="0" w:type="dxa"/>
            <w:vAlign w:val="bottom"/>
          </w:tcPr>
          <w:p>
            <w:pPr>
              <w:spacing w:after="0"/>
              <w:rPr>
                <w:sz w:val="1"/>
                <w:szCs w:val="1"/>
                <w:color w:val="auto"/>
              </w:rPr>
            </w:pPr>
          </w:p>
        </w:tc>
      </w:tr>
      <w:tr>
        <w:trPr>
          <w:trHeight w:val="188"/>
        </w:trPr>
        <w:tc>
          <w:tcPr>
            <w:tcW w:w="632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0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 (Level 2)</w:t>
            </w:r>
          </w:p>
        </w:tc>
        <w:tc>
          <w:tcPr>
            <w:tcW w:w="2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November 27, 2021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58,482</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Municipal and corporate bonds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12,527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12,527</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18,839</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Aluminum hedge contracts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rate swap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14,140</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Foreign currency forward/option contracts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February 27, 2021</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26,034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26,034</w:t>
            </w:r>
          </w:p>
        </w:tc>
        <w:tc>
          <w:tcPr>
            <w:tcW w:w="0" w:type="dxa"/>
            <w:vAlign w:val="bottom"/>
          </w:tcPr>
          <w:p>
            <w:pPr>
              <w:spacing w:after="0"/>
              <w:rPr>
                <w:sz w:val="1"/>
                <w:szCs w:val="1"/>
                <w:color w:val="auto"/>
              </w:rPr>
            </w:pPr>
          </w:p>
        </w:tc>
      </w:tr>
      <w:tr>
        <w:trPr>
          <w:trHeight w:val="229"/>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Municipal and corporate bonds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12,893</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Cash surrender value of life insurance</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18,632</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Foreign currency forward/option contracts</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Aluminum hedge contracts</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Deferred compensation</w:t>
            </w: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13,507</w:t>
            </w:r>
          </w:p>
        </w:tc>
        <w:tc>
          <w:tcPr>
            <w:tcW w:w="0" w:type="dxa"/>
            <w:vAlign w:val="bottom"/>
          </w:tcPr>
          <w:p>
            <w:pPr>
              <w:spacing w:after="0"/>
              <w:rPr>
                <w:sz w:val="1"/>
                <w:szCs w:val="1"/>
                <w:color w:val="auto"/>
              </w:rPr>
            </w:pPr>
          </w:p>
        </w:tc>
      </w:tr>
      <w:tr>
        <w:trPr>
          <w:trHeight w:val="230"/>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rate swap contract</w:t>
            </w:r>
          </w:p>
        </w:tc>
        <w:tc>
          <w:tcPr>
            <w:tcW w:w="2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market funds and commercial paper</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of money market funds was determined based on quoted prices for identical assets in active markets. Commercial paper was measured at fair value using inputs based on quoted prices for similar securities in active markets. These assets are included within cash and cash equivalents on our consolidated balance sheets.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 and corporate bonds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Municipal and corporate bonds were measured at fair value based on market prices from recent trades of similar securities and are classified within our consolidated balance sheets as other current or other non-current assets based on maturity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surrender value of life insurance and deferred compensation</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insuring the lives of certain employees who are eligible to participate in certain non-qualified pension and deferred compensation plans are held in trust. Cash surrender value of the contracts is based on performance measurement funds that shadow the deferral investment allocations made by participants in certain deferred compensation plans. Changes in cash surrender value are recorded in other expense. The deferred compensation liability balances are valued based on amounts allocated by participants to the underlying performance measurement funds.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interest rate swap is measured at fair value using other observable market inputs, based off of benchmark interest rates. Forward foreign exchange and fixed/floating aluminum contracts are measured at fair value using other observable market inputs, such as quotations on forward foreign exchange points, foreign currency exchange rates, and forward purchase aluminum prices. Derivative positions are primarily valued using standard calculations and models that use as their basis readily observable market parameters. Industry standard data providers are our primary source for forward and spot rate information for both interest and currency rates and aluminum prices.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measure certain financial instruments at fair value on a nonrecurring basis including goodwill, intangible assets, property and equipment and right-of-use lease assets. These assets were initially measured and recognized at amounts equal to the fair value determined as of the date of acquisition or purchase subject to changes in value only for foreign currency translation. Periodically, these assets are tested for impairment, by comparing their respective carrying values to the estimated fair value of the reporting unit or asset group in which they reside. In the event any of these assets were to become impaired, we would recognize an impairment expense equal to the amount by which the carrying value of the reporting unit, impaired asset or asset group exceeds its estimated fair value. Fair value measurements of reporting units are estimated using an income approach involving discounted cash flow models that contain certain Level 3 inputs requiring significant management judgment, including projections of economic conditions, customer demand and changes in competition, revenue growth rates, gross profit margins, operating margins, capital expenditures, working capital requirements, terminal growth rates and discount rates. Fair value measurements of the reporting units associated with our goodwill balances and our indefinite-lived intangible assets are estimated at least annually in the fourth quarter of each fiscal year for purposes of impairment testing if a quantitative analysis is performed.</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Note 13 for additional information on the impairment charges recorded to fixed assets and right-of-use lease assets during the second and third quarters of fiscal 2022.</w:t>
      </w:r>
    </w:p>
    <w:p>
      <w:pPr>
        <w:spacing w:after="0" w:line="193"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8"/>
          <w:szCs w:val="18"/>
          <w:color w:val="auto"/>
        </w:rPr>
        <w:t>Goodwill represents the excess of the cost over the value of net tangible and identified intangible assets of acquired businesses. We evaluate goodwill for impairment annually as of the first day of our fiscal fourth quarter, or more frequently if events or changes in circumstances indicate that the carrying value of goodwill may not be recoverable.</w:t>
      </w:r>
    </w:p>
    <w:p>
      <w:pPr>
        <w:spacing w:after="0" w:line="21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Based on the impairment analysis performed in the fourth quarter of fiscal 2021, estimated fair value was in excess of carrying value at six of our eight reporting units. However, estimated fair value did not exceed carrying value for two reporting units within the Architectural Framing Systems segment, EFCO and Sotawall. As a result, as of February 27, 2021, we incurred goodwill impairment expense of $46.7 million and $17.1 million in our EFCO and Sotawall reporting units, respectively. The goodwill impairment expense recorded during the year ended February 27, 2021, as reflected in the table below, represents the total accumulated goodwill impairment expenses recorded.</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During the third quarter of fiscal 2022, we combined certain reporting units to form two reporting units, following certain structural and leadership changes at the Company, specifically within the Architectural Framing Systems segment. Within this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segment, as a result of integration efforts that are ongoing, leadership over our Wausau, EFCO and Sotawall reporting units have been combined to form the Window and Wall Systems reporting unit, and our Linetec and Tubelite reporting units have been combined to form the Storefront and Finishing Solutions reporting unit. With these organizational changes, Architectural Framing Systems segment management regularly reviews and evaluates the</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7"/>
          <w:szCs w:val="17"/>
          <w:color w:val="auto"/>
        </w:rPr>
        <w:t>results of the Window and Wall Systems and Storefront and Finishing Solutions reporting units. Additionally, functional leaders in areas such as operations, sales, marketing and general and administrative areas are responsible for allocating resources and reviewing results of the Window and Wall Systems and Storefront and Finishing Solutions reporting units. The goodwill of the five individual pre-integration reporting units was aggregated to the respective combined reporting units. We evaluated goodwill on a qualitative basis prior to and subsequent to this change and concluded no adjustment to the carrying value of goodwill was necessary as a result of this change. In addition, for all reporting units, no qualitative indicators of impairment were identified during the third quarter, and therefore, no interim quantitative goodwill impairment evaluation was performed.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attributable to each reporting segment was: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Architectural Framing</w:t>
            </w:r>
          </w:p>
        </w:tc>
        <w:tc>
          <w:tcPr>
            <w:tcW w:w="120" w:type="dxa"/>
            <w:vAlign w:val="bottom"/>
          </w:tcPr>
          <w:p>
            <w:pPr>
              <w:spacing w:after="0"/>
              <w:rPr>
                <w:sz w:val="14"/>
                <w:szCs w:val="14"/>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Architectural Glass</w:t>
            </w:r>
          </w:p>
        </w:tc>
        <w:tc>
          <w:tcPr>
            <w:tcW w:w="16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Architectural Services</w:t>
            </w: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Large-Scale</w:t>
            </w:r>
          </w:p>
        </w:tc>
        <w:tc>
          <w:tcPr>
            <w:tcW w:w="360" w:type="dxa"/>
            <w:vAlign w:val="bottom"/>
          </w:tcPr>
          <w:p>
            <w:pPr>
              <w:spacing w:after="0"/>
              <w:rPr>
                <w:sz w:val="14"/>
                <w:szCs w:val="14"/>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Systems</w:t>
            </w:r>
          </w:p>
        </w:tc>
        <w:tc>
          <w:tcPr>
            <w:tcW w:w="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Optical</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29, 2020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148,183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25,656</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185,516</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Adjustment </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Impairment expense</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(63,769)</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February 27, 2021</w:t>
            </w: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25,322</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130,098</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November 27, 2021</w:t>
            </w: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129,932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ind w:left="20" w:right="420" w:firstLine="6"/>
        <w:spacing w:after="0" w:line="220" w:lineRule="auto"/>
        <w:tabs>
          <w:tab w:leader="none" w:pos="165"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During the first quarter of fiscal 2021, we recorded a $6.3 million increase to goodwill and corresponding increase to deferred tax liabilities to correct an immaterial error related to prior periods. The error was not material to any previously reported annual or interim consolidated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intangible assets for certain acquired trade names and trademarks which are determined to have indefinite useful lives. We test indefinite-lived intangible assets for impairment annually at the same measurement date as goodwill, the first day of our fiscal fourth quarter, or more frequently if events or changes in circumstances indicate that it is more likely than not that the asset is impaired. Based on our analysis, the fair value of each of our trade names and trademarks exceeded carrying amount, except for the EFCO tradename, within our Architectural Framing Systems segment. The fair value determined for the EFCO tradename was less than its carrying value by $6.3 million; this amount was recognized as impairment expense in the fourth quarter ended February 27, 2021, as reflected in the table below.</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of other intangible assets and related accumulated amortization was: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Impairment Expense</w:t>
            </w:r>
          </w:p>
        </w:tc>
        <w:tc>
          <w:tcPr>
            <w:tcW w:w="22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7"/>
              </w:rPr>
              <w:t>Currency</w:t>
            </w:r>
          </w:p>
        </w:tc>
        <w:tc>
          <w:tcPr>
            <w:tcW w:w="340" w:type="dxa"/>
            <w:vAlign w:val="bottom"/>
          </w:tcPr>
          <w:p>
            <w:pPr>
              <w:spacing w:after="0"/>
              <w:rPr>
                <w:sz w:val="11"/>
                <w:szCs w:val="11"/>
                <w:color w:val="auto"/>
              </w:rPr>
            </w:pPr>
          </w:p>
        </w:tc>
        <w:tc>
          <w:tcPr>
            <w:tcW w:w="102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40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14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Translation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November 27, 2021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77,237</w:t>
            </w:r>
          </w:p>
        </w:tc>
        <w:tc>
          <w:tcPr>
            <w:tcW w:w="0" w:type="dxa"/>
            <w:vAlign w:val="bottom"/>
          </w:tcPr>
          <w:p>
            <w:pPr>
              <w:spacing w:after="0"/>
              <w:rPr>
                <w:sz w:val="1"/>
                <w:szCs w:val="1"/>
                <w:color w:val="auto"/>
              </w:rPr>
            </w:pPr>
          </w:p>
        </w:tc>
      </w:tr>
      <w:tr>
        <w:trPr>
          <w:trHeight w:val="230"/>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Other intangibles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(80,500)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39,761</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2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204,631</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(80,500)</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123,553</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February 27, 2021</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82,519</w:t>
            </w:r>
          </w:p>
        </w:tc>
        <w:tc>
          <w:tcPr>
            <w:tcW w:w="0" w:type="dxa"/>
            <w:vAlign w:val="bottom"/>
          </w:tcPr>
          <w:p>
            <w:pPr>
              <w:spacing w:after="0"/>
              <w:rPr>
                <w:sz w:val="1"/>
                <w:szCs w:val="1"/>
                <w:color w:val="auto"/>
              </w:rPr>
            </w:pPr>
          </w:p>
        </w:tc>
      </w:tr>
      <w:tr>
        <w:trPr>
          <w:trHeight w:val="230"/>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Other intangibles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41,293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definite-lived intangible assets</w:t>
            </w:r>
          </w:p>
        </w:tc>
        <w:tc>
          <w:tcPr>
            <w:tcW w:w="2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(74,677)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90,221</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Trademarks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(6,300)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39,832</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2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206,240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(74,677)</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94"/>
              </w:rPr>
              <w:t>(6,300)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130,053</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on definite-lived intangible assets was $5.9 million and $5.6 million for the nine-month periods ended November 27, 2021 and November 28, 2020, respectively. Amortization expense of other identifiable intangible assets is included in selling, general and administrative expenses. At November 27, 2021, the estimated future amortization expense for definite-lived intangible assets was: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Remainder of Fiscal</w:t>
            </w:r>
          </w:p>
        </w:tc>
        <w:tc>
          <w:tcPr>
            <w:tcW w:w="260" w:type="dxa"/>
            <w:vAlign w:val="bottom"/>
          </w:tcPr>
          <w:p>
            <w:pPr>
              <w:spacing w:after="0"/>
              <w:rPr>
                <w:sz w:val="14"/>
                <w:szCs w:val="14"/>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Fiscal 2023</w:t>
            </w:r>
          </w:p>
        </w:tc>
        <w:tc>
          <w:tcPr>
            <w:tcW w:w="260" w:type="dxa"/>
            <w:vAlign w:val="bottom"/>
          </w:tcPr>
          <w:p>
            <w:pPr>
              <w:spacing w:after="0"/>
              <w:rPr>
                <w:sz w:val="14"/>
                <w:szCs w:val="14"/>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Fiscal 2024</w:t>
            </w:r>
          </w:p>
        </w:tc>
        <w:tc>
          <w:tcPr>
            <w:tcW w:w="260" w:type="dxa"/>
            <w:vAlign w:val="bottom"/>
          </w:tcPr>
          <w:p>
            <w:pPr>
              <w:spacing w:after="0"/>
              <w:rPr>
                <w:sz w:val="14"/>
                <w:szCs w:val="14"/>
                <w:color w:val="auto"/>
              </w:rPr>
            </w:pPr>
          </w:p>
        </w:tc>
        <w:tc>
          <w:tcPr>
            <w:tcW w:w="13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Fiscal 2025</w:t>
            </w:r>
          </w:p>
        </w:tc>
        <w:tc>
          <w:tcPr>
            <w:tcW w:w="260" w:type="dxa"/>
            <w:vAlign w:val="bottom"/>
          </w:tcPr>
          <w:p>
            <w:pPr>
              <w:spacing w:after="0"/>
              <w:rPr>
                <w:sz w:val="14"/>
                <w:szCs w:val="14"/>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Fiscal 2026</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Pr>
          <w:p>
            <w:pPr>
              <w:spacing w:after="0"/>
              <w:rPr>
                <w:sz w:val="16"/>
                <w:szCs w:val="16"/>
                <w:color w:val="auto"/>
              </w:rPr>
            </w:pPr>
          </w:p>
        </w:tc>
        <w:tc>
          <w:tcPr>
            <w:tcW w:w="13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Estimated amortization expense</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November 27, 2021, we had a committed revolving credit facility with maximum borrowings of up to $235 million with a maturity of June 2024. There were no outstanding borrowings under the revolving credit facility as of November 27, 2021 and February 27, 2021. At November 27, 2021 and February 27, 2021, we also had a $150 million term loan with a maturity date of June 2024.</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revolving credit facility and term loan contain two financial covenants that require us to stay below a maximum debt-to-EBITDA ratio and maintain a minimum ratio of EBITDA-to-interest expense. Both ratios are computed quarterly, with EBITDA calculated on a rolling four-quarter basis. At November 27, 2021, we were in compliance with both financial covenants. Additionally, at November 27, 2021, we had a total of $16.4 million of ongoing letters of credit related to industrial revenue bonds, construction contracts and insurance collateral that expire in fiscal years 2023 to 2032 and reduce borrowing capacity under the revolving credit facility.</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November 27, 2021, debt included $13.0 million of industrial revenue bonds that mature in fiscal years 2023 through 2043. In July 2021, two $1.0 million industrial revenue bonds matured and were repaid. The fair value of all industrial revenue bonds approximated carrying value at November 27, 2021, due to the variable interest rates on these instruments. Our credit facility, term loan and industrial revenue bonds would be classified as Level 2 within the fair value hierarchy described in Note 4.</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maintain two Canadian committed, revolving credit facilities totaling $25.0 million (USD). As of November 27, 2021 and February 27, 2021, there were no borrowings outstanding under the facilities.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payments were $2.7 million and $3.7 million for the nine months ended November 27, 2021 and November 28, 2020,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lease certain of the buildings and equipment used in our operations. We determine if an arrangement contains a lease at inception. Currently, all of our lease arrangements are classified as operating leases. We elected the package of practical expedients permitted under the transition guidance in adopting ASC 842, which among other things, allowed us to carry forward our historical lease classification. Operating lease assets and liabilities are recognized at the lease commencement date based on the present value of lease payments over the lease term. Lease expense is recognized on a straight-line basis over the lease term. Our leases have remaining lease terms of one to ten years, some of which include renewal options that can extend the lease for up to an additional ten years at our sole discretion. We have made an accounting policy election not to record leases with an original term of 12 months or less on our consolidated balance sheet; such leases are expensed on a straight-line basis over the lease term.</w:t>
      </w:r>
    </w:p>
    <w:p>
      <w:pPr>
        <w:spacing w:after="0" w:line="20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determining lease asset value, we consider fixed or variable payment terms, prepayments, incentives, and options to extend, terminate or purchase. Renewal, termination or purchase options affect the lease term used for determining lease asset value only if the option is reasonably certain to be exercised. We use a discount rate for each lease based upon an estimated incremental borrowing rate over a similar term. We have elected the practical expedient to account for lease and non lease components (e.g., common-area maintenance costs) as a single lease component. Our lease agreements do not contain any material residual value guarantees or material restrictive covenants. We are not a lessor in any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3060" w:type="dxa"/>
            <w:vAlign w:val="bottom"/>
            <w:gridSpan w:val="4"/>
          </w:tcPr>
          <w:p>
            <w:pPr>
              <w:jc w:val="right"/>
              <w:ind w:right="894"/>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47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November 28, 2020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4"/>
              </w:rPr>
              <w:t>November 28, 2020</w:t>
            </w:r>
          </w:p>
        </w:tc>
      </w:tr>
      <w:tr>
        <w:trPr>
          <w:trHeight w:val="224"/>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10,329</w:t>
            </w: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Short-term lease cost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1,384</w:t>
            </w: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r>
      <w:tr>
        <w:trPr>
          <w:trHeight w:val="223"/>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13,784</w:t>
            </w:r>
          </w:p>
        </w:tc>
      </w:tr>
      <w:tr>
        <w:trPr>
          <w:trHeight w:val="20"/>
        </w:trPr>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Other supplemental information related to leases was as follows:</w:t>
      </w:r>
    </w:p>
    <w:p>
      <w:pPr>
        <w:spacing w:after="0" w:line="136"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76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 except weighted-average data)</w:t>
            </w:r>
          </w:p>
        </w:tc>
        <w:tc>
          <w:tcPr>
            <w:tcW w:w="1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November 27, 2021</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1"/>
              </w:rPr>
              <w:t>November 28, 2020</w:t>
            </w:r>
          </w:p>
        </w:tc>
      </w:tr>
      <w:tr>
        <w:trPr>
          <w:trHeight w:val="224"/>
        </w:trPr>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10,744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10,233</w:t>
            </w: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Lease assets obtained in exchange for new operating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34"/>
              <w:spacing w:after="0"/>
              <w:rPr>
                <w:sz w:val="20"/>
                <w:szCs w:val="20"/>
                <w:color w:val="auto"/>
              </w:rPr>
            </w:pPr>
            <w:r>
              <w:rPr>
                <w:rFonts w:ascii="Arial" w:cs="Arial" w:eastAsia="Arial" w:hAnsi="Arial"/>
                <w:sz w:val="18"/>
                <w:szCs w:val="18"/>
                <w:color w:val="auto"/>
              </w:rPr>
              <w:t>3,107</w:t>
            </w:r>
          </w:p>
        </w:tc>
        <w:tc>
          <w:tcPr>
            <w:tcW w:w="1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440" w:type="dxa"/>
            <w:vAlign w:val="bottom"/>
          </w:tcPr>
          <w:p>
            <w:pPr>
              <w:jc w:val="right"/>
              <w:ind w:right="132"/>
              <w:spacing w:after="0"/>
              <w:rPr>
                <w:sz w:val="20"/>
                <w:szCs w:val="20"/>
                <w:color w:val="auto"/>
              </w:rPr>
            </w:pPr>
            <w:r>
              <w:rPr>
                <w:rFonts w:ascii="Arial" w:cs="Arial" w:eastAsia="Arial" w:hAnsi="Arial"/>
                <w:sz w:val="18"/>
                <w:szCs w:val="18"/>
                <w:color w:val="auto"/>
              </w:rPr>
              <w:t>19,623</w:t>
            </w:r>
          </w:p>
        </w:tc>
      </w:tr>
      <w:tr>
        <w:trPr>
          <w:trHeight w:val="229"/>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operating leases</w:t>
            </w: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5.4 years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years</w:t>
            </w: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2.88 %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3.18 %</w:t>
            </w:r>
          </w:p>
        </w:tc>
      </w:tr>
      <w:tr>
        <w:trPr>
          <w:trHeight w:val="553"/>
        </w:trPr>
        <w:tc>
          <w:tcPr>
            <w:tcW w:w="7760" w:type="dxa"/>
            <w:vAlign w:val="bottom"/>
            <w:gridSpan w:val="2"/>
          </w:tcPr>
          <w:p>
            <w:pPr>
              <w:spacing w:after="0"/>
              <w:rPr>
                <w:sz w:val="20"/>
                <w:szCs w:val="20"/>
                <w:color w:val="auto"/>
              </w:rPr>
            </w:pPr>
            <w:r>
              <w:rPr>
                <w:rFonts w:ascii="Arial" w:cs="Arial" w:eastAsia="Arial" w:hAnsi="Arial"/>
                <w:sz w:val="18"/>
                <w:szCs w:val="18"/>
                <w:color w:val="auto"/>
              </w:rPr>
              <w:t>Future maturities of lease liabilities are as follows: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91"/>
        </w:trPr>
        <w:tc>
          <w:tcPr>
            <w:tcW w:w="77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6"/>
              </w:rPr>
              <w:t>November 27, 2021</w:t>
            </w:r>
          </w:p>
        </w:tc>
      </w:tr>
      <w:tr>
        <w:trPr>
          <w:trHeight w:val="229"/>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Fiscal 2022</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w:t>
            </w:r>
          </w:p>
        </w:tc>
      </w:tr>
      <w:tr>
        <w:trPr>
          <w:trHeight w:val="229"/>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Fiscal 2023</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13,563</w:t>
            </w:r>
          </w:p>
        </w:tc>
      </w:tr>
      <w:tr>
        <w:trPr>
          <w:trHeight w:val="229"/>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2024</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11,261</w:t>
            </w: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Fiscal 2025</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9,915</w:t>
            </w:r>
          </w:p>
        </w:tc>
      </w:tr>
      <w:tr>
        <w:trPr>
          <w:trHeight w:val="229"/>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2026</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w:t>
            </w: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Fiscal 2027</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6,395</w:t>
            </w:r>
          </w:p>
        </w:tc>
      </w:tr>
      <w:tr>
        <w:trPr>
          <w:trHeight w:val="23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w:t>
            </w:r>
          </w:p>
        </w:tc>
      </w:tr>
      <w:tr>
        <w:trPr>
          <w:trHeight w:val="223"/>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Total lease payments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59,259</w:t>
            </w:r>
          </w:p>
        </w:tc>
      </w:tr>
      <w:tr>
        <w:trPr>
          <w:trHeight w:val="230"/>
        </w:trPr>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Amounts representing interest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r>
      <w:tr>
        <w:trPr>
          <w:trHeight w:val="223"/>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55,442</w:t>
            </w:r>
          </w:p>
        </w:tc>
      </w:tr>
      <w:tr>
        <w:trPr>
          <w:trHeight w:val="20"/>
        </w:trPr>
        <w:tc>
          <w:tcPr>
            <w:tcW w:w="7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commitments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ordinary course of business, predominantly in our Architectural Services and Architectural Framing Systems segments, we are required to provide surety or performance bonds that commit payments to our customers for any non-performance. At November 27, 2021, $1.2 billion of these types of bonds were outstanding, of which $448.0 million is in our backlog. These bonds do not have stated expiration dates. We have never been required to make payments under surety or performance bonds with respect to our existing businesses.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and project-related contingencies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reserve estimated exposures on known claims, as well as on a portion of anticipated claims, for product warranty and rework cost, based on historical product liability claims as a ratio of sales. Claim costs are deducted from the accrual when paid. Factors that could have an impact on the warranty accrual in any given period include the following: changes in manufacturing quality, changes in product mix and any significant changes in sales volume. A warranty rollforward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80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40" w:type="dxa"/>
            <w:vAlign w:val="bottom"/>
          </w:tcPr>
          <w:p>
            <w:pPr>
              <w:spacing w:after="0"/>
              <w:rPr>
                <w:sz w:val="16"/>
                <w:szCs w:val="16"/>
                <w:color w:val="auto"/>
              </w:rPr>
            </w:pPr>
          </w:p>
        </w:tc>
        <w:tc>
          <w:tcPr>
            <w:tcW w:w="142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November 28, 2020</w:t>
            </w:r>
          </w:p>
        </w:tc>
      </w:tr>
      <w:tr>
        <w:trPr>
          <w:trHeight w:val="224"/>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15,629</w:t>
            </w:r>
          </w:p>
        </w:tc>
      </w:tr>
      <w:tr>
        <w:trPr>
          <w:trHeight w:val="229"/>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Additional accruals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4,175</w:t>
            </w:r>
          </w:p>
        </w:tc>
      </w:tr>
      <w:tr>
        <w:trPr>
          <w:trHeight w:val="23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Claims paid</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w:t>
            </w:r>
          </w:p>
        </w:tc>
      </w:tr>
      <w:tr>
        <w:trPr>
          <w:trHeight w:val="223"/>
        </w:trPr>
        <w:tc>
          <w:tcPr>
            <w:tcW w:w="8000" w:type="dxa"/>
            <w:vAlign w:val="bottom"/>
            <w:gridSpan w:val="2"/>
          </w:tcPr>
          <w:p>
            <w:pPr>
              <w:ind w:left="20"/>
              <w:spacing w:after="0"/>
              <w:rPr>
                <w:sz w:val="20"/>
                <w:szCs w:val="20"/>
                <w:color w:val="auto"/>
              </w:rPr>
            </w:pPr>
            <w:r>
              <w:rPr>
                <w:rFonts w:ascii="Arial" w:cs="Arial" w:eastAsia="Arial" w:hAnsi="Arial"/>
                <w:sz w:val="18"/>
                <w:szCs w:val="18"/>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15,733</w:t>
            </w:r>
          </w:p>
        </w:tc>
      </w:tr>
      <w:tr>
        <w:trPr>
          <w:trHeight w:val="21"/>
        </w:trPr>
        <w:tc>
          <w:tcPr>
            <w:tcW w:w="7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we are subject to project management and installation-related contingencies as a result of our fixed-price material supply and installation service contracts, primarily in our Architectural Services segment and certain of our Architectural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Framing Systems businesses. We manage the risk of these exposures through contract negotiations, proactive project management and insurance coverages. The liability for these types of project-related contingencies was $0.9 million and $4.6 million as of November 27, 2021 and February 27, 2021,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November 27, 2021, we had $16.4 million of ongoing letters of credit, all of which have been issued under our committed revolving credit facility, as discussed in Note 6. We also have a $6.9 million letter of credit which has been issued outside our committed revolving credit facility, with no impact on our borrowing capacity and debt covenants.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Purchase obligations for raw material commitments and capital expenditures totaled $239.5 million as of November 27,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Markets Tax Credit (NMTC) transactions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three outstanding NMTC arrangements which help to support operational expansion. Proceeds received from investors on these transactions are included within other current and other non-current liabilities in our consolidated balance sheets. The NMTC arrangements are subject to 100 percent tax credit recapture for a period of seven years from the date of each respective transaction. Upon the termination of each arrangement, these proceeds will be recognized in earnings in exchange for the transfer of tax credits. The direct and incremental costs incurred in structuring these arrangements have been deferred and are included in other non-current assets in our consolidated balance sheets. These costs will be recognized in conjunction with the recognition of the related proceeds on each arrangement. During the construction phase for each project, we are required to hold cash dedicated to fund each capital project which is classified as restricted cash in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a summary of our outstanding NMTC transactions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80" w:type="dxa"/>
            <w:vAlign w:val="bottom"/>
            <w:gridSpan w:val="2"/>
          </w:tcPr>
          <w:p>
            <w:pPr>
              <w:ind w:left="20"/>
              <w:spacing w:after="0"/>
              <w:rPr>
                <w:sz w:val="20"/>
                <w:szCs w:val="20"/>
                <w:color w:val="auto"/>
              </w:rPr>
            </w:pPr>
            <w:r>
              <w:rPr>
                <w:rFonts w:ascii="Arial" w:cs="Arial" w:eastAsia="Arial" w:hAnsi="Arial"/>
                <w:sz w:val="16"/>
                <w:szCs w:val="16"/>
                <w:b w:val="1"/>
                <w:bCs w:val="1"/>
                <w:color w:val="auto"/>
              </w:rPr>
              <w:t>Inception date</w:t>
            </w:r>
          </w:p>
        </w:tc>
        <w:tc>
          <w:tcPr>
            <w:tcW w:w="2900" w:type="dxa"/>
            <w:vAlign w:val="bottom"/>
            <w:gridSpan w:val="2"/>
          </w:tcPr>
          <w:p>
            <w:pPr>
              <w:ind w:left="20"/>
              <w:spacing w:after="0"/>
              <w:rPr>
                <w:sz w:val="20"/>
                <w:szCs w:val="20"/>
                <w:color w:val="auto"/>
              </w:rPr>
            </w:pPr>
            <w:r>
              <w:rPr>
                <w:rFonts w:ascii="Arial" w:cs="Arial" w:eastAsia="Arial" w:hAnsi="Arial"/>
                <w:sz w:val="16"/>
                <w:szCs w:val="16"/>
                <w:b w:val="1"/>
                <w:bCs w:val="1"/>
                <w:color w:val="auto"/>
              </w:rPr>
              <w:t>Termination date</w:t>
            </w:r>
          </w:p>
        </w:tc>
        <w:tc>
          <w:tcPr>
            <w:tcW w:w="18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Proceeds received</w:t>
            </w: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Deferred costs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ind w:right="412"/>
              <w:spacing w:after="0"/>
              <w:rPr>
                <w:sz w:val="20"/>
                <w:szCs w:val="20"/>
                <w:color w:val="auto"/>
              </w:rPr>
            </w:pPr>
            <w:r>
              <w:rPr>
                <w:rFonts w:ascii="Arial" w:cs="Arial" w:eastAsia="Arial" w:hAnsi="Arial"/>
                <w:sz w:val="16"/>
                <w:szCs w:val="16"/>
                <w:b w:val="1"/>
                <w:bCs w:val="1"/>
                <w:color w:val="auto"/>
              </w:rPr>
              <w:t>Net benefit</w:t>
            </w:r>
          </w:p>
        </w:tc>
      </w:tr>
      <w:tr>
        <w:trPr>
          <w:trHeight w:val="226"/>
        </w:trPr>
        <w:tc>
          <w:tcPr>
            <w:tcW w:w="2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2016</w:t>
            </w:r>
          </w:p>
        </w:tc>
        <w:tc>
          <w:tcPr>
            <w:tcW w:w="10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2023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193"/>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August 2018</w:t>
            </w:r>
          </w:p>
        </w:tc>
        <w:tc>
          <w:tcPr>
            <w:tcW w:w="2900" w:type="dxa"/>
            <w:vAlign w:val="bottom"/>
            <w:gridSpan w:val="2"/>
          </w:tcPr>
          <w:p>
            <w:pPr>
              <w:ind w:left="20"/>
              <w:spacing w:after="0"/>
              <w:rPr>
                <w:sz w:val="20"/>
                <w:szCs w:val="20"/>
                <w:color w:val="auto"/>
              </w:rPr>
            </w:pPr>
            <w:r>
              <w:rPr>
                <w:rFonts w:ascii="Arial" w:cs="Arial" w:eastAsia="Arial" w:hAnsi="Arial"/>
                <w:sz w:val="18"/>
                <w:szCs w:val="18"/>
                <w:color w:val="auto"/>
              </w:rPr>
              <w:t>August 2025</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2018</w:t>
            </w:r>
          </w:p>
        </w:tc>
        <w:tc>
          <w:tcPr>
            <w:tcW w:w="2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2025</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1193"/>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21"/>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15"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share-based compensation expense included in the results of operations was $4.8 million for the nine-month period ended November 27, 2021 and $6.2 million for the nine-month period ended November 28,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SARs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SAR activity for the current nine-month period is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4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5"/>
        </w:trPr>
        <w:tc>
          <w:tcPr>
            <w:tcW w:w="4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Stock options and SARs</w:t>
            </w:r>
          </w:p>
        </w:tc>
        <w:tc>
          <w:tcPr>
            <w:tcW w:w="15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Remaining Contractual</w:t>
            </w: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00" w:type="dxa"/>
            <w:vAlign w:val="bottom"/>
            <w:gridSpan w:val="2"/>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6"/>
                <w:szCs w:val="16"/>
                <w:color w:val="auto"/>
              </w:rPr>
            </w:pPr>
          </w:p>
        </w:tc>
        <w:tc>
          <w:tcPr>
            <w:tcW w:w="1420" w:type="dxa"/>
            <w:vAlign w:val="bottom"/>
          </w:tcPr>
          <w:p>
            <w:pPr>
              <w:jc w:val="right"/>
              <w:ind w:right="51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February 27, 2021</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633,700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Awards exercised</w:t>
            </w:r>
          </w:p>
        </w:tc>
        <w:tc>
          <w:tcPr>
            <w:tcW w:w="1540" w:type="dxa"/>
            <w:vAlign w:val="bottom"/>
          </w:tcPr>
          <w:p>
            <w:pPr>
              <w:jc w:val="right"/>
              <w:spacing w:after="0"/>
              <w:rPr>
                <w:sz w:val="20"/>
                <w:szCs w:val="20"/>
                <w:color w:val="auto"/>
              </w:rPr>
            </w:pPr>
            <w:r>
              <w:rPr>
                <w:rFonts w:ascii="Arial" w:cs="Arial" w:eastAsia="Arial" w:hAnsi="Arial"/>
                <w:sz w:val="18"/>
                <w:szCs w:val="18"/>
                <w:color w:val="auto"/>
              </w:rPr>
              <w:t>(178,564)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Awards canceled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Outstanding at November 27, 2021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23.04</w:t>
            </w:r>
          </w:p>
        </w:tc>
        <w:tc>
          <w:tcPr>
            <w:tcW w:w="120" w:type="dxa"/>
            <w:vAlign w:val="bottom"/>
          </w:tcPr>
          <w:p>
            <w:pPr>
              <w:spacing w:after="0"/>
              <w:rPr>
                <w:sz w:val="19"/>
                <w:szCs w:val="19"/>
                <w:color w:val="auto"/>
              </w:rPr>
            </w:pPr>
          </w:p>
        </w:tc>
        <w:tc>
          <w:tcPr>
            <w:tcW w:w="1660" w:type="dxa"/>
            <w:vAlign w:val="bottom"/>
            <w:gridSpan w:val="2"/>
          </w:tcPr>
          <w:p>
            <w:pPr>
              <w:ind w:left="880"/>
              <w:spacing w:after="0"/>
              <w:rPr>
                <w:sz w:val="20"/>
                <w:szCs w:val="20"/>
                <w:color w:val="auto"/>
              </w:rPr>
            </w:pPr>
            <w:r>
              <w:rPr>
                <w:rFonts w:ascii="Arial" w:cs="Arial" w:eastAsia="Arial" w:hAnsi="Arial"/>
                <w:sz w:val="18"/>
                <w:szCs w:val="18"/>
                <w:color w:val="auto"/>
              </w:rPr>
              <w:t>8.6 years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4,694,328</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 or expected to vest at November 27, 2021</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8.6 years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4,694,328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nine-months ended November 27, 2021 and November 28, 2020, cash proceeds from the exercise of stock options were $4.1 million and $1.5 million, respectively. The aggregate intrinsic value of securities exercised (the amount by which the stock price on the date of exercise exceeded the stock price of the award on the date of grant) was $2.3 million and $1.8 million, for the nine-months ended November 27, 2021 and November 28, 2020,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fiscal 2022, the Compensation Committee of the Board of Directors implemented an executive compensation program for certain key employees. In the first quarter of fiscal 2022, we issued performance shares in the form of nonvested share unit awards, which give the recipient the right to receive shares earned at the vesting date. The number of share units issued at grant is equal to the target number of performance shares and allows for the right to receive an additional number of shares dependent on achieving a defined performance goal of return on invested capital and being employed at the end of the performance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Nonvested share awards and units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Nonvested share activity, including performance share units, for the current nine-month period is summarized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Nonvested shares and units</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7"/>
              </w:rPr>
              <w:t>Number of Shares and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133"/>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88"/>
        </w:trPr>
        <w:tc>
          <w:tcPr>
            <w:tcW w:w="8000" w:type="dxa"/>
            <w:vAlign w:val="bottom"/>
            <w:gridSpan w:val="2"/>
            <w:vMerge w:val="continue"/>
          </w:tcPr>
          <w:p>
            <w:pPr>
              <w:spacing w:after="0"/>
              <w:rPr>
                <w:sz w:val="16"/>
                <w:szCs w:val="16"/>
                <w:color w:val="auto"/>
              </w:rPr>
            </w:pPr>
          </w:p>
        </w:tc>
        <w:tc>
          <w:tcPr>
            <w:tcW w:w="1560" w:type="dxa"/>
            <w:vAlign w:val="bottom"/>
          </w:tcPr>
          <w:p>
            <w:pPr>
              <w:jc w:val="right"/>
              <w:ind w:right="535"/>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6"/>
                <w:szCs w:val="16"/>
                <w:color w:val="auto"/>
              </w:rPr>
            </w:pPr>
          </w:p>
        </w:tc>
        <w:tc>
          <w:tcPr>
            <w:tcW w:w="15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4"/>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Nonvested at February 27, 2021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475,227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29"/>
        </w:trPr>
        <w:tc>
          <w:tcPr>
            <w:tcW w:w="8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Granted</w:t>
            </w:r>
            <w:r>
              <w:rPr>
                <w:rFonts w:ascii="Arial" w:cs="Arial" w:eastAsia="Arial" w:hAnsi="Arial"/>
                <w:sz w:val="23"/>
                <w:szCs w:val="23"/>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235,028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30"/>
        </w:trPr>
        <w:tc>
          <w:tcPr>
            <w:tcW w:w="8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Canceled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Nonvested at November 27, 2021</w:t>
            </w:r>
            <w:r>
              <w:rPr>
                <w:rFonts w:ascii="Arial" w:cs="Arial" w:eastAsia="Arial" w:hAnsi="Arial"/>
                <w:sz w:val="23"/>
                <w:szCs w:val="23"/>
                <w:color w:val="auto"/>
                <w:vertAlign w:val="superscript"/>
              </w:rPr>
              <w:t>(2)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501,620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840" w:hanging="184"/>
        <w:spacing w:after="0"/>
        <w:tabs>
          <w:tab w:leader="none" w:pos="8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 total of 54,395 nonvested share units granted and outstanding at target level for the fiscal 2022-2024 performance period.</w:t>
      </w:r>
    </w:p>
    <w:p>
      <w:pPr>
        <w:spacing w:after="0" w:line="13" w:lineRule="exact"/>
        <w:rPr>
          <w:rFonts w:ascii="Arial" w:cs="Arial" w:eastAsia="Arial" w:hAnsi="Arial"/>
          <w:sz w:val="14"/>
          <w:szCs w:val="14"/>
          <w:color w:val="auto"/>
        </w:rPr>
      </w:pPr>
    </w:p>
    <w:p>
      <w:pPr>
        <w:ind w:left="860" w:hanging="204"/>
        <w:spacing w:after="0"/>
        <w:tabs>
          <w:tab w:leader="none" w:pos="8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a total of 50,825 nonvested share units granted and outstanding at target level for the fiscal 2022-2024 performance period.</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November 27, 2021, there was $11.0 million of total unrecognized compensation cost related to nonvested share and nonvested share unit awards, which is expected to be recognized over a weighted average period of approximately 28 months. The total fair value of shares vested during the nine months ended November 27, 2021 was $6.9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Canada, Brazil and other international jurisdictions. The Company is no longer subject to U.S. federal tax examinations for years prior to fiscal 2018, or state and local income tax examinations for years prior to fiscal 2013. The Company is not currently under U.S. federal examination for years subsequent to fiscal year 2017, and there is limited audit activity of the Company’s income tax returns in U.S. state jurisdictions or international jurisdictions.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liability for unrecognized tax benefits was $4.0 million at November 27, 2021, compared to $3.8 million at February 27, 2021. Penalties and interest related to unrecognized tax benefits are recorded in 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the share amounts used in the computation of basic and diluted earnings per share: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4"/>
          </w:tcPr>
          <w:p>
            <w:pPr>
              <w:ind w:left="960"/>
              <w:spacing w:after="0"/>
              <w:rPr>
                <w:sz w:val="20"/>
                <w:szCs w:val="20"/>
                <w:color w:val="auto"/>
              </w:rPr>
            </w:pPr>
            <w:r>
              <w:rPr>
                <w:rFonts w:ascii="Arial" w:cs="Arial" w:eastAsia="Arial" w:hAnsi="Arial"/>
                <w:sz w:val="14"/>
                <w:szCs w:val="14"/>
                <w:b w:val="1"/>
                <w:bCs w:val="1"/>
                <w:color w:val="auto"/>
              </w:rPr>
              <w:t>Three Months Ended</w:t>
            </w:r>
          </w:p>
        </w:tc>
        <w:tc>
          <w:tcPr>
            <w:tcW w:w="3220" w:type="dxa"/>
            <w:vAlign w:val="bottom"/>
            <w:gridSpan w:val="3"/>
          </w:tcPr>
          <w:p>
            <w:pPr>
              <w:jc w:val="right"/>
              <w:ind w:right="9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7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6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November 27, 2021</w:t>
            </w:r>
          </w:p>
        </w:tc>
        <w:tc>
          <w:tcPr>
            <w:tcW w:w="156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November 28, 2020</w:t>
            </w:r>
          </w:p>
        </w:tc>
        <w:tc>
          <w:tcPr>
            <w:tcW w:w="100" w:type="dxa"/>
            <w:vAlign w:val="bottom"/>
          </w:tcPr>
          <w:p>
            <w:pPr>
              <w:spacing w:after="0"/>
              <w:rPr>
                <w:sz w:val="16"/>
                <w:szCs w:val="16"/>
                <w:color w:val="auto"/>
              </w:rPr>
            </w:pPr>
          </w:p>
        </w:tc>
        <w:tc>
          <w:tcPr>
            <w:tcW w:w="166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November 27, 2021</w:t>
            </w:r>
          </w:p>
        </w:tc>
        <w:tc>
          <w:tcPr>
            <w:tcW w:w="156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November 28, 2020</w:t>
            </w:r>
          </w:p>
        </w:tc>
        <w:tc>
          <w:tcPr>
            <w:tcW w:w="0" w:type="dxa"/>
            <w:vAlign w:val="bottom"/>
          </w:tcPr>
          <w:p>
            <w:pPr>
              <w:spacing w:after="0"/>
              <w:rPr>
                <w:sz w:val="1"/>
                <w:szCs w:val="1"/>
                <w:color w:val="auto"/>
              </w:rPr>
            </w:pPr>
          </w:p>
        </w:tc>
      </w:tr>
      <w:tr>
        <w:trPr>
          <w:trHeight w:val="170"/>
        </w:trPr>
        <w:tc>
          <w:tcPr>
            <w:tcW w:w="46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Basic earnings per share – weighted average common shares</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24,957</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25,883</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25,166</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26,068</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w w:val="95"/>
              </w:rPr>
              <w:t>Weighted  average  effect  of  nonvested  share  grants  and</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assumed exercise of stock options</w:t>
            </w:r>
          </w:p>
        </w:tc>
        <w:tc>
          <w:tcPr>
            <w:tcW w:w="15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70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8"/>
                <w:szCs w:val="18"/>
                <w:color w:val="auto"/>
                <w:w w:val="90"/>
              </w:rPr>
              <w:t>Diluted earnings per share – weighted average common shares</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25,309</w:t>
            </w:r>
          </w:p>
        </w:tc>
        <w:tc>
          <w:tcPr>
            <w:tcW w:w="10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26,225</w:t>
            </w:r>
          </w:p>
        </w:tc>
        <w:tc>
          <w:tcPr>
            <w:tcW w:w="10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25,459</w:t>
            </w:r>
          </w:p>
        </w:tc>
        <w:tc>
          <w:tcPr>
            <w:tcW w:w="10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26,350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and potential common shares outstanding</w:t>
            </w: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jc w:val="right"/>
              <w:ind w:right="120"/>
              <w:spacing w:after="0" w:line="163" w:lineRule="exact"/>
              <w:rPr>
                <w:sz w:val="20"/>
                <w:szCs w:val="20"/>
                <w:color w:val="auto"/>
              </w:rPr>
            </w:pPr>
            <w:r>
              <w:rPr>
                <w:rFonts w:ascii="Arial" w:cs="Arial" w:eastAsia="Arial" w:hAnsi="Arial"/>
                <w:sz w:val="18"/>
                <w:szCs w:val="18"/>
                <w:color w:val="auto"/>
                <w:w w:val="96"/>
              </w:rPr>
              <w:t>Stock awards excluded from the calculation of earnings per</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700" w:type="dxa"/>
            <w:vAlign w:val="bottom"/>
            <w:gridSpan w:val="2"/>
            <w:vMerge w:val="continue"/>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70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share because the effect was anti-dilutive (award price</w:t>
            </w: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5"/>
                <w:szCs w:val="15"/>
                <w:color w:val="auto"/>
              </w:rPr>
            </w:pPr>
          </w:p>
        </w:tc>
        <w:tc>
          <w:tcPr>
            <w:tcW w:w="16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greater than average market price of the shares)</w:t>
            </w:r>
          </w:p>
        </w:tc>
        <w:tc>
          <w:tcPr>
            <w:tcW w:w="1660" w:type="dxa"/>
            <w:vAlign w:val="bottom"/>
            <w:gridSpan w:val="2"/>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vMerge w:val="continue"/>
          </w:tcPr>
          <w:p>
            <w:pPr>
              <w:spacing w:after="0"/>
              <w:rPr>
                <w:sz w:val="20"/>
                <w:szCs w:val="20"/>
                <w:color w:val="auto"/>
              </w:rPr>
            </w:pP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four reporting segments:</w:t>
      </w:r>
    </w:p>
    <w:p>
      <w:pPr>
        <w:spacing w:after="0" w:line="23" w:lineRule="exact"/>
        <w:rPr>
          <w:sz w:val="20"/>
          <w:szCs w:val="20"/>
          <w:color w:val="auto"/>
        </w:rPr>
      </w:pPr>
    </w:p>
    <w:p>
      <w:pPr>
        <w:jc w:val="both"/>
        <w:ind w:left="660" w:hanging="328"/>
        <w:spacing w:after="0" w:line="23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Framing Systems</w:t>
      </w:r>
      <w:r>
        <w:rPr>
          <w:rFonts w:ascii="Arial" w:cs="Arial" w:eastAsia="Arial" w:hAnsi="Arial"/>
          <w:sz w:val="18"/>
          <w:szCs w:val="18"/>
          <w:color w:val="auto"/>
        </w:rPr>
        <w:t xml:space="preserve"> segment designs, engineers, fabricates and finishes the aluminum frames used in customized aluminum and glass window, curtainwall, storefront and entrance systems comprising the outside skin and entrances of commercial, institutional and high-end multi-family residential buildings.</w:t>
      </w:r>
    </w:p>
    <w:p>
      <w:pPr>
        <w:spacing w:after="0" w:line="1"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Glass</w:t>
      </w:r>
      <w:r>
        <w:rPr>
          <w:rFonts w:ascii="Arial" w:cs="Arial" w:eastAsia="Arial" w:hAnsi="Arial"/>
          <w:sz w:val="18"/>
          <w:szCs w:val="18"/>
          <w:color w:val="auto"/>
        </w:rPr>
        <w:t xml:space="preserve"> segment fabricates coated, high-performance glass used globally in customized window and wall systems comprising the outside skin of commercial, institutional and high-end multi-family residential buildings.</w:t>
      </w: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Architectural Services</w:t>
      </w:r>
      <w:r>
        <w:rPr>
          <w:rFonts w:ascii="Arial" w:cs="Arial" w:eastAsia="Arial" w:hAnsi="Arial"/>
          <w:sz w:val="18"/>
          <w:szCs w:val="18"/>
          <w:color w:val="auto"/>
        </w:rPr>
        <w:t xml:space="preserve"> segment provides full-service installation of the walls of glass, windows and other curtainwall products making up the outside skin of commercial and institutional buildings.</w:t>
      </w: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Large-Scale Optical (LSO)</w:t>
      </w:r>
      <w:r>
        <w:rPr>
          <w:rFonts w:ascii="Arial" w:cs="Arial" w:eastAsia="Arial" w:hAnsi="Arial"/>
          <w:sz w:val="16"/>
          <w:szCs w:val="16"/>
          <w:color w:val="auto"/>
        </w:rPr>
        <w:t xml:space="preserve"> segment manufactures value-added glass and acrylic products primarily for framing and display applications.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6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3060" w:type="dxa"/>
            <w:vAlign w:val="bottom"/>
            <w:gridSpan w:val="4"/>
          </w:tcPr>
          <w:p>
            <w:pPr>
              <w:jc w:val="right"/>
              <w:ind w:right="9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47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November 28, 2020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4"/>
              </w:rPr>
              <w:t>November 28, 2020</w:t>
            </w:r>
          </w:p>
        </w:tc>
        <w:tc>
          <w:tcPr>
            <w:tcW w:w="0" w:type="dxa"/>
            <w:vAlign w:val="bottom"/>
          </w:tcPr>
          <w:p>
            <w:pPr>
              <w:spacing w:after="0"/>
              <w:rPr>
                <w:sz w:val="1"/>
                <w:szCs w:val="1"/>
                <w:color w:val="auto"/>
              </w:rPr>
            </w:pPr>
          </w:p>
        </w:tc>
      </w:tr>
      <w:tr>
        <w:trPr>
          <w:trHeight w:val="224"/>
        </w:trPr>
        <w:tc>
          <w:tcPr>
            <w:tcW w:w="4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Architectural Framing Systems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151,665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136,688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453,476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439,779</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Glass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248,274</w:t>
            </w:r>
          </w:p>
        </w:tc>
        <w:tc>
          <w:tcPr>
            <w:tcW w:w="0" w:type="dxa"/>
            <w:vAlign w:val="bottom"/>
          </w:tcPr>
          <w:p>
            <w:pPr>
              <w:spacing w:after="0"/>
              <w:rPr>
                <w:sz w:val="1"/>
                <w:szCs w:val="1"/>
                <w:color w:val="auto"/>
              </w:rPr>
            </w:pPr>
          </w:p>
        </w:tc>
      </w:tr>
      <w:tr>
        <w:trPr>
          <w:trHeight w:val="230"/>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Architectural Services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91,971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76,690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250,657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213,911</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Large-Scale Optical</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48,438</w:t>
            </w: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Intersegment eliminations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(28,240)</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986,020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922,162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Framing Systems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26,211</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Architectural Glass</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15,306</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Architectural Services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29"/>
        </w:trPr>
        <w:tc>
          <w:tcPr>
            <w:tcW w:w="470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Large-Scale Optical</w:t>
            </w:r>
            <w:r>
              <w:rPr>
                <w:rFonts w:ascii="Arial" w:cs="Arial" w:eastAsia="Arial" w:hAnsi="Arial"/>
                <w:sz w:val="23"/>
                <w:szCs w:val="23"/>
                <w:color w:val="auto"/>
                <w:vertAlign w:val="superscript"/>
              </w:rPr>
              <w:t>(2)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25,131</w:t>
            </w:r>
          </w:p>
        </w:tc>
        <w:tc>
          <w:tcPr>
            <w:tcW w:w="0" w:type="dxa"/>
            <w:vAlign w:val="bottom"/>
          </w:tcPr>
          <w:p>
            <w:pPr>
              <w:spacing w:after="0"/>
              <w:rPr>
                <w:sz w:val="1"/>
                <w:szCs w:val="1"/>
                <w:color w:val="auto"/>
              </w:rPr>
            </w:pPr>
          </w:p>
        </w:tc>
      </w:tr>
      <w:tr>
        <w:trPr>
          <w:trHeight w:val="230"/>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0" w:type="dxa"/>
            <w:vAlign w:val="bottom"/>
          </w:tcPr>
          <w:p>
            <w:pPr>
              <w:spacing w:after="0"/>
              <w:rPr>
                <w:sz w:val="1"/>
                <w:szCs w:val="1"/>
                <w:color w:val="auto"/>
              </w:rPr>
            </w:pPr>
          </w:p>
        </w:tc>
      </w:tr>
      <w:tr>
        <w:trPr>
          <w:trHeight w:val="223"/>
        </w:trPr>
        <w:tc>
          <w:tcPr>
            <w:tcW w:w="4700" w:type="dxa"/>
            <w:vAlign w:val="bottom"/>
            <w:gridSpan w:val="2"/>
          </w:tcPr>
          <w:p>
            <w:pPr>
              <w:ind w:left="48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30,684</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79,433</w:t>
            </w:r>
          </w:p>
        </w:tc>
        <w:tc>
          <w:tcPr>
            <w:tcW w:w="0" w:type="dxa"/>
            <w:vAlign w:val="bottom"/>
          </w:tcPr>
          <w:p>
            <w:pPr>
              <w:spacing w:after="0"/>
              <w:rPr>
                <w:sz w:val="1"/>
                <w:szCs w:val="1"/>
                <w:color w:val="auto"/>
              </w:rPr>
            </w:pPr>
          </w:p>
        </w:tc>
      </w:tr>
      <w:tr>
        <w:trPr>
          <w:trHeight w:val="21"/>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220" w:hanging="194"/>
        <w:spacing w:after="0"/>
        <w:tabs>
          <w:tab w:leader="none" w:pos="2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Architectural Glass operating loss amounts for the three- and nine-month periods ended November 27, 2021 include $3.5 million and $20.9 million of restructuring related costs, respectively.</w:t>
      </w:r>
    </w:p>
    <w:p>
      <w:pPr>
        <w:spacing w:after="0" w:line="39" w:lineRule="exact"/>
        <w:rPr>
          <w:rFonts w:ascii="Arial" w:cs="Arial" w:eastAsia="Arial" w:hAnsi="Arial"/>
          <w:sz w:val="13"/>
          <w:szCs w:val="13"/>
          <w:color w:val="auto"/>
        </w:rPr>
      </w:pPr>
    </w:p>
    <w:p>
      <w:pPr>
        <w:ind w:left="220" w:hanging="194"/>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LSO operating income amounts for the three- and nine-month periods ended November 28, 2020 include a $19.3 million gain on the sale-lease back of a building.</w:t>
      </w: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varying combinations and integration of individual window, storefront and curtainwall systems, it is impractical to report product revenues generated by class of product, beyond the segment revenues currently reported.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24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On August 11, 2021, we announced plans to realign and simplify our business structure. For the three- and nine-month periods ended November 27, 2021, we incurred $3.4 million and $24.2 million, respectively, of pre-tax costs associated with the execution of these plans, of which $3.6 million and $22.1 million are included within cost of sales and $(0.2) million and $2.1 million are included within selling, general and administrative expenses within our consolidated statements of operations. These costs primarily related to asset impairment charges due to the closure of two facilities within the Architectural Glass segment, in Dallas, Texas and Statesboro, Georgia, which closures were made in order to concentrate this segment on premium, high-performance products. Additionally, employee termination costs were incurred related to these facility closures, realignment of the Architectural Framing Systems segment, and within the Corporate office. We expect future pre-tax costs associated with the ongoing execution of these plans to be approximately $2 to $3 million, which we expect will be incurred during the fourth quarter of our fiscal year 2022. At the end of the third quarter of fiscal 2022, $9.3 million of assets were classified as held for sale on the consolidated balance sheets related to the building and related equipment of our Statesboro, Georgia facility within the Architectural Glass segment.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Three Months Ended November 27, 2021</w:t>
            </w:r>
          </w:p>
        </w:tc>
        <w:tc>
          <w:tcPr>
            <w:tcW w:w="1360" w:type="dxa"/>
            <w:vAlign w:val="bottom"/>
            <w:tcBorders>
              <w:bottom w:val="single" w:sz="8" w:color="auto"/>
            </w:tcBorders>
          </w:tcPr>
          <w:p>
            <w:pPr>
              <w:spacing w:after="0"/>
              <w:rPr>
                <w:sz w:val="16"/>
                <w:szCs w:val="16"/>
                <w:color w:val="auto"/>
              </w:rPr>
            </w:pPr>
          </w:p>
        </w:tc>
      </w:tr>
      <w:tr>
        <w:trPr>
          <w:trHeight w:val="186"/>
        </w:trPr>
        <w:tc>
          <w:tcPr>
            <w:tcW w:w="47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Architectural Framing</w:t>
            </w:r>
          </w:p>
        </w:tc>
        <w:tc>
          <w:tcPr>
            <w:tcW w:w="1600" w:type="dxa"/>
            <w:vAlign w:val="bottom"/>
          </w:tcPr>
          <w:p>
            <w:pPr>
              <w:ind w:left="180"/>
              <w:spacing w:after="0"/>
              <w:rPr>
                <w:sz w:val="20"/>
                <w:szCs w:val="20"/>
                <w:color w:val="auto"/>
              </w:rPr>
            </w:pPr>
            <w:r>
              <w:rPr>
                <w:rFonts w:ascii="Arial" w:cs="Arial" w:eastAsia="Arial" w:hAnsi="Arial"/>
                <w:sz w:val="14"/>
                <w:szCs w:val="14"/>
                <w:b w:val="1"/>
                <w:bCs w:val="1"/>
                <w:color w:val="auto"/>
              </w:rPr>
              <w:t>Architectural Glass</w:t>
            </w:r>
          </w:p>
        </w:tc>
        <w:tc>
          <w:tcPr>
            <w:tcW w:w="1920" w:type="dxa"/>
            <w:vAlign w:val="bottom"/>
          </w:tcPr>
          <w:p>
            <w:pPr>
              <w:ind w:left="200"/>
              <w:spacing w:after="0"/>
              <w:rPr>
                <w:sz w:val="20"/>
                <w:szCs w:val="20"/>
                <w:color w:val="auto"/>
              </w:rPr>
            </w:pPr>
            <w:r>
              <w:rPr>
                <w:rFonts w:ascii="Arial" w:cs="Arial" w:eastAsia="Arial" w:hAnsi="Arial"/>
                <w:sz w:val="14"/>
                <w:szCs w:val="14"/>
                <w:b w:val="1"/>
                <w:bCs w:val="1"/>
                <w:color w:val="auto"/>
              </w:rPr>
              <w:t>Corporate and other</w:t>
            </w: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Total</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gridSpan w:val="2"/>
            <w:shd w:val="clear" w:color="auto" w:fill="CCEEFF"/>
          </w:tcPr>
          <w:p>
            <w:pPr>
              <w:jc w:val="right"/>
              <w:ind w:right="4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29"/>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Termination benefits</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1,445</w:t>
            </w:r>
          </w:p>
        </w:tc>
      </w:tr>
      <w:tr>
        <w:trPr>
          <w:trHeight w:val="23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restructuring charges</w:t>
            </w:r>
          </w:p>
        </w:tc>
        <w:tc>
          <w:tcPr>
            <w:tcW w:w="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2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Total restructuring charges</w:t>
            </w:r>
          </w:p>
        </w:tc>
        <w:tc>
          <w:tcPr>
            <w:tcW w:w="60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w:t>
            </w:r>
          </w:p>
        </w:tc>
      </w:tr>
      <w:tr>
        <w:trPr>
          <w:trHeight w:val="21"/>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40"/>
        </w:trPr>
        <w:tc>
          <w:tcPr>
            <w:tcW w:w="4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ind w:left="240"/>
              <w:spacing w:after="0"/>
              <w:rPr>
                <w:sz w:val="20"/>
                <w:szCs w:val="20"/>
                <w:color w:val="auto"/>
              </w:rPr>
            </w:pPr>
            <w:r>
              <w:rPr>
                <w:rFonts w:ascii="Arial" w:cs="Arial" w:eastAsia="Arial" w:hAnsi="Arial"/>
                <w:sz w:val="14"/>
                <w:szCs w:val="14"/>
                <w:b w:val="1"/>
                <w:bCs w:val="1"/>
                <w:color w:val="auto"/>
              </w:rPr>
              <w:t>Nine Months Ended November 27, 2021</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88"/>
        </w:trPr>
        <w:tc>
          <w:tcPr>
            <w:tcW w:w="4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6"/>
                <w:szCs w:val="16"/>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Architectural Framing</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Architectural Glass</w:t>
            </w:r>
          </w:p>
        </w:tc>
        <w:tc>
          <w:tcPr>
            <w:tcW w:w="140" w:type="dxa"/>
            <w:vAlign w:val="bottom"/>
          </w:tcPr>
          <w:p>
            <w:pPr>
              <w:spacing w:after="0"/>
              <w:rPr>
                <w:sz w:val="16"/>
                <w:szCs w:val="16"/>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Corporate and other</w:t>
            </w:r>
          </w:p>
        </w:tc>
        <w:tc>
          <w:tcPr>
            <w:tcW w:w="38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24"/>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16,638</w:t>
            </w:r>
          </w:p>
        </w:tc>
      </w:tr>
      <w:tr>
        <w:trPr>
          <w:trHeight w:val="229"/>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Termination benefits</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5,784</w:t>
            </w:r>
          </w:p>
        </w:tc>
      </w:tr>
      <w:tr>
        <w:trPr>
          <w:trHeight w:val="22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restructuring charges</w:t>
            </w:r>
          </w:p>
        </w:tc>
        <w:tc>
          <w:tcPr>
            <w:tcW w:w="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r>
      <w:tr>
        <w:trPr>
          <w:trHeight w:val="223"/>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Total restructuring charges</w:t>
            </w: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ind w:right="3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24,233</w:t>
            </w:r>
          </w:p>
        </w:tc>
      </w:tr>
      <w:tr>
        <w:trPr>
          <w:trHeight w:val="21"/>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summarizes our restructuring related accrual balances included within accrued payroll and related costs and other current liabilities in the consolidated balance sheets. All balances are expected to be paid within the current fiscal year.</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Architectural Framing</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Architectural Glass</w:t>
            </w:r>
          </w:p>
        </w:tc>
        <w:tc>
          <w:tcPr>
            <w:tcW w:w="140" w:type="dxa"/>
            <w:vAlign w:val="bottom"/>
          </w:tcPr>
          <w:p>
            <w:pPr>
              <w:spacing w:after="0"/>
              <w:rPr>
                <w:sz w:val="16"/>
                <w:szCs w:val="16"/>
                <w:color w:val="auto"/>
              </w:rPr>
            </w:pPr>
          </w:p>
        </w:tc>
        <w:tc>
          <w:tcPr>
            <w:tcW w:w="1520" w:type="dxa"/>
            <w:vAlign w:val="bottom"/>
            <w:gridSpan w:val="2"/>
          </w:tcPr>
          <w:p>
            <w:pPr>
              <w:spacing w:after="0"/>
              <w:rPr>
                <w:sz w:val="20"/>
                <w:szCs w:val="20"/>
                <w:color w:val="auto"/>
              </w:rPr>
            </w:pPr>
            <w:r>
              <w:rPr>
                <w:rFonts w:ascii="Arial" w:cs="Arial" w:eastAsia="Arial" w:hAnsi="Arial"/>
                <w:sz w:val="14"/>
                <w:szCs w:val="14"/>
                <w:b w:val="1"/>
                <w:bCs w:val="1"/>
                <w:color w:val="auto"/>
              </w:rPr>
              <w:t>Corporate and other</w:t>
            </w:r>
          </w:p>
        </w:tc>
        <w:tc>
          <w:tcPr>
            <w:tcW w:w="38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1, 2020</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Restructuring expense</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4,574</w:t>
            </w:r>
          </w:p>
        </w:tc>
      </w:tr>
      <w:tr>
        <w:trPr>
          <w:trHeight w:val="22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5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r>
      <w:tr>
        <w:trPr>
          <w:trHeight w:val="223"/>
        </w:trPr>
        <w:tc>
          <w:tcPr>
            <w:tcW w:w="47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February 27, 2021</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3,263</w:t>
            </w:r>
          </w:p>
        </w:tc>
      </w:tr>
      <w:tr>
        <w:trPr>
          <w:trHeight w:val="229"/>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expense</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w:t>
            </w:r>
          </w:p>
        </w:tc>
      </w:tr>
      <w:tr>
        <w:trPr>
          <w:trHeight w:val="230"/>
        </w:trPr>
        <w:tc>
          <w:tcPr>
            <w:tcW w:w="4720" w:type="dxa"/>
            <w:vAlign w:val="bottom"/>
            <w:gridSpan w:val="2"/>
          </w:tcPr>
          <w:p>
            <w:pPr>
              <w:ind w:left="20"/>
              <w:spacing w:after="0"/>
              <w:rPr>
                <w:sz w:val="20"/>
                <w:szCs w:val="20"/>
                <w:color w:val="auto"/>
              </w:rPr>
            </w:pPr>
            <w:r>
              <w:rPr>
                <w:rFonts w:ascii="Arial" w:cs="Arial" w:eastAsia="Arial" w:hAnsi="Arial"/>
                <w:sz w:val="18"/>
                <w:szCs w:val="18"/>
                <w:color w:val="auto"/>
              </w:rPr>
              <w:t>Payments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(3,798)</w:t>
            </w:r>
          </w:p>
        </w:tc>
      </w:tr>
      <w:tr>
        <w:trPr>
          <w:trHeight w:val="23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adjustments</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23"/>
        </w:trPr>
        <w:tc>
          <w:tcPr>
            <w:tcW w:w="472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November 27, 2021</w:t>
            </w:r>
          </w:p>
        </w:tc>
        <w:tc>
          <w:tcPr>
            <w:tcW w:w="5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3,285</w:t>
            </w: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4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have evaluated subsequent events for potential recognition and disclosure through the date of this filing. Subsequent to the end of the quarter, we purchased 484,646 shares of stock under our authorized share repurchase program, at a total cost of $22.3 million.</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In December 2021, we sold all of the property and assets at the Architectural Glass segment’s Statesboro, Georgia manufacturing facility for $29.1 million. The carrying value of the building and related equipment was $9.3 million. We will recognize a gain on this sale of approximately $19.0 million, net of associated transaction costs, which will be included as a reduction of cost of sales within our consolidated statements of operations for the fourth quarter of fiscal 2022.</w:t>
      </w:r>
    </w:p>
    <w:p>
      <w:pPr>
        <w:spacing w:after="0" w:line="21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This Quarterly Report on Form 10-Q, including the section Management’s Discussion and Analysis of Financial Condition and Results of Operations,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"will," "continue"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From time to time, we may also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Accordingly, we wish to caution investors that any forward-looking statements made by or on behalf of the Company are subject to uncertainties and other factors that could cause actual results to differ materially from such statements. Information about factors that could materially affect our results can be found in the “Risk Factors” section of our Annual Report on Form 10-K for the year ended February 27, 2021 and in subsequent filings with the U.S. Securities and Exchange Commission, including this Quarterly Report on Form 10-Q.</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We are a leader in the design and development of value-added glass and metal products and services for enclosing commercial buildings and framing and displays. Our four reporting segments are: Architectural Framing Systems, Architectural Glass, Architectural Services and Large-Scale Optical (LSO).</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selected financial data should be read in conjunction with the Company’s Form 10-K for the year ended February 27, 2021 and the consolidated financial statements, including the notes to consolidated financial statements, included therein.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Third Quarter of Fiscal 2022 Compared to Third Quarter of Fiscal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Consolidated net sales increased 6.6 percent, or $20.6 million, and increased 6.9 percent, or $63.9 million, for the three- and nine-month periods ended November 27, 2021, compared to the same periods in the prior year, primarily driven by volume growth in the Architectural Services and LSO segments, as well as, flow-through from pricing actions taken to offset inflation within the Architectural Framing segment. LSO was closed for most of the first and second quarters of fiscal 2021, due to COVID-19.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relationship between various components of operations, as a percentage of net sales, is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3500" w:type="dxa"/>
            <w:vAlign w:val="bottom"/>
            <w:gridSpan w:val="4"/>
          </w:tcPr>
          <w:p>
            <w:pPr>
              <w:ind w:left="1040"/>
              <w:spacing w:after="0"/>
              <w:rPr>
                <w:sz w:val="20"/>
                <w:szCs w:val="20"/>
                <w:color w:val="auto"/>
              </w:rPr>
            </w:pPr>
            <w:r>
              <w:rPr>
                <w:rFonts w:ascii="Arial" w:cs="Arial" w:eastAsia="Arial" w:hAnsi="Arial"/>
                <w:sz w:val="14"/>
                <w:szCs w:val="14"/>
                <w:b w:val="1"/>
                <w:bCs w:val="1"/>
                <w:color w:val="auto"/>
              </w:rPr>
              <w:t>Three Months Ended</w:t>
            </w:r>
          </w:p>
        </w:tc>
        <w:tc>
          <w:tcPr>
            <w:tcW w:w="3380" w:type="dxa"/>
            <w:vAlign w:val="bottom"/>
            <w:gridSpan w:val="3"/>
          </w:tcPr>
          <w:p>
            <w:pPr>
              <w:jc w:val="right"/>
              <w:ind w:right="992"/>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4360" w:type="dxa"/>
            <w:vAlign w:val="bottom"/>
          </w:tcPr>
          <w:p>
            <w:pPr>
              <w:spacing w:after="0"/>
              <w:rPr>
                <w:sz w:val="16"/>
                <w:szCs w:val="16"/>
                <w:color w:val="auto"/>
              </w:rPr>
            </w:pPr>
          </w:p>
        </w:tc>
        <w:tc>
          <w:tcPr>
            <w:tcW w:w="1740" w:type="dxa"/>
            <w:vAlign w:val="bottom"/>
            <w:tcBorders>
              <w:top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November 27, 2021</w:t>
            </w:r>
          </w:p>
        </w:tc>
        <w:tc>
          <w:tcPr>
            <w:tcW w:w="164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November 28, 2020</w:t>
            </w:r>
          </w:p>
        </w:tc>
        <w:tc>
          <w:tcPr>
            <w:tcW w:w="120" w:type="dxa"/>
            <w:vAlign w:val="bottom"/>
          </w:tcPr>
          <w:p>
            <w:pPr>
              <w:spacing w:after="0"/>
              <w:rPr>
                <w:sz w:val="16"/>
                <w:szCs w:val="16"/>
                <w:color w:val="auto"/>
              </w:rPr>
            </w:pPr>
          </w:p>
        </w:tc>
        <w:tc>
          <w:tcPr>
            <w:tcW w:w="1740" w:type="dxa"/>
            <w:vAlign w:val="bottom"/>
            <w:tcBorders>
              <w:top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November 27, 2021</w:t>
            </w:r>
          </w:p>
        </w:tc>
        <w:tc>
          <w:tcPr>
            <w:tcW w:w="164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November 28, 2020</w:t>
            </w:r>
          </w:p>
        </w:tc>
      </w:tr>
      <w:tr>
        <w:trPr>
          <w:trHeight w:val="224"/>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6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77.8</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77.7</w:t>
            </w:r>
          </w:p>
        </w:tc>
      </w:tr>
      <w:tr>
        <w:trPr>
          <w:trHeight w:val="223"/>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1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22.3</w:t>
            </w:r>
          </w:p>
        </w:tc>
      </w:tr>
      <w:tr>
        <w:trPr>
          <w:trHeight w:val="230"/>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13.7</w:t>
            </w:r>
          </w:p>
        </w:tc>
      </w:tr>
      <w:tr>
        <w:trPr>
          <w:trHeight w:val="223"/>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6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8.6</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40" w:type="dxa"/>
            <w:vAlign w:val="bottom"/>
          </w:tcPr>
          <w:p>
            <w:pPr>
              <w:jc w:val="right"/>
              <w:ind w:right="13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620" w:type="dxa"/>
            <w:vAlign w:val="bottom"/>
          </w:tcPr>
          <w:p>
            <w:pPr>
              <w:jc w:val="right"/>
              <w:ind w:right="133"/>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0.5</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6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Earnings before income taxes</w:t>
            </w:r>
          </w:p>
        </w:tc>
        <w:tc>
          <w:tcPr>
            <w:tcW w:w="1640" w:type="dxa"/>
            <w:vAlign w:val="bottom"/>
          </w:tcPr>
          <w:p>
            <w:pPr>
              <w:jc w:val="right"/>
              <w:ind w:right="13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1620" w:type="dxa"/>
            <w:vAlign w:val="bottom"/>
          </w:tcPr>
          <w:p>
            <w:pPr>
              <w:jc w:val="right"/>
              <w:ind w:right="133"/>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640" w:type="dxa"/>
            <w:vAlign w:val="bottom"/>
          </w:tcPr>
          <w:p>
            <w:pPr>
              <w:jc w:val="right"/>
              <w:ind w:right="132"/>
              <w:spacing w:after="0"/>
              <w:rPr>
                <w:sz w:val="20"/>
                <w:szCs w:val="20"/>
                <w:color w:val="auto"/>
              </w:rPr>
            </w:pPr>
            <w:r>
              <w:rPr>
                <w:rFonts w:ascii="Arial" w:cs="Arial" w:eastAsia="Arial" w:hAnsi="Arial"/>
                <w:sz w:val="18"/>
                <w:szCs w:val="18"/>
                <w:color w:val="auto"/>
              </w:rPr>
              <w:t>8.2</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r>
      <w:tr>
        <w:trPr>
          <w:trHeight w:val="223"/>
        </w:trPr>
        <w:tc>
          <w:tcPr>
            <w:tcW w:w="4360" w:type="dxa"/>
            <w:vAlign w:val="bottom"/>
          </w:tcPr>
          <w:p>
            <w:pPr>
              <w:ind w:left="360"/>
              <w:spacing w:after="0"/>
              <w:rPr>
                <w:sz w:val="20"/>
                <w:szCs w:val="20"/>
                <w:color w:val="auto"/>
              </w:rPr>
            </w:pPr>
            <w:r>
              <w:rPr>
                <w:rFonts w:ascii="Arial" w:cs="Arial" w:eastAsia="Arial" w:hAnsi="Arial"/>
                <w:sz w:val="18"/>
                <w:szCs w:val="18"/>
                <w:color w:val="auto"/>
              </w:rPr>
              <w:t>Net earnings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11.9 %</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6.2 %</w:t>
            </w: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3"/>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23.8 %</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Gross profit as a percent of sales (gross margin) was 19.4 percent and 18.3 percent for the three- and nine-month periods ended November 27, 2021, compared to 22.2 percent and 22.3 percent for the three- and nine-month periods ended November 28, 2020. Gross margin decreased in the current year three- and nine-month periods compared to the prior year, primarily due to $3.6 million and $22.1 million of restructuring charges included in cost of goods sold incurred during the three- and nine-month periods of the current fiscal year, as well as inflationary pressure on raw materials and freight within the Architectural Glass and Architectural Framing Systems segments. These costs were partially offset by positive impacts from continued recovery of the LSO segment (which closed for most of the first and second quarters last year, based on COVID-related government directives).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expenses</w:t>
      </w:r>
    </w:p>
    <w:p>
      <w:pPr>
        <w:spacing w:after="0" w:line="1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SG&amp;A expenses as a percent of sales were 14.1 percent and 15.2 percent for the three- and nine-month periods ended November 27, 2021, compared to 6.3 percent and 13.7 percent for the prior year three- and nine-month periods. SG&amp;A expenses in the three- and nine-month periods ended November 27, 2021, included increased Corporate and other costs, primarily related to investments in transformation initiatives in the current year periods and higher health care costs in the current year compared to the prior-year periods. Additionally, SG&amp;A expenses in the prior year third quarter were reduced by a $19.3 million gain on the sale-leaseback of a building and $7.4 million of income related to a New Markets Tax Credit transaction, driving lower SG&amp;A expenses as a percent of sales in the prior year three- and nine-month periods. In addition, we recognized a benefit of $1.0 million and $5.5 million during the three- and nine-month periods ended November 27, 2021, respectively, compared to $4.2 million and $5.5 million in the prior year three- and nine-month periods, from a Canadian wage subsidy program offered to support Canadian businesses due to the ongoing impacts of the COVID-19 pandemic.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effective income tax rate in the third quarter of fiscal 2022 was 21.7 percent, compared to 23.5 percent in the same period last year, and 19.6 percent for the first nine months of fiscal 2022, compared to 23.8 percent in the prior year period. The rate decrease was primarily related to lower year-to-date net income, as well as, the release of a $1.2 million valuation allowance on certain state net operating losses, which is the result of a realignment and simplification of our business and legal-entity structure during the second quarter of fiscal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Analysis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Framing Systems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1180" w:type="dxa"/>
            <w:vAlign w:val="bottom"/>
            <w:tcBorders>
              <w:bottom w:val="single" w:sz="8" w:color="auto"/>
            </w:tcBorders>
          </w:tcPr>
          <w:p>
            <w:pPr>
              <w:spacing w:after="0"/>
              <w:rPr>
                <w:sz w:val="16"/>
                <w:szCs w:val="16"/>
                <w:color w:val="auto"/>
              </w:rPr>
            </w:pPr>
          </w:p>
        </w:tc>
      </w:tr>
      <w:tr>
        <w:trPr>
          <w:trHeight w:val="187"/>
        </w:trPr>
        <w:tc>
          <w:tcPr>
            <w:tcW w:w="21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6"/>
                <w:szCs w:val="16"/>
                <w:color w:val="auto"/>
              </w:rPr>
            </w:pPr>
          </w:p>
        </w:tc>
        <w:tc>
          <w:tcPr>
            <w:tcW w:w="140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November 27, 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28, 2020</w:t>
            </w: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November 27, 2021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28, 2020</w:t>
            </w:r>
          </w:p>
        </w:tc>
        <w:tc>
          <w:tcPr>
            <w:tcW w:w="1180" w:type="dxa"/>
            <w:vAlign w:val="bottom"/>
          </w:tcPr>
          <w:p>
            <w:pPr>
              <w:jc w:val="right"/>
              <w:ind w:right="17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2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151,665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136,688</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453,476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439,779</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29"/>
        </w:trPr>
        <w:tc>
          <w:tcPr>
            <w:tcW w:w="210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8"/>
                <w:szCs w:val="18"/>
                <w:color w:val="auto"/>
              </w:rPr>
              <w:t>10,689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7,218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27,027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26,211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30"/>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bl>
    <w:p>
      <w:pPr>
        <w:spacing w:after="0" w:line="35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Architectural Framing Systems net sales increased $15.0 million, or 11.0 percent, and increased $13.7 million, or 3.1 percent for the three- and nine-month periods ended November 27, 2021, compared to the prior-year periods, primarily driven by flow-through from pricing actions taken to offset inflation.</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Operating margin increased 170 basis points for the three-month period of the current year, compared to the same period in the prior year, primarily driven by improved pricing and the benefits from restructuring actions, which offset increased costs for materials, freight and labor. As previously announced, the segment incurred restructuring-related termination costs in the second and third quarters of the current fiscal year related to realignment of the segment to increase focus on target markets, better serve customers, improve operational execution, and reduce overall costs. Operating margin was 6.0 percent for the nine-month periods in the current and prior fiscal years. In addition, this segment benefited from a Canadian wage subsidy of $1.0 million and $5.5 million during the three- and nine-month periods ended November 27, 2021, respectively, compared to $4.2 million and $5.5 million in the prior-year three- and nine-month periods, respectively, as a result of a program to support Canadian businesses due to the ongoing impacts of the COVID-19 pandemic.</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November 27, 2021, segment backlog was approximately $419 million, compared to approximately $406 million at the end of the prior quarter. Backlog represents the dollar amount of signed contracts or firm orders, generally as a result of a competitive bidding process, which may be expected to be recognized as revenue in the future. Backlog is not a term defined under U.S. GAAP and is not a measure of contract profitability. We view backlog as one indicator of future revenues, particularly in our longer-lead time businesses. In addition to backlog, we have a substantial amount of projects with short lead times that book-and-bill within the same reporting period and are not included in backlog. We have strong visibility beyond backlog, as projects awarded, verbal commitments and bidding activities are not included in backlog.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Glass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tcBorders>
              <w:bottom w:val="single" w:sz="8" w:color="auto"/>
            </w:tcBorders>
          </w:tcPr>
          <w:p>
            <w:pPr>
              <w:spacing w:after="0"/>
              <w:rPr>
                <w:sz w:val="16"/>
                <w:szCs w:val="16"/>
                <w:color w:val="auto"/>
              </w:rPr>
            </w:pPr>
          </w:p>
        </w:tc>
      </w:tr>
      <w:tr>
        <w:trPr>
          <w:trHeight w:val="187"/>
        </w:trPr>
        <w:tc>
          <w:tcPr>
            <w:tcW w:w="212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6"/>
                <w:szCs w:val="16"/>
                <w:color w:val="auto"/>
              </w:rPr>
            </w:pPr>
          </w:p>
        </w:tc>
        <w:tc>
          <w:tcPr>
            <w:tcW w:w="140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November 27, 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28, 2020</w:t>
            </w:r>
          </w:p>
        </w:tc>
        <w:tc>
          <w:tcPr>
            <w:tcW w:w="1160" w:type="dxa"/>
            <w:vAlign w:val="bottom"/>
          </w:tcPr>
          <w:p>
            <w:pPr>
              <w:jc w:val="right"/>
              <w:ind w:right="17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115"/>
              <w:spacing w:after="0"/>
              <w:rPr>
                <w:sz w:val="20"/>
                <w:szCs w:val="20"/>
                <w:color w:val="auto"/>
              </w:rPr>
            </w:pPr>
            <w:r>
              <w:rPr>
                <w:rFonts w:ascii="Arial" w:cs="Arial" w:eastAsia="Arial" w:hAnsi="Arial"/>
                <w:sz w:val="14"/>
                <w:szCs w:val="14"/>
                <w:b w:val="1"/>
                <w:bCs w:val="1"/>
                <w:color w:val="auto"/>
                <w:w w:val="96"/>
              </w:rPr>
              <w:t>November 27, 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28, 2020</w:t>
            </w: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2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74,289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84,779</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236,693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248,274</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Operating (loss) income</w:t>
            </w:r>
          </w:p>
        </w:tc>
        <w:tc>
          <w:tcPr>
            <w:tcW w:w="160" w:type="dxa"/>
            <w:vAlign w:val="bottom"/>
          </w:tcPr>
          <w:p>
            <w:pPr>
              <w:spacing w:after="0"/>
              <w:rPr>
                <w:sz w:val="19"/>
                <w:szCs w:val="19"/>
                <w:color w:val="auto"/>
              </w:rPr>
            </w:pPr>
          </w:p>
        </w:tc>
        <w:tc>
          <w:tcPr>
            <w:tcW w:w="1400" w:type="dxa"/>
            <w:vAlign w:val="bottom"/>
          </w:tcPr>
          <w:p>
            <w:pPr>
              <w:jc w:val="right"/>
              <w:ind w:right="95"/>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10,825</w:t>
            </w: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9"/>
                <w:szCs w:val="19"/>
                <w:color w:val="auto"/>
              </w:rPr>
            </w:pP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(16,143)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15,306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decreased $10.5 million, or 12.4 percent, and $11.6 million, or 4.7 percent, for the three- and nine-month periods ended November 27, 2021, compared to the same periods in the prior year, primarily reflecting lower volume due to weaker order backlog from fiscal year 2021, partially offset by an improved sales mix.</w:t>
      </w:r>
    </w:p>
    <w:p>
      <w:pPr>
        <w:spacing w:after="0" w:line="22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the current quarter, the segment had operating loss of $1.3 million and negative operating margin of 1.7 percent, compared to operating income of $10.8 million and operating margin of 12.8 percent in the same period of the prior year. For the nine-months ended November 27, 2021, the segment had an operating loss of $16.1 million and negative operating margin of 6.8 percent, compared to operating income of $15.3 million and operating margin of 6.2 percent in the prior year period. The results for the current year periods were primarily driven by $3.5 million and $20.9 million of restructuring costs for the three- and nine-month periods ended November 27, 2021, respectively. As previously announced, this segment incurred restructuring charges related to the closure of two operating facilities and the associated employee termination costs in the second and third quarters of the current fiscal year. This restructuring is intended to enable the segment to emphasize more premium, high-performance products in its business. The three- and nine-month periods of the prior fiscal year also included $7.4 million of operating income related to the settlement of a New Markets Tax Credit transaction during the third quarter of fiscal 2021.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Architectural Services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Nine Months Ended</w:t>
            </w:r>
          </w:p>
        </w:tc>
        <w:tc>
          <w:tcPr>
            <w:tcW w:w="1140" w:type="dxa"/>
            <w:vAlign w:val="bottom"/>
            <w:tcBorders>
              <w:bottom w:val="single" w:sz="8" w:color="auto"/>
            </w:tcBorders>
          </w:tcPr>
          <w:p>
            <w:pPr>
              <w:spacing w:after="0"/>
              <w:rPr>
                <w:sz w:val="16"/>
                <w:szCs w:val="16"/>
                <w:color w:val="auto"/>
              </w:rPr>
            </w:pPr>
          </w:p>
        </w:tc>
      </w:tr>
      <w:tr>
        <w:trPr>
          <w:trHeight w:val="187"/>
        </w:trPr>
        <w:tc>
          <w:tcPr>
            <w:tcW w:w="212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November 27, 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28, 2020</w:t>
            </w:r>
          </w:p>
        </w:tc>
        <w:tc>
          <w:tcPr>
            <w:tcW w:w="1120" w:type="dxa"/>
            <w:vAlign w:val="bottom"/>
          </w:tcPr>
          <w:p>
            <w:pPr>
              <w:jc w:val="right"/>
              <w:ind w:right="15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November 27, 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28, 2020</w:t>
            </w:r>
          </w:p>
        </w:tc>
        <w:tc>
          <w:tcPr>
            <w:tcW w:w="1140" w:type="dxa"/>
            <w:vAlign w:val="bottom"/>
          </w:tcPr>
          <w:p>
            <w:pPr>
              <w:jc w:val="right"/>
              <w:ind w:right="15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2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91,971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76,690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250,657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213,911</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17.2 %</w:t>
            </w:r>
          </w:p>
        </w:tc>
      </w:tr>
      <w:tr>
        <w:trPr>
          <w:trHeight w:val="229"/>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9,203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8"/>
                <w:szCs w:val="18"/>
                <w:color w:val="auto"/>
              </w:rPr>
              <w:t>8,558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20,982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20,470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2.5 %</w:t>
            </w:r>
          </w:p>
        </w:tc>
      </w:tr>
      <w:tr>
        <w:trPr>
          <w:trHeight w:val="230"/>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bl>
    <w:p>
      <w:pPr>
        <w:spacing w:after="0" w:line="28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Architectural Services net sales increased $15.3 million, or 19.9 percent, and $36.7 million, or 17.2 percent, for the three- and nine-month periods ended November 27, 2021, compared to the same periods in the prior year, driven by increased volume from executing projects in backlog.</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margin decreased 120 basis points in each of the three- and nine-month periods of the current year, compared to the same periods in the prior year, primarily reflecting a less favorable project mix. Additionally, the nine-month period was negatively impacted by isolated performance challenges on certain projects experienced during the first quarter of fiscal 2022.</w:t>
      </w:r>
    </w:p>
    <w:p>
      <w:pPr>
        <w:spacing w:after="0" w:line="7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of November 27, 2021, segment backlog of $572 million was unchanged from the end of the prior quarter. Segment backlog at the end of the third quarter of fiscal 2021 was approximately $597 million. Backlog is described within the Architectural Framing Systems discussion above.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Large-Scale Optical (LSO)</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Borders>
              <w:bottom w:val="single" w:sz="8" w:color="auto"/>
            </w:tcBorders>
          </w:tcPr>
          <w:p>
            <w:pPr>
              <w:spacing w:after="0"/>
              <w:rPr>
                <w:sz w:val="16"/>
                <w:szCs w:val="16"/>
                <w:color w:val="auto"/>
              </w:rPr>
            </w:pPr>
          </w:p>
        </w:tc>
      </w:tr>
      <w:tr>
        <w:trPr>
          <w:trHeight w:val="187"/>
        </w:trPr>
        <w:tc>
          <w:tcPr>
            <w:tcW w:w="212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6"/>
                <w:szCs w:val="16"/>
                <w:color w:val="auto"/>
              </w:rPr>
            </w:pPr>
          </w:p>
        </w:tc>
        <w:tc>
          <w:tcPr>
            <w:tcW w:w="140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November 27, 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28, 2020</w:t>
            </w:r>
          </w:p>
        </w:tc>
        <w:tc>
          <w:tcPr>
            <w:tcW w:w="1160" w:type="dxa"/>
            <w:vAlign w:val="bottom"/>
          </w:tcPr>
          <w:p>
            <w:pPr>
              <w:jc w:val="right"/>
              <w:ind w:right="176"/>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w w:val="94"/>
              </w:rPr>
              <w:t>November 27, 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28, 2020</w:t>
            </w:r>
          </w:p>
        </w:tc>
        <w:tc>
          <w:tcPr>
            <w:tcW w:w="1160" w:type="dxa"/>
            <w:vAlign w:val="bottom"/>
          </w:tcPr>
          <w:p>
            <w:pPr>
              <w:jc w:val="right"/>
              <w:ind w:right="17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2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27,351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25,267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75,122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48,438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55.1 %</w:t>
            </w:r>
          </w:p>
        </w:tc>
      </w:tr>
      <w:tr>
        <w:trPr>
          <w:trHeight w:val="229"/>
        </w:trPr>
        <w:tc>
          <w:tcPr>
            <w:tcW w:w="212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8"/>
                <w:szCs w:val="18"/>
                <w:color w:val="auto"/>
              </w:rPr>
              <w:t>5,996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26,114</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17,326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135"/>
              <w:spacing w:after="0"/>
              <w:rPr>
                <w:sz w:val="20"/>
                <w:szCs w:val="20"/>
                <w:color w:val="auto"/>
              </w:rPr>
            </w:pPr>
            <w:r>
              <w:rPr>
                <w:rFonts w:ascii="Arial" w:cs="Arial" w:eastAsia="Arial" w:hAnsi="Arial"/>
                <w:sz w:val="18"/>
                <w:szCs w:val="18"/>
                <w:color w:val="auto"/>
              </w:rPr>
              <w:t>25,131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30"/>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bl>
    <w:p>
      <w:pPr>
        <w:spacing w:after="0" w:line="32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LSO net sales increased $2.1 million or 8.2 percent, and $26.7 million or 55.1 percent for the three- and nine-month periods ended November 27, 2021, compared to the same periods in the prior year, reflecting a more favorable sales mix, as demand recovered from the impact of COVID in the prior year nine-month period. In fiscal 2021, most of the segment's customers and the segment's manufacturing operations were closed for a large part of the first and second quarters to comply with COVID-related government directives.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segment had operating income of $6.0 million and $17.3 million and operating margin of 21.9 percent and 23.1 percent, for the three- and nine-month periods ended November 27, 2021, respectively, compared to operating income of $26.1 million and $25.1 million, and operating margin of 103.4 percent and 51.9 percent, in the same periods of the prior year. The decreases for the fiscal 2022 periods are primarily the result of a $19.3 million gain on the sale-leaseback of a segment manufacturing facility recorded during the prior year third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8000" w:type="dxa"/>
            <w:vAlign w:val="bottom"/>
            <w:gridSpan w:val="3"/>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790"/>
        </w:trPr>
        <w:tc>
          <w:tcPr>
            <w:tcW w:w="800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51"/>
        </w:trPr>
        <w:tc>
          <w:tcPr>
            <w:tcW w:w="8000" w:type="dxa"/>
            <w:vAlign w:val="bottom"/>
            <w:gridSpan w:val="3"/>
          </w:tcPr>
          <w:p>
            <w:pPr>
              <w:ind w:left="20"/>
              <w:spacing w:after="0"/>
              <w:rPr>
                <w:sz w:val="20"/>
                <w:szCs w:val="20"/>
                <w:color w:val="auto"/>
              </w:rPr>
            </w:pPr>
            <w:r>
              <w:rPr>
                <w:rFonts w:ascii="Arial" w:cs="Arial" w:eastAsia="Arial" w:hAnsi="Arial"/>
                <w:sz w:val="18"/>
                <w:szCs w:val="18"/>
                <w:b w:val="1"/>
                <w:bCs w:val="1"/>
                <w:color w:val="auto"/>
              </w:rPr>
              <w:t>Selected cash flow data</w:t>
            </w:r>
          </w:p>
        </w:tc>
        <w:tc>
          <w:tcPr>
            <w:tcW w:w="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right"/>
              <w:ind w:right="912"/>
              <w:spacing w:after="0"/>
              <w:rPr>
                <w:sz w:val="20"/>
                <w:szCs w:val="20"/>
                <w:color w:val="auto"/>
              </w:rPr>
            </w:pPr>
            <w:r>
              <w:rPr>
                <w:rFonts w:ascii="Arial" w:cs="Arial" w:eastAsia="Arial" w:hAnsi="Arial"/>
                <w:sz w:val="14"/>
                <w:szCs w:val="14"/>
                <w:b w:val="1"/>
                <w:bCs w:val="1"/>
                <w:color w:val="auto"/>
              </w:rPr>
              <w:t>Nine Months Ended</w:t>
            </w:r>
          </w:p>
        </w:tc>
      </w:tr>
      <w:tr>
        <w:trPr>
          <w:trHeight w:val="181"/>
        </w:trPr>
        <w:tc>
          <w:tcPr>
            <w:tcW w:w="8000" w:type="dxa"/>
            <w:vAlign w:val="bottom"/>
            <w:gridSpan w:val="3"/>
          </w:tcPr>
          <w:p>
            <w:pPr>
              <w:ind w:left="20"/>
              <w:spacing w:after="0"/>
              <w:rPr>
                <w:sz w:val="20"/>
                <w:szCs w:val="20"/>
                <w:color w:val="auto"/>
              </w:rPr>
            </w:pPr>
            <w:r>
              <w:rPr>
                <w:rFonts w:ascii="Arial" w:cs="Arial" w:eastAsia="Arial" w:hAnsi="Arial"/>
                <w:sz w:val="13"/>
                <w:szCs w:val="13"/>
                <w:i w:val="1"/>
                <w:iCs w:val="1"/>
                <w:color w:val="auto"/>
              </w:rPr>
              <w:t>(In thousands)</w:t>
            </w:r>
          </w:p>
        </w:tc>
        <w:tc>
          <w:tcPr>
            <w:tcW w:w="16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November 27, 2021</w:t>
            </w:r>
          </w:p>
        </w:tc>
        <w:tc>
          <w:tcPr>
            <w:tcW w:w="140" w:type="dxa"/>
            <w:vAlign w:val="bottom"/>
          </w:tcPr>
          <w:p>
            <w:pPr>
              <w:spacing w:after="0"/>
              <w:rPr>
                <w:sz w:val="15"/>
                <w:szCs w:val="15"/>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4"/>
              </w:rPr>
              <w:t>November 28, 2020</w:t>
            </w:r>
          </w:p>
        </w:tc>
      </w:tr>
      <w:tr>
        <w:trPr>
          <w:trHeight w:val="224"/>
        </w:trPr>
        <w:tc>
          <w:tcPr>
            <w:tcW w:w="79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29"/>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86,291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120,512</w:t>
            </w:r>
          </w:p>
        </w:tc>
      </w:tr>
      <w:tr>
        <w:trPr>
          <w:trHeight w:val="230"/>
        </w:trPr>
        <w:tc>
          <w:tcPr>
            <w:tcW w:w="80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(17,116)</w:t>
            </w:r>
          </w:p>
        </w:tc>
      </w:tr>
      <w:tr>
        <w:trPr>
          <w:trHeight w:val="230"/>
        </w:trPr>
        <w:tc>
          <w:tcPr>
            <w:tcW w:w="8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plant and equipment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23,724</w:t>
            </w:r>
          </w:p>
        </w:tc>
      </w:tr>
      <w:tr>
        <w:trPr>
          <w:trHeight w:val="229"/>
        </w:trPr>
        <w:tc>
          <w:tcPr>
            <w:tcW w:w="8000" w:type="dxa"/>
            <w:vAlign w:val="bottom"/>
            <w:gridSpan w:val="3"/>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8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Borrowings on line of credit</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193,332</w:t>
            </w:r>
          </w:p>
        </w:tc>
      </w:tr>
      <w:tr>
        <w:trPr>
          <w:trHeight w:val="230"/>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Payments on line of credit</w:t>
            </w:r>
          </w:p>
        </w:tc>
        <w:tc>
          <w:tcPr>
            <w:tcW w:w="16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(237,500)</w:t>
            </w:r>
          </w:p>
        </w:tc>
      </w:tr>
      <w:tr>
        <w:trPr>
          <w:trHeight w:val="229"/>
        </w:trPr>
        <w:tc>
          <w:tcPr>
            <w:tcW w:w="80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Repurchase and retirement of common stock</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(20,731)</w:t>
            </w:r>
          </w:p>
        </w:tc>
      </w:tr>
      <w:tr>
        <w:trPr>
          <w:trHeight w:val="230"/>
        </w:trPr>
        <w:tc>
          <w:tcPr>
            <w:tcW w:w="8000" w:type="dxa"/>
            <w:vAlign w:val="bottom"/>
            <w:gridSpan w:val="3"/>
          </w:tcPr>
          <w:p>
            <w:pPr>
              <w:ind w:left="36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(14,546)</w:t>
            </w:r>
          </w:p>
        </w:tc>
      </w:tr>
    </w:tbl>
    <w:p>
      <w:pPr>
        <w:spacing w:after="0" w:line="3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was $86.3 million for the first nine months of fiscal 2022, a decrease of $34.2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prior-year period, reflecting a decline in net earnings of $38.0 million in the current-year period compared to the prior-year period, as well as, the impact of temporary actions related to COVID in the prior-year period.</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by investing activities was $11.6 million for the first nine months of fiscal 2022, driven primarily by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expenditures of $13.1 million. In the first nine months of the prior year, net cash provided by investing activities was $5.5 million, driven by proceeds of $23.7 million on the sale-leaseback of a building, offset by capital expenditures of $17.1 million. Capital expenditures in the first nine months of the current year declined $4.0 million from the prior year due to slower investments while we conducted our strategic review.</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by financing activities was $44.0 million for the first nine months of fiscal 2022, compared to $85.7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prior-year period, primarily driven by net debt repayments of $47.5 million in the prior year. Additionally, in the first nine months of the current year, we made share repurchases totaling $29.2 million, compared to $20.7 million in the prior year nine-month period. At November 27, 2021, we were in compliance with the financial covenants under our revolving credit facility and term loan.</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paid dividends totaling $15.1 million ($0.6000 per share) in the first nine months of fiscal 2022, compared to $14.5 million ($0.5625 per share) in the comparable prior-year period. During the first nine months of fiscal 2022, we repurchased 755,384 shares under our authorized share repurchase program, for a total cost of $28.8 million. In the first nine months of fiscal 2021, we repurchased 852,029 shares under the share repurchase program, for a total cost of $20.7 million. Since the inception of the share repurchase program in 2004, we have purchased a total of 7,888,000 shares, at a total cost of $236.1 million. We currently have remaining authority to repurchase an additional 1,362,000 shares under this program. We will continue to evaluate making future share repurchases, considering our cash flow, debt levels and market conditions, in the context of all our capital allocation options, with the goal of maximizing long-term value for our shareholders.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Other Financing Activities. </w:t>
      </w:r>
      <w:r>
        <w:rPr>
          <w:rFonts w:ascii="Arial" w:cs="Arial" w:eastAsia="Arial" w:hAnsi="Arial"/>
          <w:sz w:val="17"/>
          <w:szCs w:val="17"/>
          <w:color w:val="auto"/>
        </w:rPr>
        <w:t>The following summarizes our significant contractual obligations that impact our liquidity as of November 27, 2021: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4"/>
                <w:szCs w:val="14"/>
                <w:b w:val="1"/>
                <w:bCs w:val="1"/>
                <w:color w:val="auto"/>
                <w:w w:val="91"/>
              </w:rPr>
              <w:t>Payments Due by Fiscal Period</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Remainder of</w:t>
            </w:r>
          </w:p>
        </w:tc>
        <w:tc>
          <w:tcPr>
            <w:tcW w:w="14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2023</w:t>
            </w:r>
          </w:p>
        </w:tc>
        <w:tc>
          <w:tcPr>
            <w:tcW w:w="140" w:type="dxa"/>
            <w:vAlign w:val="bottom"/>
          </w:tcPr>
          <w:p>
            <w:pPr>
              <w:spacing w:after="0"/>
              <w:rPr>
                <w:sz w:val="11"/>
                <w:szCs w:val="11"/>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Fiscal 2024</w:t>
            </w:r>
          </w:p>
        </w:tc>
        <w:tc>
          <w:tcPr>
            <w:tcW w:w="140" w:type="dxa"/>
            <w:vAlign w:val="bottom"/>
          </w:tcPr>
          <w:p>
            <w:pPr>
              <w:spacing w:after="0"/>
              <w:rPr>
                <w:sz w:val="11"/>
                <w:szCs w:val="11"/>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Fiscal 2025</w:t>
            </w:r>
          </w:p>
        </w:tc>
        <w:tc>
          <w:tcPr>
            <w:tcW w:w="14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2026</w:t>
            </w:r>
          </w:p>
        </w:tc>
        <w:tc>
          <w:tcPr>
            <w:tcW w:w="16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Pr>
          <w:p>
            <w:pPr>
              <w:spacing w:after="0"/>
              <w:rPr>
                <w:sz w:val="11"/>
                <w:szCs w:val="11"/>
                <w:color w:val="auto"/>
              </w:rPr>
            </w:pPr>
          </w:p>
        </w:tc>
        <w:tc>
          <w:tcPr>
            <w:tcW w:w="86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3"/>
                <w:szCs w:val="13"/>
                <w:i w:val="1"/>
                <w:iCs w:val="1"/>
                <w:color w:val="auto"/>
              </w:rPr>
              <w:t>(In thousands)</w:t>
            </w:r>
          </w:p>
        </w:tc>
        <w:tc>
          <w:tcPr>
            <w:tcW w:w="12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Fiscal 2022</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obligations</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Operating leases (undiscounted)</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13,563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59,259</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239,498</w:t>
            </w:r>
          </w:p>
        </w:tc>
        <w:tc>
          <w:tcPr>
            <w:tcW w:w="0" w:type="dxa"/>
            <w:vAlign w:val="bottom"/>
          </w:tcPr>
          <w:p>
            <w:pPr>
              <w:spacing w:after="0"/>
              <w:rPr>
                <w:sz w:val="1"/>
                <w:szCs w:val="1"/>
                <w:color w:val="auto"/>
              </w:rPr>
            </w:pPr>
          </w:p>
        </w:tc>
      </w:tr>
      <w:tr>
        <w:trPr>
          <w:trHeight w:val="223"/>
        </w:trPr>
        <w:tc>
          <w:tcPr>
            <w:tcW w:w="3240" w:type="dxa"/>
            <w:vAlign w:val="bottom"/>
            <w:gridSpan w:val="2"/>
          </w:tcPr>
          <w:p>
            <w:pPr>
              <w:ind w:left="220"/>
              <w:spacing w:after="0"/>
              <w:rPr>
                <w:sz w:val="20"/>
                <w:szCs w:val="20"/>
                <w:color w:val="auto"/>
              </w:rPr>
            </w:pPr>
            <w:r>
              <w:rPr>
                <w:rFonts w:ascii="Arial" w:cs="Arial" w:eastAsia="Arial" w:hAnsi="Arial"/>
                <w:sz w:val="18"/>
                <w:szCs w:val="18"/>
                <w:color w:val="auto"/>
              </w:rPr>
              <w:t>Total cash obligations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161,348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461,757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acquire the use of certain assets through operating leases, such as property, manufacturing equipment, vehicles and other equipment. Purchase obligations in the table above relate to raw material commitments and capital expenditures.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make contributions of $0.7 million to our defined-benefit pension plans in fiscal 2022, which will equal or exceed our minimum funding requirements.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November 27, 2021, we had reserves of $4.0 million for unrecognized tax benefits. We are unable to reasonably estimate in which future periods the remaining unrecognized tax benefits will ultimately be settled.</w:t>
      </w:r>
    </w:p>
    <w:p>
      <w:pPr>
        <w:spacing w:after="0" w:line="19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are required, in the ordinary course of business, to provide surety or performance bonds that commit payments to our customers for any non-performance. At November 27, 2021, $1.2 billion of these types of bonds were outstanding, of which $448.0 million is in our backlog. These bonds do not have stated expiration dates. We have never been required to make payments under surety or performance bonds with respect to our existing businesses.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calendar 2020, we took advantage of the option to defer remittance of the employer portion of Social Security tax as provided in the CARES Act. This deferral allowed us to retain cash during calendar year 2020 that would have otherwise been remitted to the federal government. At the end of fiscal 2021, we had deferred tax payments of $13.6 million, which are included within accrued payroll and other benefits and other non-current liabilities on our consolidated balance sheets. The deferred tax payments will be repaid in two equal portions in calendar years 2021 and 2022.</w:t>
      </w:r>
    </w:p>
    <w:p>
      <w:pPr>
        <w:spacing w:after="0" w:line="19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Due to our ability to generate strong cash from operations and our borrowing capability under our committed revolving credit facility, we believe that our sources of liquidity will continue to be adequate to fund our working capital requirements, planned capital expenditures and dividend payments for at least the next 12 months. While we believe we have adequate sources of liquidity to continue to fund our business for at least the next 12 months, the extent to which the ongoing COVID-19 pandemic may impact our results of operations or liquidity is uncertain. The extent to which COVID-19 will continue to impact our business will depend on numerous evolving factors including, but not limited to, the emergence of new variants of the coronavirus, such as the Delta and Omicron variants, and the effectiveness of ongoing public health initiatives, which have been boosted by vaccine production and distribution.</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 that have or are reasonably likely to have a current or future effect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condition, changes in financial condition, revenues or expenses, results of operations, liquidity, capital expenditures, or capital resources that is material to investors.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The company has narrowed its guidance for full-year adjusted earnings to a range of $2.25 to $2.40 per diluted share, from the previous range of $2.20 to $2.40. This guidance excludes the impact of restructuring and impairment costs. The company expects to record a pre-tax gain of approximately $19.0 million in the fourth quarter, related to the previously announced sale of its Architectural Glass facility in Statesboro, Georgia. The company intends to exclude this gain from its adjusted earnings results. The company continues to expect a long-term average tax rate of approximately 24.5 percent and continues to expect full-year capital expenditures of approximately $25 million, down from the previous estimate of approximately $35 million, as the company has slowed some investments while it conducted its strategic review.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No material changes have occurred in the disclosure with respect to our related party transactions set forth in our Annual Report on Form 10-K for the fiscal year ended February 27,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 w:lineRule="exact"/>
        <w:rPr>
          <w:sz w:val="20"/>
          <w:szCs w:val="20"/>
          <w:color w:val="auto"/>
        </w:rPr>
      </w:pPr>
    </w:p>
    <w:p>
      <w:pPr>
        <w:ind w:right="140"/>
        <w:spacing w:after="0" w:line="233" w:lineRule="auto"/>
        <w:rPr>
          <w:sz w:val="20"/>
          <w:szCs w:val="20"/>
          <w:color w:val="auto"/>
        </w:rPr>
      </w:pPr>
      <w:r>
        <w:rPr>
          <w:rFonts w:ascii="Arial" w:cs="Arial" w:eastAsia="Arial" w:hAnsi="Arial"/>
          <w:sz w:val="18"/>
          <w:szCs w:val="18"/>
          <w:color w:val="auto"/>
        </w:rPr>
        <w:t>There have been no material changes to our critical accounting policies from those disclosed in our Annual Report on Form 10-K for the fiscal year ended February 27, 2021, except as noted below.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 impairment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jc w:val="both"/>
        <w:spacing w:after="0" w:line="253" w:lineRule="auto"/>
        <w:rPr>
          <w:sz w:val="20"/>
          <w:szCs w:val="20"/>
          <w:color w:val="auto"/>
        </w:rPr>
      </w:pPr>
      <w:r>
        <w:rPr>
          <w:rFonts w:ascii="Arial" w:cs="Arial" w:eastAsia="Arial" w:hAnsi="Arial"/>
          <w:sz w:val="16"/>
          <w:szCs w:val="16"/>
          <w:color w:val="auto"/>
        </w:rPr>
        <w:t>During the third quarter of fiscal 2022, we combined certain reporting units to form two reporting units, following certain structural and leadership changes at the Company, specifically within the Architectural Framing Systems segment. Within this segment, as a result of integration efforts that are ongoing, leadership over our Wausau, EFCO and Sotawall reporting units have been combined to form the Window and Wall Systems reporting unit, and our Linetec and Tubelite reporting units have been combined to form the Storefront and Finishing Solutions reporting unit. With these organizational changes, Architectural Framing Systems segment management regularly reviews and evaluates the results of the Window and Wall Systems and Storefront and</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Finishing Solutions reporting units. Additionally, functional leaders in areas such as operations, sales, marketing and general and administrative areas are responsible for allocating resources and reviewing results of the Window and Wall Systems and Storefront and Finishing Solutions reporting units. The goodwill of the five individual pre-integration reporting units was aggregated to the respective combined reporting units. We evaluated goodwill on a qualitative basis prior to and subsequent to this change and concluded no adjustment to the carrying value of goodwill was necessary as a result of this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change. In addition, for all reporting units, no qualitative indicators of impairment were identified during the third quarter, and therefore, no interim quantitative goodwill impairment evaluation was performed.</w:t>
      </w:r>
    </w:p>
    <w:p>
      <w:pPr>
        <w:spacing w:after="0" w:line="2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3"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Refer to the Company’s Annual Report on Form 10-K for the fiscal year ended February 27, 2021 for a complete discussion on the Company’s market risk. There have been no material changes in market risk from those disclosed in our Annual Report on Form 10-K for the fiscal year ended February 27, 2021, except as noted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 Pricing Risk</w:t>
      </w:r>
    </w:p>
    <w:p>
      <w:pPr>
        <w:spacing w:after="0" w:line="1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subject to market risk exposure related to volatility in the prices of aluminum and lumber, among other raw materials and supplies used in our end products. A significant amount of our cost of sales relates to materials costs. The commodities markets, which include the aluminum industry, are highly cyclical in nature. As a result, commodity costs can be volatile, as we have experienced from time to time during recent fiscal quarters, and may become more volatile in the future. Commodity costs are influenced by numerous factors beyond our control, including general economic conditions, the availability of raw materials, competition, labor costs, freight and transportation costs, production costs, import duties and other trade restrictions.</w:t>
      </w:r>
    </w:p>
    <w:p>
      <w:pPr>
        <w:spacing w:after="0" w:line="19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principally manage our exposures to the market fluctuations in the aluminum industry through fixed/floating rate swaps and forward purchase agreements. Although we have the ability to purchase aluminum from a number of suppliers, a production cutback by one or more of our current suppliers could create challenges in meeting delivery schedules to our customers. The prices we offer to our customers are also impacted by changes in commodity costs. We manage the alignment of the cost of our raw materials and the prices offered to customers, and attempt to pass changes to raw material costs through to our customers. To improve our management of commodity costs, we attempt to maintain inventory levels not in excess of our production requirements.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cannot accurately calculate the pre-tax impact a one percent change in the commodity costs of aluminum and/or lumber would have on our fiscal 2022 operating results, as the change in commodity costs would both impact the cost to purchase materials and the selling prices we offer our customers. The impact to our operating results would significantly depend on the competitive environment and the costs of other alternative products, which could impact our ability to pass commodities costs to our customers.</w:t>
      </w:r>
    </w:p>
    <w:p>
      <w:pPr>
        <w:spacing w:after="0" w:line="21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jc w:val="both"/>
        <w:ind w:left="1300" w:hanging="644"/>
        <w:spacing w:after="0" w:line="270" w:lineRule="auto"/>
        <w:tabs>
          <w:tab w:leader="none" w:pos="1291" w:val="left"/>
        </w:tabs>
        <w:numPr>
          <w:ilvl w:val="0"/>
          <w:numId w:val="14"/>
        </w:numPr>
        <w:rPr>
          <w:rFonts w:ascii="Arial" w:cs="Arial" w:eastAsia="Arial" w:hAnsi="Arial"/>
          <w:sz w:val="17"/>
          <w:szCs w:val="17"/>
          <w:color w:val="auto"/>
        </w:rPr>
      </w:pPr>
      <w:r>
        <w:rPr>
          <w:rFonts w:ascii="Arial" w:cs="Arial" w:eastAsia="Arial" w:hAnsi="Arial"/>
          <w:sz w:val="17"/>
          <w:szCs w:val="17"/>
          <w:color w:val="auto"/>
        </w:rPr>
        <w:t>Evaluation of disclosure controls and procedures: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Securities Exchange Act of 1934, as amended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72" w:lineRule="exact"/>
        <w:rPr>
          <w:rFonts w:ascii="Arial" w:cs="Arial" w:eastAsia="Arial" w:hAnsi="Arial"/>
          <w:sz w:val="17"/>
          <w:szCs w:val="17"/>
          <w:color w:val="auto"/>
        </w:rPr>
      </w:pPr>
    </w:p>
    <w:p>
      <w:pPr>
        <w:jc w:val="both"/>
        <w:ind w:left="1300" w:hanging="644"/>
        <w:spacing w:after="0" w:line="263" w:lineRule="auto"/>
        <w:tabs>
          <w:tab w:leader="none" w:pos="12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internal controls: There was no change in the Company’s internal control over financial reporting that occurred during the fiscal quarter ended November 27, 2021, that has materially affected, or is reasonably likely to materially affect, the Company’s internal control over financial reporting.</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 party to various legal proceedings incidental to its normal operating activities. In particular, like others in the construction supply and services industry, the Company is routinely involved in various disputes and claims arising out of construction projects, sometimes involving significant monetary damages or product replacement. We have in the past and are currently subject to product liability and warranty claims, including certain legal claims related to a commercial sealant product formerly incorporated into our products. The Company is also subject to litigation arising out of areas such as employment practices, workers compensation and general liability matters. Although it is very difficult to accurately predict the outcome of any such proceedings, facts currently available indicate that no matters will result in losses that would have a material adverse effect on the results of operations, cash flows or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left="10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There have been no material changes or additions to our risk factors discussed in our Annual Report on Form 10-K for the fiscal year ended February 27, 2021.</w:t>
      </w:r>
    </w:p>
    <w:p>
      <w:pPr>
        <w:spacing w:after="0" w:line="193"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table provides information with respect to purchases made by the Company of its own stock during the third quarter of fiscal 2022:</w:t>
      </w:r>
    </w:p>
    <w:p>
      <w:pPr>
        <w:spacing w:after="0" w:line="13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Total Number of Shares</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1"/>
                <w:szCs w:val="11"/>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Average Price</w:t>
            </w: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Purchased as Part of</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4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8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Publicly Announced Plans</w:t>
            </w:r>
          </w:p>
        </w:tc>
        <w:tc>
          <w:tcPr>
            <w:tcW w:w="18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Purchased under the Plans</w:t>
            </w:r>
          </w:p>
        </w:tc>
        <w:tc>
          <w:tcPr>
            <w:tcW w:w="0" w:type="dxa"/>
            <w:vAlign w:val="bottom"/>
          </w:tcPr>
          <w:p>
            <w:pPr>
              <w:spacing w:after="0"/>
              <w:rPr>
                <w:sz w:val="1"/>
                <w:szCs w:val="1"/>
                <w:color w:val="auto"/>
              </w:rPr>
            </w:pPr>
          </w:p>
        </w:tc>
      </w:tr>
      <w:tr>
        <w:trPr>
          <w:trHeight w:val="188"/>
        </w:trPr>
        <w:tc>
          <w:tcPr>
            <w:tcW w:w="4400" w:type="dxa"/>
            <w:vAlign w:val="bottom"/>
            <w:gridSpan w:val="2"/>
            <w:vMerge w:val="continue"/>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Purchased (a)</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Paid per Share</w:t>
            </w:r>
          </w:p>
        </w:tc>
        <w:tc>
          <w:tcPr>
            <w:tcW w:w="1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or Programs (b)</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 (b)</w:t>
            </w:r>
          </w:p>
        </w:tc>
        <w:tc>
          <w:tcPr>
            <w:tcW w:w="0" w:type="dxa"/>
            <w:vAlign w:val="bottom"/>
          </w:tcPr>
          <w:p>
            <w:pPr>
              <w:spacing w:after="0"/>
              <w:rPr>
                <w:sz w:val="1"/>
                <w:szCs w:val="1"/>
                <w:color w:val="auto"/>
              </w:rPr>
            </w:pPr>
          </w:p>
        </w:tc>
      </w:tr>
      <w:tr>
        <w:trPr>
          <w:trHeight w:val="224"/>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August 29, 2021 to September 25, 2021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520,451</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September 26, 2021 to October 23, 2021</w:t>
            </w:r>
          </w:p>
        </w:tc>
        <w:tc>
          <w:tcPr>
            <w:tcW w:w="146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37.76</w:t>
            </w:r>
          </w:p>
        </w:tc>
        <w:tc>
          <w:tcPr>
            <w:tcW w:w="10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1,520,451</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24, 2021 to November 27,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158,451</w:t>
            </w:r>
          </w:p>
        </w:tc>
        <w:tc>
          <w:tcPr>
            <w:tcW w:w="100" w:type="dxa"/>
            <w:vAlign w:val="bottom"/>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1,362,000</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40.78</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165,851</w:t>
            </w: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1,362,000</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760" w:hanging="652"/>
        <w:spacing w:after="0" w:line="250" w:lineRule="auto"/>
        <w:tabs>
          <w:tab w:leader="none" w:pos="757"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shares in this column represent the total number of shares that were repurchased by us pursuant to our publicly announced repurchase program, plus the shares surrendered to us by plan participants to satisfy withholding tax obligations related to share-based compensation.</w:t>
      </w:r>
    </w:p>
    <w:p>
      <w:pPr>
        <w:jc w:val="both"/>
        <w:ind w:left="760" w:hanging="652"/>
        <w:spacing w:after="0" w:line="276" w:lineRule="auto"/>
        <w:tabs>
          <w:tab w:leader="none" w:pos="752"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 fiscal 2004, announced on April 10, 2003, the Board of Directors authorized the repurchase of 1,500,000 shares of Company stock. The Board increased the authorization by 750,000 shares, announced on January 24, 2008; by 1,000,000 shares on each of the announcement dates of October 8, 2008, January 13, 2016, January 9, 2018, January 14, 2020, and October 7, 2021; and by 2,000,000 shares, announced on October 3, 2018. The repurchase program does not have an expiration date.</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68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15"/>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7"/>
        </w:trPr>
        <w:tc>
          <w:tcPr>
            <w:tcW w:w="100" w:type="dxa"/>
            <w:vAlign w:val="bottom"/>
            <w:vMerge w:val="restart"/>
          </w:tcPr>
          <w:p>
            <w:pPr>
              <w:spacing w:after="0"/>
              <w:rPr>
                <w:rFonts w:ascii="Arial" w:cs="Arial" w:eastAsia="Arial" w:hAnsi="Arial"/>
                <w:sz w:val="13"/>
                <w:szCs w:val="13"/>
                <w:color w:val="0000FF"/>
                <w:w w:val="73"/>
              </w:rPr>
            </w:pPr>
            <w:hyperlink r:id="rId41">
              <w:r>
                <w:rPr>
                  <w:rFonts w:ascii="Arial" w:cs="Arial" w:eastAsia="Arial" w:hAnsi="Arial"/>
                  <w:sz w:val="13"/>
                  <w:szCs w:val="13"/>
                  <w:color w:val="0000FF"/>
                  <w:w w:val="73"/>
                </w:rPr>
                <w:t>3.</w:t>
              </w:r>
            </w:hyperlink>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80" w:type="dxa"/>
            <w:vAlign w:val="bottom"/>
            <w:gridSpan w:val="2"/>
            <w:shd w:val="clear" w:color="auto" w:fill="CCEEFF"/>
          </w:tcPr>
          <w:p>
            <w:pPr>
              <w:spacing w:after="0" w:line="189" w:lineRule="exact"/>
              <w:rPr>
                <w:rFonts w:ascii="Arial" w:cs="Arial" w:eastAsia="Arial" w:hAnsi="Arial"/>
                <w:sz w:val="18"/>
                <w:szCs w:val="18"/>
                <w:u w:val="single" w:color="auto"/>
                <w:color w:val="0000FF"/>
              </w:rPr>
            </w:pPr>
            <w:hyperlink r:id="rId41">
              <w:r>
                <w:rPr>
                  <w:rFonts w:ascii="Arial" w:cs="Arial" w:eastAsia="Arial" w:hAnsi="Arial"/>
                  <w:sz w:val="18"/>
                  <w:szCs w:val="18"/>
                  <w:u w:val="single" w:color="auto"/>
                  <w:color w:val="0000FF"/>
                </w:rPr>
                <w:t>1</w:t>
              </w:r>
            </w:hyperlink>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60" w:type="dxa"/>
            <w:vAlign w:val="bottom"/>
            <w:gridSpan w:val="14"/>
            <w:shd w:val="clear" w:color="auto" w:fill="CCEEFF"/>
          </w:tcPr>
          <w:p>
            <w:pPr>
              <w:spacing w:after="0" w:line="189"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Restated Articles of Incorporation. (Incorporated by reference to Exhibit 3.1 to Registrant's Annual Report on Form 10-K for the year-</w:t>
              </w:r>
            </w:hyperlink>
          </w:p>
        </w:tc>
        <w:tc>
          <w:tcPr>
            <w:tcW w:w="0" w:type="dxa"/>
            <w:vAlign w:val="bottom"/>
          </w:tcPr>
          <w:p>
            <w:pPr>
              <w:spacing w:after="0"/>
              <w:rPr>
                <w:sz w:val="1"/>
                <w:szCs w:val="1"/>
                <w:color w:val="auto"/>
              </w:rPr>
            </w:pPr>
          </w:p>
        </w:tc>
      </w:tr>
      <w:tr>
        <w:trPr>
          <w:trHeight w:val="176"/>
        </w:trPr>
        <w:tc>
          <w:tcPr>
            <w:tcW w:w="100" w:type="dxa"/>
            <w:vAlign w:val="bottom"/>
            <w:tcBorders>
              <w:top w:val="single" w:sz="8" w:color="0000FF"/>
              <w:bottom w:val="single" w:sz="8" w:color="0000FF"/>
            </w:tcBorders>
            <w:vMerge w:val="restart"/>
          </w:tcPr>
          <w:p>
            <w:pPr>
              <w:spacing w:after="0"/>
              <w:rPr>
                <w:rFonts w:ascii="Arial" w:cs="Arial" w:eastAsia="Arial" w:hAnsi="Arial"/>
                <w:sz w:val="13"/>
                <w:szCs w:val="13"/>
                <w:color w:val="0000FF"/>
                <w:w w:val="73"/>
              </w:rPr>
            </w:pPr>
            <w:hyperlink r:id="rId42">
              <w:r>
                <w:rPr>
                  <w:rFonts w:ascii="Arial" w:cs="Arial" w:eastAsia="Arial" w:hAnsi="Arial"/>
                  <w:sz w:val="13"/>
                  <w:szCs w:val="13"/>
                  <w:color w:val="0000FF"/>
                  <w:w w:val="73"/>
                </w:rPr>
                <w:t>3.</w:t>
              </w:r>
            </w:hyperlink>
          </w:p>
        </w:tc>
        <w:tc>
          <w:tcPr>
            <w:tcW w:w="80" w:type="dxa"/>
            <w:vAlign w:val="bottom"/>
            <w:tcBorders>
              <w:top w:val="single" w:sz="8" w:color="0000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0000FF"/>
              <w:bottom w:val="single" w:sz="8" w:color="CCEEFF"/>
            </w:tcBorders>
            <w:shd w:val="clear" w:color="auto" w:fill="CCEEFF"/>
          </w:tcPr>
          <w:p>
            <w:pPr>
              <w:spacing w:after="0"/>
              <w:rPr>
                <w:sz w:val="15"/>
                <w:szCs w:val="15"/>
                <w:color w:val="auto"/>
              </w:rPr>
            </w:pPr>
          </w:p>
        </w:tc>
        <w:tc>
          <w:tcPr>
            <w:tcW w:w="1920" w:type="dxa"/>
            <w:vAlign w:val="bottom"/>
            <w:tcBorders>
              <w:top w:val="single" w:sz="8" w:color="0000FF"/>
              <w:bottom w:val="single" w:sz="8" w:color="0000FF"/>
            </w:tcBorders>
            <w:gridSpan w:val="2"/>
            <w:shd w:val="clear" w:color="auto" w:fill="CCEEFF"/>
          </w:tcPr>
          <w:p>
            <w:pPr>
              <w:ind w:left="20"/>
              <w:spacing w:after="0" w:line="156" w:lineRule="exact"/>
              <w:rPr>
                <w:rFonts w:ascii="Arial" w:cs="Arial" w:eastAsia="Arial" w:hAnsi="Arial"/>
                <w:sz w:val="18"/>
                <w:szCs w:val="18"/>
                <w:color w:val="0000FF"/>
                <w:w w:val="88"/>
              </w:rPr>
            </w:pPr>
            <w:hyperlink r:id="rId41">
              <w:r>
                <w:rPr>
                  <w:rFonts w:ascii="Arial" w:cs="Arial" w:eastAsia="Arial" w:hAnsi="Arial"/>
                  <w:sz w:val="18"/>
                  <w:szCs w:val="18"/>
                  <w:color w:val="0000FF"/>
                  <w:w w:val="88"/>
                </w:rPr>
                <w:t>ended February 28, 2004.)</w:t>
              </w:r>
            </w:hyperlink>
          </w:p>
        </w:tc>
        <w:tc>
          <w:tcPr>
            <w:tcW w:w="7740" w:type="dxa"/>
            <w:vAlign w:val="bottom"/>
            <w:tcBorders>
              <w:top w:val="single" w:sz="8" w:color="0000FF"/>
              <w:bottom w:val="single" w:sz="8" w:color="CCEEFF"/>
            </w:tcBorders>
            <w:gridSpan w:val="9"/>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80" w:type="dxa"/>
            <w:vAlign w:val="bottom"/>
            <w:gridSpan w:val="2"/>
          </w:tcPr>
          <w:p>
            <w:pPr>
              <w:spacing w:after="0" w:line="189" w:lineRule="exact"/>
              <w:rPr>
                <w:rFonts w:ascii="Arial" w:cs="Arial" w:eastAsia="Arial" w:hAnsi="Arial"/>
                <w:sz w:val="18"/>
                <w:szCs w:val="18"/>
                <w:u w:val="single" w:color="auto"/>
                <w:color w:val="0000FF"/>
              </w:rPr>
            </w:pPr>
            <w:hyperlink r:id="rId42">
              <w:r>
                <w:rPr>
                  <w:rFonts w:ascii="Arial" w:cs="Arial" w:eastAsia="Arial" w:hAnsi="Arial"/>
                  <w:sz w:val="18"/>
                  <w:szCs w:val="18"/>
                  <w:u w:val="single" w:color="auto"/>
                  <w:color w:val="0000FF"/>
                </w:rPr>
                <w:t>2</w:t>
              </w:r>
            </w:hyperlink>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60" w:type="dxa"/>
            <w:vAlign w:val="bottom"/>
            <w:gridSpan w:val="14"/>
          </w:tcPr>
          <w:p>
            <w:pPr>
              <w:spacing w:after="0" w:line="189"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Articles of Amendment to Restated Articles of Incorporation. (Incorporated by reference to Exhibit 3.1 to Registrant's Current Report</w:t>
              </w:r>
            </w:hyperlink>
          </w:p>
        </w:tc>
        <w:tc>
          <w:tcPr>
            <w:tcW w:w="0" w:type="dxa"/>
            <w:vAlign w:val="bottom"/>
          </w:tcPr>
          <w:p>
            <w:pPr>
              <w:spacing w:after="0"/>
              <w:rPr>
                <w:sz w:val="1"/>
                <w:szCs w:val="1"/>
                <w:color w:val="auto"/>
              </w:rPr>
            </w:pPr>
          </w:p>
        </w:tc>
      </w:tr>
      <w:tr>
        <w:trPr>
          <w:trHeight w:val="156"/>
        </w:trPr>
        <w:tc>
          <w:tcPr>
            <w:tcW w:w="100" w:type="dxa"/>
            <w:vAlign w:val="bottom"/>
            <w:tcBorders>
              <w:top w:val="single" w:sz="8" w:color="0000FF"/>
            </w:tcBorders>
            <w:vMerge w:val="restart"/>
          </w:tcPr>
          <w:p>
            <w:pPr>
              <w:spacing w:after="0"/>
              <w:rPr>
                <w:rFonts w:ascii="Arial" w:cs="Arial" w:eastAsia="Arial" w:hAnsi="Arial"/>
                <w:sz w:val="13"/>
                <w:szCs w:val="13"/>
                <w:color w:val="0000FF"/>
                <w:w w:val="73"/>
              </w:rPr>
            </w:pPr>
            <w:hyperlink r:id="rId43">
              <w:r>
                <w:rPr>
                  <w:rFonts w:ascii="Arial" w:cs="Arial" w:eastAsia="Arial" w:hAnsi="Arial"/>
                  <w:sz w:val="13"/>
                  <w:szCs w:val="13"/>
                  <w:color w:val="0000FF"/>
                  <w:w w:val="73"/>
                </w:rPr>
                <w:t>3.</w:t>
              </w:r>
            </w:hyperlink>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620" w:type="dxa"/>
            <w:vAlign w:val="bottom"/>
            <w:tcBorders>
              <w:top w:val="single" w:sz="8" w:color="0000FF"/>
            </w:tcBorders>
            <w:gridSpan w:val="9"/>
          </w:tcPr>
          <w:p>
            <w:pPr>
              <w:ind w:left="20"/>
              <w:spacing w:after="0" w:line="156" w:lineRule="exact"/>
              <w:rPr>
                <w:rFonts w:ascii="Arial" w:cs="Arial" w:eastAsia="Arial" w:hAnsi="Arial"/>
                <w:sz w:val="18"/>
                <w:szCs w:val="18"/>
                <w:color w:val="0000FF"/>
              </w:rPr>
            </w:pPr>
            <w:hyperlink r:id="rId42">
              <w:r>
                <w:rPr>
                  <w:rFonts w:ascii="Arial" w:cs="Arial" w:eastAsia="Arial" w:hAnsi="Arial"/>
                  <w:sz w:val="18"/>
                  <w:szCs w:val="18"/>
                  <w:color w:val="0000FF"/>
                </w:rPr>
                <w:t>on Form 8-K filed on January 16, 2020.)</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0000FF"/>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vMerge w:val="continue"/>
          </w:tcPr>
          <w:p>
            <w:pPr>
              <w:spacing w:after="0"/>
              <w:rPr>
                <w:sz w:val="16"/>
                <w:szCs w:val="16"/>
                <w:color w:val="auto"/>
              </w:rPr>
            </w:pPr>
          </w:p>
        </w:tc>
        <w:tc>
          <w:tcPr>
            <w:tcW w:w="180" w:type="dxa"/>
            <w:vAlign w:val="bottom"/>
            <w:gridSpan w:val="2"/>
            <w:shd w:val="clear" w:color="auto" w:fill="CCEEFF"/>
          </w:tcPr>
          <w:p>
            <w:pPr>
              <w:spacing w:after="0" w:line="189" w:lineRule="exact"/>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3</w:t>
              </w:r>
            </w:hyperlink>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60" w:type="dxa"/>
            <w:vAlign w:val="bottom"/>
            <w:gridSpan w:val="14"/>
            <w:shd w:val="clear" w:color="auto" w:fill="CCEEFF"/>
          </w:tcPr>
          <w:p>
            <w:pPr>
              <w:spacing w:after="0" w:line="189" w:lineRule="exact"/>
              <w:rPr>
                <w:rFonts w:ascii="Arial" w:cs="Arial" w:eastAsia="Arial" w:hAnsi="Arial"/>
                <w:sz w:val="18"/>
                <w:szCs w:val="18"/>
                <w:color w:val="0000FF"/>
                <w:w w:val="95"/>
              </w:rPr>
            </w:pPr>
            <w:hyperlink r:id="rId43">
              <w:r>
                <w:rPr>
                  <w:rFonts w:ascii="Arial" w:cs="Arial" w:eastAsia="Arial" w:hAnsi="Arial"/>
                  <w:sz w:val="18"/>
                  <w:szCs w:val="18"/>
                  <w:color w:val="0000FF"/>
                  <w:w w:val="95"/>
                </w:rPr>
                <w:t>Amended and Restated Bylaws of Apogee Enterprises, Inc. (Incorporated by reference to Exhibit 3.3 to the Registrant’s Quarterly</w:t>
              </w:r>
            </w:hyperlink>
          </w:p>
        </w:tc>
        <w:tc>
          <w:tcPr>
            <w:tcW w:w="0" w:type="dxa"/>
            <w:vAlign w:val="bottom"/>
          </w:tcPr>
          <w:p>
            <w:pPr>
              <w:spacing w:after="0"/>
              <w:rPr>
                <w:sz w:val="1"/>
                <w:szCs w:val="1"/>
                <w:color w:val="auto"/>
              </w:rPr>
            </w:pPr>
          </w:p>
        </w:tc>
      </w:tr>
      <w:tr>
        <w:trPr>
          <w:trHeight w:val="156"/>
        </w:trPr>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0000FF"/>
            </w:tcBorders>
            <w:shd w:val="clear" w:color="auto" w:fill="CCEEFF"/>
          </w:tcPr>
          <w:p>
            <w:pPr>
              <w:spacing w:after="0"/>
              <w:rPr>
                <w:sz w:val="13"/>
                <w:szCs w:val="13"/>
                <w:color w:val="auto"/>
              </w:rPr>
            </w:pPr>
          </w:p>
        </w:tc>
        <w:tc>
          <w:tcPr>
            <w:tcW w:w="9680" w:type="dxa"/>
            <w:vAlign w:val="bottom"/>
            <w:tcBorders>
              <w:top w:val="single" w:sz="8" w:color="0000FF"/>
            </w:tcBorders>
            <w:gridSpan w:val="12"/>
            <w:shd w:val="clear" w:color="auto" w:fill="CCEEFF"/>
          </w:tcPr>
          <w:p>
            <w:pPr>
              <w:ind w:left="20"/>
              <w:spacing w:after="0" w:line="156" w:lineRule="exact"/>
              <w:rPr>
                <w:rFonts w:ascii="Arial" w:cs="Arial" w:eastAsia="Arial" w:hAnsi="Arial"/>
                <w:sz w:val="18"/>
                <w:szCs w:val="18"/>
                <w:color w:val="0000FF"/>
              </w:rPr>
            </w:pPr>
            <w:hyperlink r:id="rId43">
              <w:r>
                <w:rPr>
                  <w:rFonts w:ascii="Arial" w:cs="Arial" w:eastAsia="Arial" w:hAnsi="Arial"/>
                  <w:sz w:val="18"/>
                  <w:szCs w:val="18"/>
                  <w:color w:val="0000FF"/>
                </w:rPr>
                <w:t>Report on Form 10-Q for the quarter-ended May 29, 2021).</w:t>
              </w:r>
            </w:hyperlink>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0" w:type="dxa"/>
            <w:vAlign w:val="bottom"/>
            <w:gridSpan w:val="4"/>
          </w:tcPr>
          <w:p>
            <w:pPr>
              <w:spacing w:after="0" w:line="189" w:lineRule="exact"/>
              <w:rPr>
                <w:rFonts w:ascii="Arial" w:cs="Arial" w:eastAsia="Arial" w:hAnsi="Arial"/>
                <w:sz w:val="18"/>
                <w:szCs w:val="18"/>
                <w:color w:val="0000FF"/>
                <w:w w:val="96"/>
              </w:rPr>
            </w:pPr>
            <w:hyperlink r:id="rId44">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4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60" w:type="dxa"/>
            <w:vAlign w:val="bottom"/>
            <w:gridSpan w:val="14"/>
          </w:tcPr>
          <w:p>
            <w:pPr>
              <w:spacing w:after="0" w:line="189"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Apogee Enterprises, Inc. 2021 Deferred Compensation Plan for Non-Employee Directors (Incorporated by reference to Exhibit 4.5 to</w:t>
              </w:r>
            </w:hyperlink>
          </w:p>
        </w:tc>
        <w:tc>
          <w:tcPr>
            <w:tcW w:w="0" w:type="dxa"/>
            <w:vAlign w:val="bottom"/>
          </w:tcPr>
          <w:p>
            <w:pPr>
              <w:spacing w:after="0"/>
              <w:rPr>
                <w:sz w:val="1"/>
                <w:szCs w:val="1"/>
                <w:color w:val="auto"/>
              </w:rPr>
            </w:pPr>
          </w:p>
        </w:tc>
      </w:tr>
      <w:tr>
        <w:trPr>
          <w:trHeight w:val="169"/>
        </w:trPr>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5340" w:type="dxa"/>
            <w:vAlign w:val="bottom"/>
            <w:tcBorders>
              <w:top w:val="single" w:sz="8" w:color="0000FF"/>
              <w:bottom w:val="single" w:sz="8" w:color="0000FF"/>
            </w:tcBorders>
            <w:gridSpan w:val="5"/>
          </w:tcPr>
          <w:p>
            <w:pPr>
              <w:ind w:left="20"/>
              <w:spacing w:after="0" w:line="169"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Apogee’s Registration Statement on Form S-8 filed on October 13, 2021).</w:t>
              </w:r>
            </w:hyperlink>
          </w:p>
        </w:tc>
        <w:tc>
          <w:tcPr>
            <w:tcW w:w="4120" w:type="dxa"/>
            <w:vAlign w:val="bottom"/>
            <w:tcBorders>
              <w:top w:val="single" w:sz="8" w:color="0000FF"/>
            </w:tcBorders>
            <w:gridSpan w:val="2"/>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80" w:type="dxa"/>
            <w:vAlign w:val="bottom"/>
            <w:gridSpan w:val="5"/>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80" w:type="dxa"/>
            <w:vAlign w:val="bottom"/>
          </w:tcPr>
          <w:p>
            <w:pPr>
              <w:spacing w:after="0"/>
              <w:rPr>
                <w:sz w:val="19"/>
                <w:szCs w:val="19"/>
                <w:color w:val="auto"/>
              </w:rPr>
            </w:pPr>
          </w:p>
        </w:tc>
        <w:tc>
          <w:tcPr>
            <w:tcW w:w="9860" w:type="dxa"/>
            <w:vAlign w:val="bottom"/>
            <w:gridSpan w:val="1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Certification of Chief Executive Officer pursuant to Rule 13a-14(a) under the Securities Exchange Act of 1934.</w:t>
              </w:r>
            </w:hyperlink>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5"/>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80" w:type="dxa"/>
            <w:vAlign w:val="bottom"/>
          </w:tcPr>
          <w:p>
            <w:pPr>
              <w:spacing w:after="0"/>
              <w:rPr>
                <w:sz w:val="18"/>
                <w:szCs w:val="18"/>
                <w:color w:val="auto"/>
              </w:rPr>
            </w:pPr>
          </w:p>
        </w:tc>
        <w:tc>
          <w:tcPr>
            <w:tcW w:w="9860" w:type="dxa"/>
            <w:vAlign w:val="bottom"/>
            <w:gridSpan w:val="1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Certification of Chief Financial Officer pursuant to Rule 13a-14(a) under the Securities Exchange Act of 1934.</w:t>
              </w:r>
            </w:hyperlink>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gridSpan w:val="5"/>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80" w:type="dxa"/>
            <w:vAlign w:val="bottom"/>
          </w:tcPr>
          <w:p>
            <w:pPr>
              <w:spacing w:after="0"/>
              <w:rPr>
                <w:sz w:val="18"/>
                <w:szCs w:val="18"/>
                <w:color w:val="auto"/>
              </w:rPr>
            </w:pPr>
          </w:p>
        </w:tc>
        <w:tc>
          <w:tcPr>
            <w:tcW w:w="9860" w:type="dxa"/>
            <w:vAlign w:val="bottom"/>
            <w:gridSpan w:val="14"/>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Certification of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5"/>
        </w:trPr>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20" w:type="dxa"/>
            <w:vAlign w:val="bottom"/>
            <w:tcBorders>
              <w:top w:val="single" w:sz="8" w:color="0000FF"/>
              <w:bottom w:val="single" w:sz="8" w:color="0000FF"/>
            </w:tcBorders>
          </w:tcPr>
          <w:p>
            <w:pPr>
              <w:ind w:left="20"/>
              <w:spacing w:after="0" w:line="156" w:lineRule="exact"/>
              <w:rPr>
                <w:rFonts w:ascii="Arial" w:cs="Arial" w:eastAsia="Arial" w:hAnsi="Arial"/>
                <w:sz w:val="18"/>
                <w:szCs w:val="18"/>
                <w:color w:val="0000FF"/>
                <w:w w:val="91"/>
              </w:rPr>
            </w:pPr>
            <w:hyperlink w:anchor="page32">
              <w:r>
                <w:rPr>
                  <w:rFonts w:ascii="Arial" w:cs="Arial" w:eastAsia="Arial" w:hAnsi="Arial"/>
                  <w:sz w:val="18"/>
                  <w:szCs w:val="18"/>
                  <w:color w:val="0000FF"/>
                  <w:w w:val="91"/>
                </w:rPr>
                <w:t>Act of 2002.</w:t>
              </w:r>
            </w:hyperlink>
          </w:p>
        </w:tc>
        <w:tc>
          <w:tcPr>
            <w:tcW w:w="8680" w:type="dxa"/>
            <w:vAlign w:val="bottom"/>
            <w:tcBorders>
              <w:top w:val="single" w:sz="8" w:color="0000FF"/>
            </w:tcBorders>
            <w:gridSpan w:val="7"/>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80" w:type="dxa"/>
            <w:vAlign w:val="bottom"/>
            <w:gridSpan w:val="5"/>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580" w:type="dxa"/>
            <w:vAlign w:val="bottom"/>
          </w:tcPr>
          <w:p>
            <w:pPr>
              <w:spacing w:after="0"/>
              <w:rPr>
                <w:sz w:val="18"/>
                <w:szCs w:val="18"/>
                <w:color w:val="auto"/>
              </w:rPr>
            </w:pPr>
          </w:p>
        </w:tc>
        <w:tc>
          <w:tcPr>
            <w:tcW w:w="9860" w:type="dxa"/>
            <w:vAlign w:val="bottom"/>
            <w:gridSpan w:val="14"/>
          </w:tcPr>
          <w:p>
            <w:pPr>
              <w:spacing w:after="0"/>
              <w:rPr>
                <w:rFonts w:ascii="Arial" w:cs="Arial" w:eastAsia="Arial" w:hAnsi="Arial"/>
                <w:sz w:val="18"/>
                <w:szCs w:val="18"/>
                <w:color w:val="0000FF"/>
                <w:w w:val="92"/>
              </w:rPr>
            </w:pPr>
            <w:hyperlink w:anchor="page33">
              <w:r>
                <w:rPr>
                  <w:rFonts w:ascii="Arial" w:cs="Arial" w:eastAsia="Arial" w:hAnsi="Arial"/>
                  <w:sz w:val="18"/>
                  <w:szCs w:val="18"/>
                  <w:color w:val="0000FF"/>
                  <w:w w:val="92"/>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56"/>
        </w:trPr>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920" w:type="dxa"/>
            <w:vAlign w:val="bottom"/>
            <w:tcBorders>
              <w:top w:val="single" w:sz="8" w:color="0000FF"/>
              <w:bottom w:val="single" w:sz="8" w:color="0000FF"/>
            </w:tcBorders>
          </w:tcPr>
          <w:p>
            <w:pPr>
              <w:ind w:left="20"/>
              <w:spacing w:after="0" w:line="156" w:lineRule="exact"/>
              <w:rPr>
                <w:rFonts w:ascii="Arial" w:cs="Arial" w:eastAsia="Arial" w:hAnsi="Arial"/>
                <w:sz w:val="18"/>
                <w:szCs w:val="18"/>
                <w:color w:val="0000FF"/>
                <w:w w:val="91"/>
              </w:rPr>
            </w:pPr>
            <w:hyperlink w:anchor="page33">
              <w:r>
                <w:rPr>
                  <w:rFonts w:ascii="Arial" w:cs="Arial" w:eastAsia="Arial" w:hAnsi="Arial"/>
                  <w:sz w:val="18"/>
                  <w:szCs w:val="18"/>
                  <w:color w:val="0000FF"/>
                  <w:w w:val="91"/>
                </w:rPr>
                <w:t>Act of 2002.</w:t>
              </w:r>
            </w:hyperlink>
          </w:p>
        </w:tc>
        <w:tc>
          <w:tcPr>
            <w:tcW w:w="8720" w:type="dxa"/>
            <w:vAlign w:val="bottom"/>
            <w:tcBorders>
              <w:top w:val="single" w:sz="8" w:color="0000FF"/>
            </w:tcBorders>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-788035</wp:posOffset>
            </wp:positionV>
            <wp:extent cx="7012305"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012305" cy="1460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-496570</wp:posOffset>
            </wp:positionV>
            <wp:extent cx="7012305"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012305" cy="257175"/>
                    </a:xfrm>
                    <a:prstGeom prst="rect">
                      <a:avLst/>
                    </a:prstGeom>
                    <a:noFill/>
                  </pic:spPr>
                </pic:pic>
              </a:graphicData>
            </a:graphic>
          </wp:anchor>
        </w:drawing>
      </w:r>
    </w:p>
    <w:p>
      <w:pPr>
        <w:spacing w:after="0" w:line="6" w:lineRule="exact"/>
        <w:rPr>
          <w:sz w:val="20"/>
          <w:szCs w:val="20"/>
          <w:color w:val="auto"/>
        </w:rPr>
      </w:pPr>
    </w:p>
    <w:p>
      <w:pPr>
        <w:ind w:left="1540" w:right="220" w:hanging="1540"/>
        <w:spacing w:after="0" w:line="256" w:lineRule="auto"/>
        <w:tabs>
          <w:tab w:leader="none" w:pos="137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following materials from Apogee Enterprises, Inc.’s Quarterly Report on Form 10-Q for the quarter ended November 27, 2021, formatted in iXBRL (Inline Extensible Business Reporting Language): (i) the Consolidated Balance Sheets as of November 27, 2021 and February 27, 2021, (ii) the Consolidated Results of Operations for the three- and nine-months ended November 27, 2021 and November 28, 2020, (iii) the Consolidated Statements of Comprehensive Earnings for the three- and nine-months ended November 27, 2021 and November 28, 2020, (iv) the Consolidated Statements of Cash Flows for the nine-months ended November 27, 2021 and November 28, 2020, (v) the Consolidated Statements of Shareholders' Equity for the three- and nine-months ended November 27, 2021 and November 28, 2020,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-871220</wp:posOffset>
            </wp:positionV>
            <wp:extent cx="7012305" cy="874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012305" cy="874395"/>
                    </a:xfrm>
                    <a:prstGeom prst="rect">
                      <a:avLst/>
                    </a:prstGeom>
                    <a:noFill/>
                  </pic:spPr>
                </pic:pic>
              </a:graphicData>
            </a:graphic>
          </wp:anchor>
        </w:drawing>
      </w:r>
    </w:p>
    <w:p>
      <w:pPr>
        <w:ind w:left="1360" w:right="3860" w:hanging="1360"/>
        <w:spacing w:after="0" w:line="293" w:lineRule="auto"/>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as iXBRL and contained in Exhibit 101) Exhibits marked with a (#) sign are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-173990</wp:posOffset>
            </wp:positionV>
            <wp:extent cx="701230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012305" cy="14605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APOGEE ENTERPRISES, INC.</w:t>
      </w:r>
    </w:p>
    <w:p>
      <w:pPr>
        <w:spacing w:after="0" w:line="293"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8"/>
          <w:szCs w:val="18"/>
          <w:color w:val="auto"/>
        </w:rPr>
        <w:t>Date: January 6, 2022</w:t>
      </w:r>
      <w:r>
        <w:rPr>
          <w:sz w:val="20"/>
          <w:szCs w:val="20"/>
          <w:color w:val="auto"/>
        </w:rPr>
        <w:tab/>
      </w:r>
      <w:r>
        <w:rPr>
          <w:rFonts w:ascii="Arial" w:cs="Arial" w:eastAsia="Arial" w:hAnsi="Arial"/>
          <w:sz w:val="16"/>
          <w:szCs w:val="16"/>
          <w:color w:val="auto"/>
        </w:rPr>
        <w:t>By: /s/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14605</wp:posOffset>
            </wp:positionV>
            <wp:extent cx="36087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Ty R. Silberhorn</w:t>
      </w:r>
    </w:p>
    <w:p>
      <w:pPr>
        <w:ind w:left="6040"/>
        <w:spacing w:after="0" w:line="203" w:lineRule="auto"/>
        <w:rPr>
          <w:sz w:val="20"/>
          <w:szCs w:val="20"/>
          <w:color w:val="auto"/>
        </w:rPr>
      </w:pPr>
      <w:r>
        <w:rPr>
          <w:rFonts w:ascii="Arial" w:cs="Arial" w:eastAsia="Arial" w:hAnsi="Arial"/>
          <w:sz w:val="18"/>
          <w:szCs w:val="18"/>
          <w:color w:val="auto"/>
        </w:rPr>
        <w:t>President and Chief Executive Officer</w:t>
      </w:r>
    </w:p>
    <w:p>
      <w:pPr>
        <w:ind w:left="60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5540" w:val="left"/>
        </w:tabs>
        <w:rPr>
          <w:sz w:val="20"/>
          <w:szCs w:val="20"/>
          <w:color w:val="auto"/>
        </w:rPr>
      </w:pPr>
      <w:r>
        <w:rPr>
          <w:rFonts w:ascii="Arial" w:cs="Arial" w:eastAsia="Arial" w:hAnsi="Arial"/>
          <w:sz w:val="18"/>
          <w:szCs w:val="18"/>
          <w:color w:val="auto"/>
        </w:rPr>
        <w:t>Date: January 6, 2022</w:t>
      </w:r>
      <w:r>
        <w:rPr>
          <w:sz w:val="20"/>
          <w:szCs w:val="20"/>
          <w:color w:val="auto"/>
        </w:rPr>
        <w:tab/>
      </w:r>
      <w:r>
        <w:rPr>
          <w:rFonts w:ascii="Arial" w:cs="Arial" w:eastAsia="Arial" w:hAnsi="Arial"/>
          <w:sz w:val="16"/>
          <w:szCs w:val="16"/>
          <w:color w:val="auto"/>
        </w:rPr>
        <w:t>By: /s/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361759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3617595" cy="8890"/>
                    </a:xfrm>
                    <a:prstGeom prst="rect">
                      <a:avLst/>
                    </a:prstGeom>
                    <a:noFill/>
                  </pic:spPr>
                </pic:pic>
              </a:graphicData>
            </a:graphic>
          </wp:anchor>
        </w:drawing>
      </w:r>
    </w:p>
    <w:p>
      <w:pPr>
        <w:spacing w:after="0" w:line="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Nisheet Gupta</w:t>
      </w:r>
    </w:p>
    <w:p>
      <w:pPr>
        <w:ind w:left="6020"/>
        <w:spacing w:after="0" w:line="203" w:lineRule="auto"/>
        <w:rPr>
          <w:sz w:val="20"/>
          <w:szCs w:val="20"/>
          <w:color w:val="auto"/>
        </w:rPr>
      </w:pPr>
      <w:r>
        <w:rPr>
          <w:rFonts w:ascii="Arial" w:cs="Arial" w:eastAsia="Arial" w:hAnsi="Arial"/>
          <w:sz w:val="18"/>
          <w:szCs w:val="18"/>
          <w:color w:val="auto"/>
        </w:rPr>
        <w:t>Executive Vice President and Chief Financial Officer (Principal</w:t>
      </w:r>
    </w:p>
    <w:p>
      <w:pPr>
        <w:ind w:left="6020"/>
        <w:spacing w:after="0"/>
        <w:rPr>
          <w:sz w:val="20"/>
          <w:szCs w:val="20"/>
          <w:color w:val="auto"/>
        </w:rPr>
      </w:pPr>
      <w:r>
        <w:rPr>
          <w:rFonts w:ascii="Arial" w:cs="Arial" w:eastAsia="Arial" w:hAnsi="Arial"/>
          <w:sz w:val="18"/>
          <w:szCs w:val="18"/>
          <w:color w:val="auto"/>
        </w:rPr>
        <w:t>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125" w:right="37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Ty R. Silberhorn, certify that:</w:t>
      </w:r>
    </w:p>
    <w:p>
      <w:pPr>
        <w:spacing w:after="0" w:line="117"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ind w:left="2280" w:right="220" w:hanging="652"/>
        <w:spacing w:after="0" w:line="311" w:lineRule="auto"/>
        <w:tabs>
          <w:tab w:leader="none" w:pos="1952"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280" w:right="60" w:hanging="652"/>
        <w:spacing w:after="0" w:line="286" w:lineRule="auto"/>
        <w:tabs>
          <w:tab w:leader="none" w:pos="1962"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2280" w:right="60" w:hanging="652"/>
        <w:spacing w:after="0" w:line="263" w:lineRule="auto"/>
        <w:tabs>
          <w:tab w:leader="none" w:pos="19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280" w:right="40" w:hanging="652"/>
        <w:spacing w:after="0" w:line="311" w:lineRule="auto"/>
        <w:tabs>
          <w:tab w:leader="none" w:pos="1962"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2280" w:right="120" w:hanging="652"/>
        <w:spacing w:after="0" w:line="263" w:lineRule="auto"/>
        <w:tabs>
          <w:tab w:leader="none" w:pos="19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280" w:right="140" w:hanging="652"/>
        <w:spacing w:after="0" w:line="277" w:lineRule="auto"/>
        <w:tabs>
          <w:tab w:leader="none" w:pos="196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January 6, 2022</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40640</wp:posOffset>
            </wp:positionV>
            <wp:extent cx="27863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8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Ty R. Silberhorn</w:t>
      </w:r>
    </w:p>
    <w:p>
      <w:pPr>
        <w:ind w:left="68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918"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Nisheet Gupta, certify that:</w:t>
      </w:r>
    </w:p>
    <w:p>
      <w:pPr>
        <w:spacing w:after="0" w:line="117"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Apogee Enterprises, Inc.;</w:t>
      </w:r>
    </w:p>
    <w:p>
      <w:pPr>
        <w:spacing w:after="0" w:line="117" w:lineRule="exact"/>
        <w:rPr>
          <w:rFonts w:ascii="Arial" w:cs="Arial" w:eastAsia="Arial" w:hAnsi="Arial"/>
          <w:sz w:val="18"/>
          <w:szCs w:val="18"/>
          <w:color w:val="auto"/>
        </w:rPr>
      </w:pPr>
    </w:p>
    <w:p>
      <w:pPr>
        <w:ind w:left="1300" w:right="160" w:hanging="644"/>
        <w:spacing w:after="0" w:line="263"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300" w:right="220" w:hanging="644"/>
        <w:spacing w:after="0" w:line="342"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300" w:right="100" w:hanging="644"/>
        <w:spacing w:after="0" w:line="291"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ind w:left="2280" w:right="20" w:hanging="652"/>
        <w:spacing w:after="0" w:line="311" w:lineRule="auto"/>
        <w:tabs>
          <w:tab w:leader="none" w:pos="2271"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280" w:right="440" w:hanging="652"/>
        <w:spacing w:after="0" w:line="311" w:lineRule="auto"/>
        <w:tabs>
          <w:tab w:leader="none" w:pos="226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jc w:val="both"/>
        <w:ind w:left="2280" w:right="20" w:hanging="652"/>
        <w:spacing w:after="0" w:line="263" w:lineRule="auto"/>
        <w:tabs>
          <w:tab w:leader="none" w:pos="22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280" w:right="60" w:hanging="652"/>
        <w:spacing w:after="0" w:line="311" w:lineRule="auto"/>
        <w:tabs>
          <w:tab w:leader="none" w:pos="2268"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6"/>
          <w:szCs w:val="16"/>
          <w:color w:val="auto"/>
        </w:rPr>
      </w:pPr>
    </w:p>
    <w:p>
      <w:pPr>
        <w:ind w:left="1300" w:right="140" w:hanging="644"/>
        <w:spacing w:after="0" w:line="263"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2280" w:right="280" w:hanging="652"/>
        <w:spacing w:after="0" w:line="263" w:lineRule="auto"/>
        <w:tabs>
          <w:tab w:leader="none" w:pos="227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280" w:right="680" w:hanging="652"/>
        <w:spacing w:after="0" w:line="277" w:lineRule="auto"/>
        <w:tabs>
          <w:tab w:leader="none" w:pos="2268"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January 6, 2022</w:t>
      </w:r>
    </w:p>
    <w:p>
      <w:pPr>
        <w:spacing w:after="0" w:line="33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14605</wp:posOffset>
            </wp:positionV>
            <wp:extent cx="27863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1"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Nisheet Gupta</w:t>
      </w:r>
    </w:p>
    <w:p>
      <w:pPr>
        <w:ind w:left="6840"/>
        <w:spacing w:after="0" w:line="203" w:lineRule="auto"/>
        <w:rPr>
          <w:sz w:val="20"/>
          <w:szCs w:val="20"/>
          <w:color w:val="auto"/>
        </w:rPr>
      </w:pPr>
      <w:r>
        <w:rPr>
          <w:rFonts w:ascii="Arial" w:cs="Arial" w:eastAsia="Arial" w:hAnsi="Arial"/>
          <w:sz w:val="18"/>
          <w:szCs w:val="18"/>
          <w:color w:val="auto"/>
        </w:rPr>
        <w:t>Executive Vice President and</w:t>
      </w:r>
    </w:p>
    <w:p>
      <w:pPr>
        <w:ind w:left="6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connection with the Quarterly Report of Apogee Enterprises, Inc. (the “Company”) on Form 10-Q for the period ended November 27, 2021 as filed with the Securities and Exchange Commission (the “Report”), I, Ty R. Silberhorn, Chief Executive Officer of the Company, certify, pursuant to 18 U.S.C.</w:t>
      </w:r>
    </w:p>
    <w:p>
      <w:pPr>
        <w:ind w:left="140" w:hanging="132"/>
        <w:spacing w:after="0"/>
        <w:tabs>
          <w:tab w:leader="none" w:pos="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based on my knowledge:</w:t>
      </w:r>
    </w:p>
    <w:p>
      <w:pPr>
        <w:spacing w:after="0" w:line="156" w:lineRule="exact"/>
        <w:rPr>
          <w:rFonts w:ascii="Arial" w:cs="Arial" w:eastAsia="Arial" w:hAnsi="Arial"/>
          <w:sz w:val="18"/>
          <w:szCs w:val="18"/>
          <w:color w:val="auto"/>
        </w:rPr>
      </w:pPr>
    </w:p>
    <w:p>
      <w:pPr>
        <w:ind w:left="640" w:hanging="308"/>
        <w:spacing w:after="0"/>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0"/>
        <w:spacing w:after="0"/>
        <w:rPr>
          <w:sz w:val="20"/>
          <w:szCs w:val="20"/>
          <w:color w:val="auto"/>
        </w:rPr>
      </w:pPr>
      <w:r>
        <w:rPr>
          <w:rFonts w:ascii="Arial" w:cs="Arial" w:eastAsia="Arial" w:hAnsi="Arial"/>
          <w:sz w:val="18"/>
          <w:szCs w:val="18"/>
          <w:color w:val="auto"/>
        </w:rPr>
        <w:t>/s/ Ty R. Silberhorn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74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Ty R. Silberhorn</w:t>
      </w: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6, 2022</w:t>
      </w:r>
    </w:p>
    <w:p>
      <w:pPr>
        <w:sectPr>
          <w:pgSz w:w="11900" w:h="16838" w:orient="portrait"/>
          <w:cols w:equalWidth="0" w:num="1">
            <w:col w:w="11240"/>
          </w:cols>
          <w:pgMar w:left="320" w:top="89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connection with the Quarterly Report of Apogee Enterprises, Inc. (the “Company”) on Form 10-Q for the period ended November 27, 2021 as filed with the Securities and Exchange Commission (the “Report”), I, Nisheet Gupta, Chief Financial Officer of the Company, certify, pursuant to 18 U.S.C. § 1350, as adopted pursuant to § 906 of the Sarbanes-Oxley Act of 2002, that based on my knowledge:</w:t>
      </w:r>
    </w:p>
    <w:p>
      <w:pPr>
        <w:spacing w:after="0" w:line="130"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Nisheet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774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Nisheet Gupta</w:t>
      </w:r>
    </w:p>
    <w:p>
      <w:pPr>
        <w:ind w:left="20"/>
        <w:spacing w:after="0" w:line="203" w:lineRule="auto"/>
        <w:rPr>
          <w:sz w:val="20"/>
          <w:szCs w:val="20"/>
          <w:color w:val="auto"/>
        </w:rPr>
      </w:pPr>
      <w:r>
        <w:rPr>
          <w:rFonts w:ascii="Arial" w:cs="Arial" w:eastAsia="Arial" w:hAnsi="Arial"/>
          <w:sz w:val="18"/>
          <w:szCs w:val="18"/>
          <w:color w:val="auto"/>
        </w:rPr>
        <w:t>Executive Vice President and</w:t>
      </w:r>
    </w:p>
    <w:p>
      <w:pPr>
        <w:ind w:left="2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January 6, 2022</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4"/>
    </w:lvl>
  </w:abstractNum>
  <w:abstractNum w:abstractNumId="5">
    <w:nsid w:val="109CF92E"/>
    <w:multiLevelType w:val="hybridMultilevel"/>
    <w:lvl w:ilvl="0">
      <w:lvlJc w:val="left"/>
      <w:lvlText w:val="%1."/>
      <w:numFmt w:val="decimal"/>
      <w:start w:val="5"/>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0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
      <w:numFmt w:val="bullet"/>
      <w:start w:val="1"/>
    </w:lvl>
    <w:lvl w:ilvl="1">
      <w:lvlJc w:val="left"/>
      <w:lvlText w:val="(%2)"/>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41" Type="http://schemas.openxmlformats.org/officeDocument/2006/relationships/hyperlink" Target="http://www.sec.gov/Archives/edgar/data/6845/000119312504079352/dex31.htm" TargetMode="External"/><Relationship Id="rId42" Type="http://schemas.openxmlformats.org/officeDocument/2006/relationships/hyperlink" Target="http://www.sec.gov/Archives/edgar/data/6845/000119312520008887/d874518dex31.htm" TargetMode="External"/><Relationship Id="rId43" Type="http://schemas.openxmlformats.org/officeDocument/2006/relationships/hyperlink" Target="http://www.sec.gov/Archives/edgar/data/0000006845/000000684521000020/apog-ex33arbylawsfinalapri.htm" TargetMode="External"/><Relationship Id="rId44" Type="http://schemas.openxmlformats.org/officeDocument/2006/relationships/hyperlink" Target="http://www.sec.gov/Archives/edgar/data/6845/000119312521297906/d238106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2022-01-06T15:32:07Z</dcterms:created>
  <dcterms:modified xsi:type="dcterms:W3CDTF">2022-01-06T15:32:07Z</dcterms:modified>
</cp:coreProperties>
</file>