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688975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9"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w:t>
      </w:r>
    </w:p>
    <w:p>
      <w:pPr>
        <w:ind w:left="500" w:hanging="474"/>
        <w:spacing w:after="0" w:line="195" w:lineRule="auto"/>
        <w:tabs>
          <w:tab w:leader="none" w:pos="500" w:val="left"/>
        </w:tabs>
        <w:numPr>
          <w:ilvl w:val="0"/>
          <w:numId w:val="1"/>
        </w:numPr>
        <w:rPr>
          <w:rFonts w:ascii="MS PGothic" w:cs="MS PGothic" w:eastAsia="MS PGothic" w:hAnsi="MS PGothic"/>
          <w:sz w:val="43"/>
          <w:szCs w:val="43"/>
          <w:color w:val="auto"/>
          <w:vertAlign w:val="subscript"/>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November 26, 2022</w:t>
      </w:r>
    </w:p>
    <w:p>
      <w:pPr>
        <w:ind w:left="480" w:hanging="454"/>
        <w:spacing w:after="0" w:line="206" w:lineRule="auto"/>
        <w:tabs>
          <w:tab w:leader="none" w:pos="480" w:val="left"/>
        </w:tabs>
        <w:numPr>
          <w:ilvl w:val="0"/>
          <w:numId w:val="2"/>
        </w:numPr>
        <w:rPr>
          <w:rFonts w:ascii="MS PGothic" w:cs="MS PGothic" w:eastAsia="MS PGothic" w:hAnsi="MS PGothic"/>
          <w:sz w:val="43"/>
          <w:szCs w:val="43"/>
          <w:color w:val="auto"/>
          <w:vertAlign w:val="subscript"/>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35" w:lineRule="exact"/>
        <w:rPr>
          <w:sz w:val="24"/>
          <w:szCs w:val="24"/>
          <w:color w:val="auto"/>
        </w:rPr>
      </w:pPr>
    </w:p>
    <w:p>
      <w:pPr>
        <w:ind w:left="3980"/>
        <w:spacing w:after="0"/>
        <w:tabs>
          <w:tab w:leader="none" w:pos="65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0-6365</w:t>
      </w:r>
    </w:p>
    <w:p>
      <w:pPr>
        <w:spacing w:after="0" w:line="57"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APOGEE ENTERPRISES, INC.</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3"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17" w:lineRule="exact"/>
        <w:rPr>
          <w:sz w:val="24"/>
          <w:szCs w:val="24"/>
          <w:color w:val="auto"/>
        </w:rPr>
      </w:pPr>
    </w:p>
    <w:p>
      <w:pPr>
        <w:ind w:left="1860"/>
        <w:spacing w:after="0"/>
        <w:tabs>
          <w:tab w:leader="none" w:pos="8820" w:val="left"/>
        </w:tabs>
        <w:rPr>
          <w:sz w:val="20"/>
          <w:szCs w:val="20"/>
          <w:color w:val="auto"/>
        </w:rPr>
      </w:pPr>
      <w:r>
        <w:rPr>
          <w:rFonts w:ascii="Times New Roman" w:cs="Times New Roman" w:eastAsia="Times New Roman" w:hAnsi="Times New Roman"/>
          <w:sz w:val="17"/>
          <w:szCs w:val="17"/>
          <w:b w:val="1"/>
          <w:bCs w:val="1"/>
          <w:color w:val="auto"/>
        </w:rPr>
        <w:t>Minnesota</w:t>
      </w:r>
      <w:r>
        <w:rPr>
          <w:sz w:val="20"/>
          <w:szCs w:val="20"/>
          <w:color w:val="auto"/>
        </w:rPr>
        <w:tab/>
      </w:r>
      <w:r>
        <w:rPr>
          <w:rFonts w:ascii="Times New Roman" w:cs="Times New Roman" w:eastAsia="Times New Roman" w:hAnsi="Times New Roman"/>
          <w:sz w:val="17"/>
          <w:szCs w:val="17"/>
          <w:b w:val="1"/>
          <w:bCs w:val="1"/>
          <w:color w:val="auto"/>
        </w:rPr>
        <w:t>41-0919654</w:t>
      </w:r>
    </w:p>
    <w:p>
      <w:pPr>
        <w:spacing w:after="0" w:line="37" w:lineRule="exact"/>
        <w:rPr>
          <w:sz w:val="24"/>
          <w:szCs w:val="24"/>
          <w:color w:val="auto"/>
        </w:rPr>
      </w:pPr>
    </w:p>
    <w:p>
      <w:pPr>
        <w:ind w:left="540"/>
        <w:spacing w:after="0"/>
        <w:tabs>
          <w:tab w:leader="none" w:pos="8200" w:val="left"/>
        </w:tabs>
        <w:rPr>
          <w:sz w:val="20"/>
          <w:szCs w:val="20"/>
          <w:color w:val="auto"/>
        </w:rPr>
      </w:pPr>
      <w:r>
        <w:rPr>
          <w:rFonts w:ascii="Times New Roman" w:cs="Times New Roman" w:eastAsia="Times New Roman" w:hAnsi="Times New Roman"/>
          <w:sz w:val="14"/>
          <w:szCs w:val="14"/>
          <w:color w:val="auto"/>
        </w:rPr>
        <w:t>(State or other jurisdiction of incorporation or organization)</w:t>
      </w:r>
      <w:r>
        <w:rPr>
          <w:sz w:val="20"/>
          <w:szCs w:val="20"/>
          <w:color w:val="auto"/>
        </w:rPr>
        <w:tab/>
      </w:r>
      <w:r>
        <w:rPr>
          <w:rFonts w:ascii="Times New Roman" w:cs="Times New Roman" w:eastAsia="Times New Roman" w:hAnsi="Times New Roman"/>
          <w:sz w:val="14"/>
          <w:szCs w:val="14"/>
          <w:color w:val="auto"/>
        </w:rPr>
        <w:t>(I.R.S. Employer Identification No.)</w:t>
      </w:r>
    </w:p>
    <w:p>
      <w:pPr>
        <w:spacing w:after="0" w:line="92" w:lineRule="exact"/>
        <w:rPr>
          <w:sz w:val="24"/>
          <w:szCs w:val="24"/>
          <w:color w:val="auto"/>
        </w:rPr>
      </w:pPr>
    </w:p>
    <w:p>
      <w:pPr>
        <w:ind w:left="1080"/>
        <w:spacing w:after="0"/>
        <w:tabs>
          <w:tab w:leader="none" w:pos="4700" w:val="left"/>
          <w:tab w:leader="none" w:pos="6120" w:val="left"/>
          <w:tab w:leader="none" w:pos="9020" w:val="left"/>
        </w:tabs>
        <w:rPr>
          <w:sz w:val="20"/>
          <w:szCs w:val="20"/>
          <w:color w:val="auto"/>
        </w:rPr>
      </w:pPr>
      <w:r>
        <w:rPr>
          <w:rFonts w:ascii="Times New Roman" w:cs="Times New Roman" w:eastAsia="Times New Roman" w:hAnsi="Times New Roman"/>
          <w:sz w:val="17"/>
          <w:szCs w:val="17"/>
          <w:b w:val="1"/>
          <w:bCs w:val="1"/>
          <w:color w:val="auto"/>
        </w:rPr>
        <w:t>4400 West 78th Street, Suite 520</w:t>
      </w:r>
      <w:r>
        <w:rPr>
          <w:sz w:val="20"/>
          <w:szCs w:val="20"/>
          <w:color w:val="auto"/>
        </w:rPr>
        <w:tab/>
      </w:r>
      <w:r>
        <w:rPr>
          <w:rFonts w:ascii="Times New Roman" w:cs="Times New Roman" w:eastAsia="Times New Roman" w:hAnsi="Times New Roman"/>
          <w:sz w:val="17"/>
          <w:szCs w:val="17"/>
          <w:b w:val="1"/>
          <w:bCs w:val="1"/>
          <w:color w:val="auto"/>
        </w:rPr>
        <w:t>Minneapolis</w:t>
      </w:r>
      <w:r>
        <w:rPr>
          <w:sz w:val="20"/>
          <w:szCs w:val="20"/>
          <w:color w:val="auto"/>
        </w:rPr>
        <w:tab/>
      </w:r>
      <w:r>
        <w:rPr>
          <w:rFonts w:ascii="Times New Roman" w:cs="Times New Roman" w:eastAsia="Times New Roman" w:hAnsi="Times New Roman"/>
          <w:sz w:val="17"/>
          <w:szCs w:val="17"/>
          <w:b w:val="1"/>
          <w:bCs w:val="1"/>
          <w:color w:val="auto"/>
        </w:rPr>
        <w:t>Minnesota</w:t>
      </w:r>
      <w:r>
        <w:rPr>
          <w:sz w:val="20"/>
          <w:szCs w:val="20"/>
          <w:color w:val="auto"/>
        </w:rPr>
        <w:tab/>
      </w:r>
      <w:r>
        <w:rPr>
          <w:rFonts w:ascii="Times New Roman" w:cs="Times New Roman" w:eastAsia="Times New Roman" w:hAnsi="Times New Roman"/>
          <w:sz w:val="16"/>
          <w:szCs w:val="16"/>
          <w:b w:val="1"/>
          <w:bCs w:val="1"/>
          <w:color w:val="auto"/>
        </w:rPr>
        <w:t>55435</w:t>
      </w:r>
    </w:p>
    <w:p>
      <w:pPr>
        <w:spacing w:after="0" w:line="37" w:lineRule="exact"/>
        <w:rPr>
          <w:sz w:val="24"/>
          <w:szCs w:val="24"/>
          <w:color w:val="auto"/>
        </w:rPr>
      </w:pPr>
    </w:p>
    <w:p>
      <w:pPr>
        <w:ind w:left="1100"/>
        <w:spacing w:after="0"/>
        <w:tabs>
          <w:tab w:leader="none" w:pos="8920" w:val="left"/>
        </w:tabs>
        <w:rPr>
          <w:sz w:val="20"/>
          <w:szCs w:val="20"/>
          <w:color w:val="auto"/>
        </w:rPr>
      </w:pPr>
      <w:r>
        <w:rPr>
          <w:rFonts w:ascii="Times New Roman" w:cs="Times New Roman" w:eastAsia="Times New Roman" w:hAnsi="Times New Roman"/>
          <w:sz w:val="14"/>
          <w:szCs w:val="14"/>
          <w:color w:val="auto"/>
        </w:rPr>
        <w:t>(Address of principal executive offices)</w:t>
      </w:r>
      <w:r>
        <w:rPr>
          <w:sz w:val="20"/>
          <w:szCs w:val="20"/>
          <w:color w:val="auto"/>
        </w:rPr>
        <w:tab/>
      </w:r>
      <w:r>
        <w:rPr>
          <w:rFonts w:ascii="Times New Roman" w:cs="Times New Roman" w:eastAsia="Times New Roman" w:hAnsi="Times New Roman"/>
          <w:sz w:val="14"/>
          <w:szCs w:val="14"/>
          <w:color w:val="auto"/>
        </w:rPr>
        <w:t>(Zip Code)</w:t>
      </w:r>
    </w:p>
    <w:p>
      <w:pPr>
        <w:spacing w:after="0" w:line="1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(952) 835-1874</w:t>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9"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p>
      <w:pPr>
        <w:ind w:left="1460"/>
        <w:spacing w:after="0"/>
        <w:tabs>
          <w:tab w:leader="none" w:pos="4860" w:val="left"/>
          <w:tab w:leader="none" w:pos="738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31" w:lineRule="exact"/>
        <w:rPr>
          <w:sz w:val="24"/>
          <w:szCs w:val="24"/>
          <w:color w:val="auto"/>
        </w:rPr>
      </w:pPr>
    </w:p>
    <w:p>
      <w:pPr>
        <w:ind w:left="500"/>
        <w:spacing w:after="0"/>
        <w:tabs>
          <w:tab w:leader="none" w:pos="5320" w:val="left"/>
          <w:tab w:leader="none" w:pos="7920" w:val="left"/>
        </w:tabs>
        <w:rPr>
          <w:sz w:val="20"/>
          <w:szCs w:val="20"/>
          <w:color w:val="auto"/>
        </w:rPr>
      </w:pPr>
      <w:r>
        <w:rPr>
          <w:rFonts w:ascii="Times New Roman" w:cs="Times New Roman" w:eastAsia="Times New Roman" w:hAnsi="Times New Roman"/>
          <w:sz w:val="18"/>
          <w:szCs w:val="18"/>
          <w:color w:val="auto"/>
        </w:rPr>
        <w:t>Common stock, par value $0.33 1/3 per share</w:t>
      </w:r>
      <w:r>
        <w:rPr>
          <w:sz w:val="20"/>
          <w:szCs w:val="20"/>
          <w:color w:val="auto"/>
        </w:rPr>
        <w:tab/>
      </w:r>
      <w:r>
        <w:rPr>
          <w:rFonts w:ascii="Times New Roman" w:cs="Times New Roman" w:eastAsia="Times New Roman" w:hAnsi="Times New Roman"/>
          <w:sz w:val="18"/>
          <w:szCs w:val="18"/>
          <w:color w:val="auto"/>
        </w:rPr>
        <w:t>APOG</w:t>
      </w:r>
      <w:r>
        <w:rPr>
          <w:sz w:val="20"/>
          <w:szCs w:val="20"/>
          <w:color w:val="auto"/>
        </w:rPr>
        <w:tab/>
      </w:r>
      <w:r>
        <w:rPr>
          <w:rFonts w:ascii="Times New Roman" w:cs="Times New Roman" w:eastAsia="Times New Roman" w:hAnsi="Times New Roman"/>
          <w:sz w:val="17"/>
          <w:szCs w:val="17"/>
          <w:color w:val="auto"/>
        </w:rPr>
        <w:t>The Nasdaq Stock Market LLC</w:t>
      </w:r>
    </w:p>
    <w:p>
      <w:pPr>
        <w:spacing w:after="0" w:line="9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w:t>
      </w:r>
    </w:p>
    <w:p>
      <w:pPr>
        <w:spacing w:after="0" w:line="12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w:t>
      </w:r>
    </w:p>
    <w:p>
      <w:pPr>
        <w:spacing w:after="0" w:line="108"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08" w:right="339" w:bottom="1440" w:gutter="0" w:footer="0" w:header="0"/>
        </w:sectPr>
      </w:pPr>
    </w:p>
    <w:p>
      <w:pPr>
        <w:spacing w:after="0" w:line="176"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00" w:type="dxa"/>
            <w:vAlign w:val="bottom"/>
          </w:tcPr>
          <w:p>
            <w:pPr>
              <w:ind w:left="460"/>
              <w:spacing w:after="0"/>
              <w:rPr>
                <w:sz w:val="20"/>
                <w:szCs w:val="20"/>
                <w:color w:val="auto"/>
              </w:rPr>
            </w:pPr>
            <w:r>
              <w:rPr>
                <w:rFonts w:ascii="Wingdings" w:cs="Wingdings" w:eastAsia="Wingdings" w:hAnsi="Wingdings"/>
                <w:sz w:val="18"/>
                <w:szCs w:val="18"/>
                <w:b w:val="1"/>
                <w:bCs w:val="1"/>
                <w:color w:val="auto"/>
              </w:rPr>
              <w:t>x</w:t>
            </w:r>
          </w:p>
        </w:tc>
        <w:tc>
          <w:tcPr>
            <w:tcW w:w="42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Accelerated filer</w:t>
            </w:r>
          </w:p>
        </w:tc>
      </w:tr>
      <w:tr>
        <w:trPr>
          <w:trHeight w:val="28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00" w:type="dxa"/>
            <w:vAlign w:val="bottom"/>
          </w:tcPr>
          <w:p>
            <w:pPr>
              <w:ind w:left="460"/>
              <w:spacing w:after="0"/>
              <w:rPr>
                <w:sz w:val="20"/>
                <w:szCs w:val="20"/>
                <w:color w:val="auto"/>
              </w:rPr>
            </w:pPr>
            <w:r>
              <w:rPr>
                <w:rFonts w:ascii="Wingdings" w:cs="Wingdings" w:eastAsia="Wingdings" w:hAnsi="Wingdings"/>
                <w:sz w:val="18"/>
                <w:szCs w:val="18"/>
                <w:b w:val="1"/>
                <w:bCs w:val="1"/>
                <w:color w:val="auto"/>
              </w:rPr>
              <w:t>o</w:t>
            </w:r>
          </w:p>
        </w:tc>
        <w:tc>
          <w:tcPr>
            <w:tcW w:w="422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8"/>
              </w:rPr>
              <w:t>Smaller reporting company</w:t>
            </w:r>
          </w:p>
        </w:tc>
      </w:tr>
      <w:tr>
        <w:trPr>
          <w:trHeight w:val="299"/>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9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220" w:type="dxa"/>
            <w:vAlign w:val="bottom"/>
          </w:tcPr>
          <w:p>
            <w:pPr>
              <w:spacing w:after="0"/>
              <w:rPr>
                <w:sz w:val="24"/>
                <w:szCs w:val="24"/>
                <w:color w:val="auto"/>
              </w:rPr>
            </w:pPr>
          </w:p>
        </w:tc>
      </w:tr>
    </w:tbl>
    <w:p>
      <w:pPr>
        <w:ind w:left="20"/>
        <w:spacing w:after="0" w:line="233"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631190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48" w:lineRule="exact"/>
        <w:rPr>
          <w:sz w:val="24"/>
          <w:szCs w:val="24"/>
          <w:color w:val="auto"/>
        </w:rPr>
      </w:pPr>
    </w:p>
    <w:p>
      <w:pPr>
        <w:jc w:val="center"/>
        <w:ind w:right="520"/>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2">
            <w:col w:w="10080" w:space="480"/>
            <w:col w:w="680"/>
          </w:cols>
          <w:pgMar w:left="320" w:top="1208" w:right="339" w:bottom="1440" w:gutter="0" w:footer="0" w:header="0"/>
          <w:type w:val="continuous"/>
        </w:sectPr>
      </w:pPr>
    </w:p>
    <w:bookmarkStart w:id="1" w:name="page2"/>
    <w:bookmarkEnd w:id="1"/>
    <w:p>
      <w:pPr>
        <w:ind w:right="599"/>
        <w:spacing w:after="0" w:line="3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As of December 26, 2022, 22,213,890 shares of the registrant’s common stock, par value $0.33 1/3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751205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112395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78105</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0139"/>
          </w:cols>
          <w:pgMar w:left="320" w:top="97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APOGEE ENTERPRISES, INC. AND SUBSIDIARIES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3440" w:type="dxa"/>
            <w:vAlign w:val="bottom"/>
            <w:gridSpan w:val="6"/>
          </w:tcPr>
          <w:p>
            <w:pPr>
              <w:ind w:left="26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3"/>
        </w:trPr>
        <w:tc>
          <w:tcPr>
            <w:tcW w:w="2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7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Information</w:t>
            </w:r>
          </w:p>
        </w:tc>
        <w:tc>
          <w:tcPr>
            <w:tcW w:w="4760" w:type="dxa"/>
            <w:vAlign w:val="bottom"/>
            <w:gridSpan w:val="10"/>
          </w:tcPr>
          <w:p>
            <w:pPr>
              <w:spacing w:after="0"/>
              <w:rPr>
                <w:sz w:val="19"/>
                <w:szCs w:val="19"/>
                <w:color w:val="auto"/>
              </w:rPr>
            </w:pPr>
          </w:p>
        </w:tc>
        <w:tc>
          <w:tcPr>
            <w:tcW w:w="26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2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4000" w:type="dxa"/>
            <w:vAlign w:val="bottom"/>
            <w:gridSpan w:val="7"/>
          </w:tcPr>
          <w:p>
            <w:pPr>
              <w:spacing w:after="0"/>
              <w:rPr>
                <w:sz w:val="22"/>
                <w:szCs w:val="22"/>
                <w:color w:val="auto"/>
              </w:rPr>
            </w:pPr>
          </w:p>
        </w:tc>
        <w:tc>
          <w:tcPr>
            <w:tcW w:w="344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Consolidated Results of Operations</w:t>
            </w:r>
          </w:p>
        </w:tc>
        <w:tc>
          <w:tcPr>
            <w:tcW w:w="344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8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Earnings</w:t>
            </w:r>
          </w:p>
        </w:tc>
        <w:tc>
          <w:tcPr>
            <w:tcW w:w="2620" w:type="dxa"/>
            <w:vAlign w:val="bottom"/>
            <w:gridSpan w:val="2"/>
          </w:tcPr>
          <w:p>
            <w:pPr>
              <w:spacing w:after="0"/>
              <w:rPr>
                <w:sz w:val="22"/>
                <w:szCs w:val="22"/>
                <w:color w:val="auto"/>
              </w:rPr>
            </w:pPr>
          </w:p>
        </w:tc>
        <w:tc>
          <w:tcPr>
            <w:tcW w:w="3300" w:type="dxa"/>
            <w:vAlign w:val="bottom"/>
            <w:gridSpan w:val="4"/>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w:t>
            </w:r>
          </w:p>
        </w:tc>
        <w:tc>
          <w:tcPr>
            <w:tcW w:w="4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344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5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Consolidated Statements of Shareholders' Equity</w:t>
            </w:r>
          </w:p>
        </w:tc>
        <w:tc>
          <w:tcPr>
            <w:tcW w:w="2940" w:type="dxa"/>
            <w:vAlign w:val="bottom"/>
            <w:gridSpan w:val="3"/>
          </w:tcPr>
          <w:p>
            <w:pPr>
              <w:spacing w:after="0"/>
              <w:rPr>
                <w:sz w:val="22"/>
                <w:szCs w:val="22"/>
                <w:color w:val="auto"/>
              </w:rPr>
            </w:pPr>
          </w:p>
        </w:tc>
        <w:tc>
          <w:tcPr>
            <w:tcW w:w="3300" w:type="dxa"/>
            <w:vAlign w:val="bottom"/>
            <w:gridSpan w:val="4"/>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w:t>
            </w:r>
          </w:p>
        </w:tc>
        <w:tc>
          <w:tcPr>
            <w:tcW w:w="4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10</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21</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20" w:type="dxa"/>
            <w:vAlign w:val="bottom"/>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580" w:type="dxa"/>
            <w:vAlign w:val="bottom"/>
            <w:gridSpan w:val="8"/>
            <w:shd w:val="clear" w:color="auto" w:fill="0000FF"/>
          </w:tcPr>
          <w:p>
            <w:pPr>
              <w:spacing w:after="0" w:line="20" w:lineRule="exact"/>
              <w:rPr>
                <w:sz w:val="1"/>
                <w:szCs w:val="1"/>
                <w:color w:val="auto"/>
              </w:rPr>
            </w:pPr>
          </w:p>
        </w:tc>
        <w:tc>
          <w:tcPr>
            <w:tcW w:w="2120" w:type="dxa"/>
            <w:vAlign w:val="bottom"/>
            <w:tcBorders>
              <w:left w:val="single" w:sz="8" w:color="0000FF"/>
            </w:tcBorders>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120" w:type="dxa"/>
            <w:vAlign w:val="bottom"/>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4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4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8"/>
              </w:rPr>
              <w:t>Other Information</w:t>
            </w:r>
          </w:p>
        </w:tc>
        <w:tc>
          <w:tcPr>
            <w:tcW w:w="320" w:type="dxa"/>
            <w:vAlign w:val="bottom"/>
            <w:tcBorders>
              <w:top w:val="single" w:sz="8" w:color="0000FF"/>
            </w:tcBorders>
            <w:gridSpan w:val="2"/>
          </w:tcPr>
          <w:p>
            <w:pPr>
              <w:spacing w:after="0"/>
              <w:rPr>
                <w:sz w:val="22"/>
                <w:szCs w:val="22"/>
                <w:color w:val="auto"/>
              </w:rPr>
            </w:pPr>
          </w:p>
        </w:tc>
        <w:tc>
          <w:tcPr>
            <w:tcW w:w="4700" w:type="dxa"/>
            <w:vAlign w:val="bottom"/>
            <w:gridSpan w:val="9"/>
          </w:tcPr>
          <w:p>
            <w:pPr>
              <w:spacing w:after="0"/>
              <w:rPr>
                <w:sz w:val="22"/>
                <w:szCs w:val="22"/>
                <w:color w:val="auto"/>
              </w:rPr>
            </w:pPr>
          </w:p>
        </w:tc>
        <w:tc>
          <w:tcPr>
            <w:tcW w:w="2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Pr>
          <w:p>
            <w:pPr>
              <w:spacing w:after="0"/>
              <w:rPr>
                <w:sz w:val="22"/>
                <w:szCs w:val="22"/>
                <w:color w:val="auto"/>
              </w:rPr>
            </w:pPr>
          </w:p>
        </w:tc>
        <w:tc>
          <w:tcPr>
            <w:tcW w:w="5140" w:type="dxa"/>
            <w:vAlign w:val="bottom"/>
            <w:gridSpan w:val="12"/>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40" w:type="dxa"/>
            <w:vAlign w:val="bottom"/>
            <w:gridSpan w:val="1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3740" w:type="dxa"/>
            <w:vAlign w:val="bottom"/>
            <w:gridSpan w:val="13"/>
          </w:tcPr>
          <w:p>
            <w:pPr>
              <w:spacing w:after="0"/>
              <w:rPr>
                <w:sz w:val="22"/>
                <w:szCs w:val="22"/>
                <w:color w:val="auto"/>
              </w:rPr>
            </w:pPr>
          </w:p>
        </w:tc>
        <w:tc>
          <w:tcPr>
            <w:tcW w:w="2120" w:type="dxa"/>
            <w:vAlign w:val="bottom"/>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40" w:type="dxa"/>
            <w:vAlign w:val="bottom"/>
          </w:tcPr>
          <w:p>
            <w:pPr>
              <w:spacing w:after="0"/>
              <w:rPr>
                <w:sz w:val="22"/>
                <w:szCs w:val="22"/>
                <w:color w:val="auto"/>
              </w:rPr>
            </w:pPr>
          </w:p>
        </w:tc>
      </w:tr>
      <w:tr>
        <w:trPr>
          <w:trHeight w:val="885"/>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4340" w:type="dxa"/>
            <w:vAlign w:val="bottom"/>
            <w:gridSpan w:val="14"/>
          </w:tcPr>
          <w:p>
            <w:pPr>
              <w:ind w:left="4240"/>
              <w:spacing w:after="0"/>
              <w:rPr>
                <w:sz w:val="20"/>
                <w:szCs w:val="20"/>
                <w:color w:val="auto"/>
              </w:rPr>
            </w:pPr>
            <w:r>
              <w:rPr>
                <w:rFonts w:ascii="Times New Roman" w:cs="Times New Roman" w:eastAsia="Times New Roman" w:hAnsi="Times New Roman"/>
                <w:sz w:val="17"/>
                <w:szCs w:val="17"/>
                <w:color w:val="auto"/>
                <w:w w:val="70"/>
              </w:rPr>
              <w:t>3</w:t>
            </w:r>
          </w:p>
        </w:tc>
        <w:tc>
          <w:tcPr>
            <w:tcW w:w="21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0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62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6720" w:type="dxa"/>
            <w:vAlign w:val="bottom"/>
            <w:gridSpan w:val="2"/>
          </w:tcPr>
          <w:p>
            <w:pPr>
              <w:ind w:left="282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38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80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(Unaudited)</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5"/>
        </w:trPr>
        <w:tc>
          <w:tcPr>
            <w:tcW w:w="8000" w:type="dxa"/>
            <w:vAlign w:val="bottom"/>
            <w:gridSpan w:val="4"/>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stock data)</w:t>
            </w:r>
          </w:p>
        </w:tc>
        <w:tc>
          <w:tcPr>
            <w:tcW w:w="12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November 26, 2022</w:t>
            </w:r>
          </w:p>
        </w:tc>
        <w:tc>
          <w:tcPr>
            <w:tcW w:w="120" w:type="dxa"/>
            <w:vAlign w:val="bottom"/>
          </w:tcPr>
          <w:p>
            <w:pPr>
              <w:spacing w:after="0"/>
              <w:rPr>
                <w:sz w:val="24"/>
                <w:szCs w:val="24"/>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February 26, 2022</w:t>
            </w:r>
          </w:p>
        </w:tc>
        <w:tc>
          <w:tcPr>
            <w:tcW w:w="0" w:type="dxa"/>
            <w:vAlign w:val="bottom"/>
          </w:tcPr>
          <w:p>
            <w:pPr>
              <w:spacing w:after="0"/>
              <w:rPr>
                <w:sz w:val="1"/>
                <w:szCs w:val="1"/>
                <w:color w:val="auto"/>
              </w:rPr>
            </w:pPr>
          </w:p>
        </w:tc>
      </w:tr>
      <w:tr>
        <w:trPr>
          <w:trHeight w:val="226"/>
        </w:trPr>
        <w:tc>
          <w:tcPr>
            <w:tcW w:w="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60" w:type="dxa"/>
            <w:vAlign w:val="bottom"/>
            <w:tcBorders>
              <w:top w:val="single" w:sz="8" w:color="auto"/>
            </w:tcBorders>
            <w:shd w:val="clear" w:color="auto" w:fill="CCEEFF"/>
          </w:tcPr>
          <w:p>
            <w:pPr>
              <w:spacing w:after="0"/>
              <w:rPr>
                <w:sz w:val="19"/>
                <w:szCs w:val="19"/>
                <w:color w:val="auto"/>
              </w:rPr>
            </w:pPr>
          </w:p>
        </w:tc>
        <w:tc>
          <w:tcPr>
            <w:tcW w:w="66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37,583</w:t>
            </w:r>
          </w:p>
        </w:tc>
        <w:tc>
          <w:tcPr>
            <w:tcW w:w="0" w:type="dxa"/>
            <w:vAlign w:val="bottom"/>
          </w:tcPr>
          <w:p>
            <w:pPr>
              <w:spacing w:after="0"/>
              <w:rPr>
                <w:sz w:val="1"/>
                <w:szCs w:val="1"/>
                <w:color w:val="auto"/>
              </w:rPr>
            </w:pPr>
          </w:p>
        </w:tc>
      </w:tr>
      <w:tr>
        <w:trPr>
          <w:trHeight w:val="229"/>
        </w:trPr>
        <w:tc>
          <w:tcPr>
            <w:tcW w:w="80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0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Receivables, net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222,554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168,592</w:t>
            </w:r>
          </w:p>
        </w:tc>
        <w:tc>
          <w:tcPr>
            <w:tcW w:w="0" w:type="dxa"/>
            <w:vAlign w:val="bottom"/>
          </w:tcPr>
          <w:p>
            <w:pPr>
              <w:spacing w:after="0"/>
              <w:rPr>
                <w:sz w:val="1"/>
                <w:szCs w:val="1"/>
                <w:color w:val="auto"/>
              </w:rPr>
            </w:pPr>
          </w:p>
        </w:tc>
      </w:tr>
      <w:tr>
        <w:trPr>
          <w:trHeight w:val="230"/>
        </w:trPr>
        <w:tc>
          <w:tcPr>
            <w:tcW w:w="80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80,494</w:t>
            </w:r>
          </w:p>
        </w:tc>
        <w:tc>
          <w:tcPr>
            <w:tcW w:w="0" w:type="dxa"/>
            <w:vAlign w:val="bottom"/>
          </w:tcPr>
          <w:p>
            <w:pPr>
              <w:spacing w:after="0"/>
              <w:rPr>
                <w:sz w:val="1"/>
                <w:szCs w:val="1"/>
                <w:color w:val="auto"/>
              </w:rPr>
            </w:pPr>
          </w:p>
        </w:tc>
      </w:tr>
      <w:tr>
        <w:trPr>
          <w:trHeight w:val="229"/>
        </w:trPr>
        <w:tc>
          <w:tcPr>
            <w:tcW w:w="800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 and earnings on contracts in excess of billings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30,403</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gridSpan w:val="4"/>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29,676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20,820</w:t>
            </w:r>
          </w:p>
        </w:tc>
        <w:tc>
          <w:tcPr>
            <w:tcW w:w="0" w:type="dxa"/>
            <w:vAlign w:val="bottom"/>
          </w:tcPr>
          <w:p>
            <w:pPr>
              <w:spacing w:after="0"/>
              <w:rPr>
                <w:sz w:val="1"/>
                <w:szCs w:val="1"/>
                <w:color w:val="auto"/>
              </w:rPr>
            </w:pPr>
          </w:p>
        </w:tc>
      </w:tr>
      <w:tr>
        <w:trPr>
          <w:trHeight w:val="223"/>
        </w:trPr>
        <w:tc>
          <w:tcPr>
            <w:tcW w:w="620" w:type="dxa"/>
            <w:vAlign w:val="bottom"/>
            <w:shd w:val="clear" w:color="auto" w:fill="CCEEFF"/>
          </w:tcPr>
          <w:p>
            <w:pPr>
              <w:spacing w:after="0"/>
              <w:rPr>
                <w:sz w:val="19"/>
                <w:szCs w:val="19"/>
                <w:color w:val="auto"/>
              </w:rPr>
            </w:pPr>
          </w:p>
        </w:tc>
        <w:tc>
          <w:tcPr>
            <w:tcW w:w="73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396,690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337,892</w:t>
            </w:r>
          </w:p>
        </w:tc>
        <w:tc>
          <w:tcPr>
            <w:tcW w:w="0" w:type="dxa"/>
            <w:vAlign w:val="bottom"/>
          </w:tcPr>
          <w:p>
            <w:pPr>
              <w:spacing w:after="0"/>
              <w:rPr>
                <w:sz w:val="1"/>
                <w:szCs w:val="1"/>
                <w:color w:val="auto"/>
              </w:rPr>
            </w:pPr>
          </w:p>
        </w:tc>
      </w:tr>
      <w:tr>
        <w:trPr>
          <w:trHeight w:val="223"/>
        </w:trPr>
        <w:tc>
          <w:tcPr>
            <w:tcW w:w="80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231,173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249,995</w:t>
            </w:r>
          </w:p>
        </w:tc>
        <w:tc>
          <w:tcPr>
            <w:tcW w:w="0" w:type="dxa"/>
            <w:vAlign w:val="bottom"/>
          </w:tcPr>
          <w:p>
            <w:pPr>
              <w:spacing w:after="0"/>
              <w:rPr>
                <w:sz w:val="1"/>
                <w:szCs w:val="1"/>
                <w:color w:val="auto"/>
              </w:rPr>
            </w:pPr>
          </w:p>
        </w:tc>
      </w:tr>
      <w:tr>
        <w:trPr>
          <w:trHeight w:val="229"/>
        </w:trPr>
        <w:tc>
          <w:tcPr>
            <w:tcW w:w="80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47,912</w:t>
            </w:r>
          </w:p>
        </w:tc>
        <w:tc>
          <w:tcPr>
            <w:tcW w:w="0" w:type="dxa"/>
            <w:vAlign w:val="bottom"/>
          </w:tcPr>
          <w:p>
            <w:pPr>
              <w:spacing w:after="0"/>
              <w:rPr>
                <w:sz w:val="1"/>
                <w:szCs w:val="1"/>
                <w:color w:val="auto"/>
              </w:rPr>
            </w:pPr>
          </w:p>
        </w:tc>
      </w:tr>
      <w:tr>
        <w:trPr>
          <w:trHeight w:val="229"/>
        </w:trPr>
        <w:tc>
          <w:tcPr>
            <w:tcW w:w="80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129,268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130,102</w:t>
            </w:r>
          </w:p>
        </w:tc>
        <w:tc>
          <w:tcPr>
            <w:tcW w:w="0" w:type="dxa"/>
            <w:vAlign w:val="bottom"/>
          </w:tcPr>
          <w:p>
            <w:pPr>
              <w:spacing w:after="0"/>
              <w:rPr>
                <w:sz w:val="1"/>
                <w:szCs w:val="1"/>
                <w:color w:val="auto"/>
              </w:rPr>
            </w:pPr>
          </w:p>
        </w:tc>
      </w:tr>
      <w:tr>
        <w:trPr>
          <w:trHeight w:val="230"/>
        </w:trPr>
        <w:tc>
          <w:tcPr>
            <w:tcW w:w="80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72,481</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48,292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49,481</w:t>
            </w:r>
          </w:p>
        </w:tc>
        <w:tc>
          <w:tcPr>
            <w:tcW w:w="0" w:type="dxa"/>
            <w:vAlign w:val="bottom"/>
          </w:tcPr>
          <w:p>
            <w:pPr>
              <w:spacing w:after="0"/>
              <w:rPr>
                <w:sz w:val="1"/>
                <w:szCs w:val="1"/>
                <w:color w:val="auto"/>
              </w:rPr>
            </w:pPr>
          </w:p>
        </w:tc>
      </w:tr>
      <w:tr>
        <w:trPr>
          <w:trHeight w:val="248"/>
        </w:trPr>
        <w:tc>
          <w:tcPr>
            <w:tcW w:w="620" w:type="dxa"/>
            <w:vAlign w:val="bottom"/>
            <w:tcBorders>
              <w:bottom w:val="single" w:sz="8" w:color="CCEEFF"/>
            </w:tcBorders>
            <w:shd w:val="clear" w:color="auto" w:fill="CCEEFF"/>
          </w:tcPr>
          <w:p>
            <w:pPr>
              <w:spacing w:after="0"/>
              <w:rPr>
                <w:sz w:val="21"/>
                <w:szCs w:val="21"/>
                <w:color w:val="auto"/>
              </w:rPr>
            </w:pPr>
          </w:p>
        </w:tc>
        <w:tc>
          <w:tcPr>
            <w:tcW w:w="738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918,446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887,863</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0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70,137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92,104</w:t>
            </w:r>
          </w:p>
        </w:tc>
        <w:tc>
          <w:tcPr>
            <w:tcW w:w="0" w:type="dxa"/>
            <w:vAlign w:val="bottom"/>
          </w:tcPr>
          <w:p>
            <w:pPr>
              <w:spacing w:after="0"/>
              <w:rPr>
                <w:sz w:val="1"/>
                <w:szCs w:val="1"/>
                <w:color w:val="auto"/>
              </w:rPr>
            </w:pPr>
          </w:p>
        </w:tc>
      </w:tr>
      <w:tr>
        <w:trPr>
          <w:trHeight w:val="230"/>
        </w:trPr>
        <w:tc>
          <w:tcPr>
            <w:tcW w:w="800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payroll and related benefits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50,977</w:t>
            </w:r>
          </w:p>
        </w:tc>
        <w:tc>
          <w:tcPr>
            <w:tcW w:w="0" w:type="dxa"/>
            <w:vAlign w:val="bottom"/>
          </w:tcPr>
          <w:p>
            <w:pPr>
              <w:spacing w:after="0"/>
              <w:rPr>
                <w:sz w:val="1"/>
                <w:szCs w:val="1"/>
                <w:color w:val="auto"/>
              </w:rPr>
            </w:pPr>
          </w:p>
        </w:tc>
      </w:tr>
      <w:tr>
        <w:trPr>
          <w:trHeight w:val="230"/>
        </w:trPr>
        <w:tc>
          <w:tcPr>
            <w:tcW w:w="80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Billings in excess of costs and earnings on uncompleted contracts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8,659</w:t>
            </w:r>
          </w:p>
        </w:tc>
        <w:tc>
          <w:tcPr>
            <w:tcW w:w="0" w:type="dxa"/>
            <w:vAlign w:val="bottom"/>
          </w:tcPr>
          <w:p>
            <w:pPr>
              <w:spacing w:after="0"/>
              <w:rPr>
                <w:sz w:val="1"/>
                <w:szCs w:val="1"/>
                <w:color w:val="auto"/>
              </w:rPr>
            </w:pPr>
          </w:p>
        </w:tc>
      </w:tr>
      <w:tr>
        <w:trPr>
          <w:trHeight w:val="230"/>
        </w:trPr>
        <w:tc>
          <w:tcPr>
            <w:tcW w:w="800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12,744</w:t>
            </w:r>
          </w:p>
        </w:tc>
        <w:tc>
          <w:tcPr>
            <w:tcW w:w="0" w:type="dxa"/>
            <w:vAlign w:val="bottom"/>
          </w:tcPr>
          <w:p>
            <w:pPr>
              <w:spacing w:after="0"/>
              <w:rPr>
                <w:sz w:val="1"/>
                <w:szCs w:val="1"/>
                <w:color w:val="auto"/>
              </w:rPr>
            </w:pPr>
          </w:p>
        </w:tc>
      </w:tr>
      <w:tr>
        <w:trPr>
          <w:trHeight w:val="229"/>
        </w:trPr>
        <w:tc>
          <w:tcPr>
            <w:tcW w:w="80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Current portion long-term debt</w:t>
            </w:r>
          </w:p>
        </w:tc>
        <w:tc>
          <w:tcPr>
            <w:tcW w:w="12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800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66,174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67,462</w:t>
            </w:r>
          </w:p>
        </w:tc>
        <w:tc>
          <w:tcPr>
            <w:tcW w:w="0" w:type="dxa"/>
            <w:vAlign w:val="bottom"/>
          </w:tcPr>
          <w:p>
            <w:pPr>
              <w:spacing w:after="0"/>
              <w:rPr>
                <w:sz w:val="1"/>
                <w:szCs w:val="1"/>
                <w:color w:val="auto"/>
              </w:rPr>
            </w:pPr>
          </w:p>
        </w:tc>
      </w:tr>
      <w:tr>
        <w:trPr>
          <w:trHeight w:val="223"/>
        </w:trPr>
        <w:tc>
          <w:tcPr>
            <w:tcW w:w="620" w:type="dxa"/>
            <w:vAlign w:val="bottom"/>
            <w:tcBorders>
              <w:bottom w:val="single" w:sz="8" w:color="CCEEFF"/>
            </w:tcBorders>
          </w:tcPr>
          <w:p>
            <w:pPr>
              <w:spacing w:after="0"/>
              <w:rPr>
                <w:sz w:val="19"/>
                <w:szCs w:val="19"/>
                <w:color w:val="auto"/>
              </w:rPr>
            </w:pPr>
          </w:p>
        </w:tc>
        <w:tc>
          <w:tcPr>
            <w:tcW w:w="7380" w:type="dxa"/>
            <w:vAlign w:val="bottom"/>
            <w:tcBorders>
              <w:bottom w:val="single" w:sz="8" w:color="CCEEFF"/>
            </w:tcBorders>
            <w:gridSpan w:val="3"/>
          </w:tcPr>
          <w:p>
            <w:pPr>
              <w:ind w:left="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232,037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232,946</w:t>
            </w:r>
          </w:p>
        </w:tc>
        <w:tc>
          <w:tcPr>
            <w:tcW w:w="0" w:type="dxa"/>
            <w:vAlign w:val="bottom"/>
          </w:tcPr>
          <w:p>
            <w:pPr>
              <w:spacing w:after="0"/>
              <w:rPr>
                <w:sz w:val="1"/>
                <w:szCs w:val="1"/>
                <w:color w:val="auto"/>
              </w:rPr>
            </w:pPr>
          </w:p>
        </w:tc>
      </w:tr>
      <w:tr>
        <w:trPr>
          <w:trHeight w:val="223"/>
        </w:trPr>
        <w:tc>
          <w:tcPr>
            <w:tcW w:w="80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203,735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162,000</w:t>
            </w:r>
          </w:p>
        </w:tc>
        <w:tc>
          <w:tcPr>
            <w:tcW w:w="0" w:type="dxa"/>
            <w:vAlign w:val="bottom"/>
          </w:tcPr>
          <w:p>
            <w:pPr>
              <w:spacing w:after="0"/>
              <w:rPr>
                <w:sz w:val="1"/>
                <w:szCs w:val="1"/>
                <w:color w:val="auto"/>
              </w:rPr>
            </w:pPr>
          </w:p>
        </w:tc>
      </w:tr>
      <w:tr>
        <w:trPr>
          <w:trHeight w:val="230"/>
        </w:trPr>
        <w:tc>
          <w:tcPr>
            <w:tcW w:w="80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39,591</w:t>
            </w:r>
          </w:p>
        </w:tc>
        <w:tc>
          <w:tcPr>
            <w:tcW w:w="0" w:type="dxa"/>
            <w:vAlign w:val="bottom"/>
          </w:tcPr>
          <w:p>
            <w:pPr>
              <w:spacing w:after="0"/>
              <w:rPr>
                <w:sz w:val="1"/>
                <w:szCs w:val="1"/>
                <w:color w:val="auto"/>
              </w:rPr>
            </w:pPr>
          </w:p>
        </w:tc>
      </w:tr>
      <w:tr>
        <w:trPr>
          <w:trHeight w:val="230"/>
        </w:trPr>
        <w:tc>
          <w:tcPr>
            <w:tcW w:w="80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self-insurance reserves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22,544</w:t>
            </w:r>
          </w:p>
        </w:tc>
        <w:tc>
          <w:tcPr>
            <w:tcW w:w="0" w:type="dxa"/>
            <w:vAlign w:val="bottom"/>
          </w:tcPr>
          <w:p>
            <w:pPr>
              <w:spacing w:after="0"/>
              <w:rPr>
                <w:sz w:val="1"/>
                <w:szCs w:val="1"/>
                <w:color w:val="auto"/>
              </w:rPr>
            </w:pPr>
          </w:p>
        </w:tc>
      </w:tr>
      <w:tr>
        <w:trPr>
          <w:trHeight w:val="230"/>
        </w:trPr>
        <w:tc>
          <w:tcPr>
            <w:tcW w:w="80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47,196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44,583</w:t>
            </w:r>
          </w:p>
        </w:tc>
        <w:tc>
          <w:tcPr>
            <w:tcW w:w="0" w:type="dxa"/>
            <w:vAlign w:val="bottom"/>
          </w:tcPr>
          <w:p>
            <w:pPr>
              <w:spacing w:after="0"/>
              <w:rPr>
                <w:sz w:val="1"/>
                <w:szCs w:val="1"/>
                <w:color w:val="auto"/>
              </w:rPr>
            </w:pPr>
          </w:p>
        </w:tc>
      </w:tr>
      <w:tr>
        <w:trPr>
          <w:trHeight w:val="229"/>
        </w:trPr>
        <w:tc>
          <w:tcPr>
            <w:tcW w:w="80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 (Note 8)</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00" w:type="dxa"/>
            <w:vAlign w:val="bottom"/>
            <w:gridSpan w:val="4"/>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of $0.33-1/3 par value; authorized 50,000,000 shares; issued and outstanding</w:t>
            </w: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0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22,213,635 and 23,701,491 respectively</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7,901</w:t>
            </w:r>
          </w:p>
        </w:tc>
        <w:tc>
          <w:tcPr>
            <w:tcW w:w="0" w:type="dxa"/>
            <w:vAlign w:val="bottom"/>
          </w:tcPr>
          <w:p>
            <w:pPr>
              <w:spacing w:after="0"/>
              <w:rPr>
                <w:sz w:val="1"/>
                <w:szCs w:val="1"/>
                <w:color w:val="auto"/>
              </w:rPr>
            </w:pPr>
          </w:p>
        </w:tc>
      </w:tr>
      <w:tr>
        <w:trPr>
          <w:trHeight w:val="229"/>
        </w:trPr>
        <w:tc>
          <w:tcPr>
            <w:tcW w:w="80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144,358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149,713</w:t>
            </w:r>
          </w:p>
        </w:tc>
        <w:tc>
          <w:tcPr>
            <w:tcW w:w="0" w:type="dxa"/>
            <w:vAlign w:val="bottom"/>
          </w:tcPr>
          <w:p>
            <w:pPr>
              <w:spacing w:after="0"/>
              <w:rPr>
                <w:sz w:val="1"/>
                <w:szCs w:val="1"/>
                <w:color w:val="auto"/>
              </w:rPr>
            </w:pPr>
          </w:p>
        </w:tc>
      </w:tr>
      <w:tr>
        <w:trPr>
          <w:trHeight w:val="230"/>
        </w:trPr>
        <w:tc>
          <w:tcPr>
            <w:tcW w:w="800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258,836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254,825</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gridSpan w:val="4"/>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(32,961)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(26,240)</w:t>
            </w:r>
          </w:p>
        </w:tc>
        <w:tc>
          <w:tcPr>
            <w:tcW w:w="0" w:type="dxa"/>
            <w:vAlign w:val="bottom"/>
          </w:tcPr>
          <w:p>
            <w:pPr>
              <w:spacing w:after="0"/>
              <w:rPr>
                <w:sz w:val="1"/>
                <w:szCs w:val="1"/>
                <w:color w:val="auto"/>
              </w:rPr>
            </w:pPr>
          </w:p>
        </w:tc>
      </w:tr>
      <w:tr>
        <w:trPr>
          <w:trHeight w:val="223"/>
        </w:trPr>
        <w:tc>
          <w:tcPr>
            <w:tcW w:w="620" w:type="dxa"/>
            <w:vAlign w:val="bottom"/>
            <w:shd w:val="clear" w:color="auto" w:fill="CCEEFF"/>
          </w:tcPr>
          <w:p>
            <w:pPr>
              <w:spacing w:after="0"/>
              <w:rPr>
                <w:sz w:val="19"/>
                <w:szCs w:val="19"/>
                <w:color w:val="auto"/>
              </w:rPr>
            </w:pPr>
          </w:p>
        </w:tc>
        <w:tc>
          <w:tcPr>
            <w:tcW w:w="73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377,638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386,199</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7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918,446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887,863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780" w:type="dxa"/>
            <w:vAlign w:val="bottom"/>
            <w:tcBorders>
              <w:bottom w:val="single" w:sz="8" w:color="auto"/>
            </w:tcBorders>
          </w:tcPr>
          <w:p>
            <w:pPr>
              <w:spacing w:after="0"/>
              <w:rPr>
                <w:sz w:val="18"/>
                <w:szCs w:val="18"/>
                <w:color w:val="auto"/>
              </w:rPr>
            </w:pPr>
          </w:p>
        </w:tc>
      </w:tr>
      <w:tr>
        <w:trPr>
          <w:trHeight w:val="211"/>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6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November 26, 2022</w:t>
            </w:r>
          </w:p>
        </w:tc>
        <w:tc>
          <w:tcPr>
            <w:tcW w:w="152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November 27, 2021</w:t>
            </w:r>
          </w:p>
        </w:tc>
        <w:tc>
          <w:tcPr>
            <w:tcW w:w="100" w:type="dxa"/>
            <w:vAlign w:val="bottom"/>
          </w:tcPr>
          <w:p>
            <w:pPr>
              <w:spacing w:after="0"/>
              <w:rPr>
                <w:sz w:val="18"/>
                <w:szCs w:val="18"/>
                <w:color w:val="auto"/>
              </w:rPr>
            </w:pPr>
          </w:p>
        </w:tc>
        <w:tc>
          <w:tcPr>
            <w:tcW w:w="164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November 26, 2022</w:t>
            </w:r>
          </w:p>
        </w:tc>
        <w:tc>
          <w:tcPr>
            <w:tcW w:w="152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November 27, 2021</w:t>
            </w:r>
          </w:p>
        </w:tc>
      </w:tr>
      <w:tr>
        <w:trPr>
          <w:trHeight w:val="225"/>
        </w:trPr>
        <w:tc>
          <w:tcPr>
            <w:tcW w:w="4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367,847</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334,217</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1,096,591</w:t>
            </w:r>
          </w:p>
        </w:tc>
        <w:tc>
          <w:tcPr>
            <w:tcW w:w="1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986,020</w:t>
            </w:r>
          </w:p>
        </w:tc>
      </w:tr>
      <w:tr>
        <w:trPr>
          <w:trHeight w:val="229"/>
        </w:trPr>
        <w:tc>
          <w:tcPr>
            <w:tcW w:w="4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281,239</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269,537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839,430</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805,627</w:t>
            </w:r>
          </w:p>
        </w:tc>
      </w:tr>
      <w:tr>
        <w:trPr>
          <w:trHeight w:val="223"/>
        </w:trPr>
        <w:tc>
          <w:tcPr>
            <w:tcW w:w="4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86,608</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64,680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257,161</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180,393</w:t>
            </w:r>
          </w:p>
        </w:tc>
      </w:tr>
      <w:tr>
        <w:trPr>
          <w:trHeight w:val="229"/>
        </w:trPr>
        <w:tc>
          <w:tcPr>
            <w:tcW w:w="4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51,847</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46,970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157,112</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149,709</w:t>
            </w:r>
          </w:p>
        </w:tc>
      </w:tr>
      <w:tr>
        <w:trPr>
          <w:trHeight w:val="223"/>
        </w:trPr>
        <w:tc>
          <w:tcPr>
            <w:tcW w:w="4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100,049</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30,684</w:t>
            </w:r>
          </w:p>
        </w:tc>
      </w:tr>
      <w:tr>
        <w:trPr>
          <w:trHeight w:val="229"/>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5,494</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w:t>
            </w:r>
          </w:p>
        </w:tc>
      </w:tr>
      <w:tr>
        <w:trPr>
          <w:trHeight w:val="229"/>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w:t>
            </w:r>
          </w:p>
        </w:tc>
      </w:tr>
      <w:tr>
        <w:trPr>
          <w:trHeight w:val="223"/>
        </w:trPr>
        <w:tc>
          <w:tcPr>
            <w:tcW w:w="4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31,619</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92,520</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24,580</w:t>
            </w:r>
          </w:p>
        </w:tc>
      </w:tr>
      <w:tr>
        <w:trPr>
          <w:trHeight w:val="229"/>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7,854</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8,635</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w:t>
            </w:r>
          </w:p>
        </w:tc>
      </w:tr>
      <w:tr>
        <w:trPr>
          <w:trHeight w:val="223"/>
        </w:trPr>
        <w:tc>
          <w:tcPr>
            <w:tcW w:w="4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earnings</w:t>
            </w: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23,765</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11,057</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83,885</w:t>
            </w:r>
          </w:p>
        </w:tc>
        <w:tc>
          <w:tcPr>
            <w:tcW w:w="120" w:type="dxa"/>
            <w:vAlign w:val="bottom"/>
          </w:tcPr>
          <w:p>
            <w:pPr>
              <w:spacing w:after="0"/>
              <w:rPr>
                <w:sz w:val="19"/>
                <w:szCs w:val="19"/>
                <w:color w:val="auto"/>
              </w:rPr>
            </w:pPr>
          </w:p>
        </w:tc>
        <w:tc>
          <w:tcPr>
            <w:tcW w:w="7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19,759</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3"/>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 - basic</w:t>
            </w: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r>
      <w:tr>
        <w:trPr>
          <w:trHeight w:val="229"/>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78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0.78</w:t>
            </w:r>
          </w:p>
        </w:tc>
      </w:tr>
      <w:tr>
        <w:trPr>
          <w:trHeight w:val="230"/>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22,043</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25,166</w:t>
            </w:r>
          </w:p>
        </w:tc>
      </w:tr>
      <w:tr>
        <w:trPr>
          <w:trHeight w:val="234"/>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22,278</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22,456</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25,459</w:t>
            </w:r>
          </w:p>
        </w:tc>
      </w:tr>
    </w:tbl>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56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CONSOLIDATED STATEMENTS OF COMPREHENSIVE EARNINGS </w:t>
      </w:r>
      <w:r>
        <w:rPr>
          <w:rFonts w:ascii="Times New Roman" w:cs="Times New Roman" w:eastAsia="Times New Roman" w:hAnsi="Times New Roman"/>
          <w:sz w:val="18"/>
          <w:szCs w:val="18"/>
          <w:color w:val="auto"/>
        </w:rPr>
        <w:t>(Unaudited)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720" w:type="dxa"/>
            <w:vAlign w:val="bottom"/>
            <w:tcBorders>
              <w:bottom w:val="single" w:sz="8" w:color="auto"/>
            </w:tcBorders>
          </w:tcPr>
          <w:p>
            <w:pPr>
              <w:spacing w:after="0"/>
              <w:rPr>
                <w:sz w:val="18"/>
                <w:szCs w:val="18"/>
                <w:color w:val="auto"/>
              </w:rPr>
            </w:pPr>
          </w:p>
        </w:tc>
      </w:tr>
      <w:tr>
        <w:trPr>
          <w:trHeight w:val="211"/>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November 26, 2022</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November 27, 2021</w:t>
            </w:r>
          </w:p>
        </w:tc>
        <w:tc>
          <w:tcPr>
            <w:tcW w:w="120" w:type="dxa"/>
            <w:vAlign w:val="bottom"/>
          </w:tcPr>
          <w:p>
            <w:pPr>
              <w:spacing w:after="0"/>
              <w:rPr>
                <w:sz w:val="18"/>
                <w:szCs w:val="18"/>
                <w:color w:val="auto"/>
              </w:rPr>
            </w:pP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November 26, 2022</w:t>
            </w:r>
          </w:p>
        </w:tc>
        <w:tc>
          <w:tcPr>
            <w:tcW w:w="152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November 27, 2021</w:t>
            </w:r>
          </w:p>
        </w:tc>
      </w:tr>
      <w:tr>
        <w:trPr>
          <w:trHeight w:val="225"/>
        </w:trPr>
        <w:tc>
          <w:tcPr>
            <w:tcW w:w="4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23,765</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11,057</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83,885</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19,759</w:t>
            </w:r>
          </w:p>
        </w:tc>
      </w:tr>
      <w:tr>
        <w:trPr>
          <w:trHeight w:val="22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(losses) earnings:</w:t>
            </w: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176"/>
        </w:trPr>
        <w:tc>
          <w:tcPr>
            <w:tcW w:w="4860" w:type="dxa"/>
            <w:vAlign w:val="bottom"/>
            <w:gridSpan w:val="2"/>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Unrealized loss on marketable securities, net of $(24), $(40),</w:t>
            </w:r>
          </w:p>
        </w:tc>
        <w:tc>
          <w:tcPr>
            <w:tcW w:w="4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243"/>
        </w:trPr>
        <w:tc>
          <w:tcPr>
            <w:tcW w:w="4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$(127) and $(39) of tax benefit, respectively</w:t>
            </w:r>
          </w:p>
        </w:tc>
        <w:tc>
          <w:tcPr>
            <w:tcW w:w="4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176"/>
        </w:trPr>
        <w:tc>
          <w:tcPr>
            <w:tcW w:w="4860" w:type="dxa"/>
            <w:vAlign w:val="bottom"/>
            <w:gridSpan w:val="2"/>
          </w:tcPr>
          <w:p>
            <w:pPr>
              <w:ind w:left="360"/>
              <w:spacing w:after="0" w:line="176" w:lineRule="exact"/>
              <w:rPr>
                <w:sz w:val="20"/>
                <w:szCs w:val="20"/>
                <w:color w:val="auto"/>
              </w:rPr>
            </w:pPr>
            <w:r>
              <w:rPr>
                <w:rFonts w:ascii="Times New Roman" w:cs="Times New Roman" w:eastAsia="Times New Roman" w:hAnsi="Times New Roman"/>
                <w:sz w:val="18"/>
                <w:szCs w:val="18"/>
                <w:color w:val="auto"/>
              </w:rPr>
              <w:t>Unrealized gain (loss) on derivative instruments, net of</w:t>
            </w: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4860" w:type="dxa"/>
            <w:vAlign w:val="bottom"/>
            <w:gridSpan w:val="2"/>
          </w:tcPr>
          <w:p>
            <w:pPr>
              <w:ind w:left="520"/>
              <w:spacing w:after="0" w:line="176" w:lineRule="exact"/>
              <w:rPr>
                <w:sz w:val="20"/>
                <w:szCs w:val="20"/>
                <w:color w:val="auto"/>
              </w:rPr>
            </w:pPr>
            <w:r>
              <w:rPr>
                <w:rFonts w:ascii="Times New Roman" w:cs="Times New Roman" w:eastAsia="Times New Roman" w:hAnsi="Times New Roman"/>
                <w:sz w:val="18"/>
                <w:szCs w:val="18"/>
                <w:color w:val="auto"/>
              </w:rPr>
              <w:t>$277, $(265), $(1,192) and $(257) of tax expense</w:t>
            </w: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43"/>
        </w:trPr>
        <w:tc>
          <w:tcPr>
            <w:tcW w:w="4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(benefit), respectively</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r>
      <w:tr>
        <w:trPr>
          <w:trHeight w:val="229"/>
        </w:trPr>
        <w:tc>
          <w:tcPr>
            <w:tcW w:w="4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r>
      <w:tr>
        <w:trPr>
          <w:trHeight w:val="223"/>
        </w:trPr>
        <w:tc>
          <w:tcPr>
            <w:tcW w:w="4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losses</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(3,534)</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(6,721)</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w:t>
            </w:r>
          </w:p>
        </w:tc>
      </w:tr>
      <w:tr>
        <w:trPr>
          <w:trHeight w:val="248"/>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earnings</w:t>
            </w:r>
          </w:p>
        </w:tc>
        <w:tc>
          <w:tcPr>
            <w:tcW w:w="46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23,287</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77,164</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17,835</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4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November 26, 2022</w:t>
            </w:r>
          </w:p>
        </w:tc>
        <w:tc>
          <w:tcPr>
            <w:tcW w:w="152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November 27, 2021</w:t>
            </w:r>
          </w:p>
        </w:tc>
        <w:tc>
          <w:tcPr>
            <w:tcW w:w="0" w:type="dxa"/>
            <w:vAlign w:val="bottom"/>
          </w:tcPr>
          <w:p>
            <w:pPr>
              <w:spacing w:after="0"/>
              <w:rPr>
                <w:sz w:val="1"/>
                <w:szCs w:val="1"/>
                <w:color w:val="auto"/>
              </w:rPr>
            </w:pPr>
          </w:p>
        </w:tc>
      </w:tr>
      <w:tr>
        <w:trPr>
          <w:trHeight w:val="225"/>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83,885</w:t>
            </w:r>
          </w:p>
        </w:tc>
        <w:tc>
          <w:tcPr>
            <w:tcW w:w="120" w:type="dxa"/>
            <w:vAlign w:val="bottom"/>
          </w:tcPr>
          <w:p>
            <w:pPr>
              <w:spacing w:after="0"/>
              <w:rPr>
                <w:sz w:val="19"/>
                <w:szCs w:val="19"/>
                <w:color w:val="auto"/>
              </w:rPr>
            </w:pPr>
          </w:p>
        </w:tc>
        <w:tc>
          <w:tcPr>
            <w:tcW w:w="76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19,759</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31,925</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38,353</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4,807</w:t>
            </w:r>
          </w:p>
        </w:tc>
        <w:tc>
          <w:tcPr>
            <w:tcW w:w="0" w:type="dxa"/>
            <w:vAlign w:val="bottom"/>
          </w:tcPr>
          <w:p>
            <w:pPr>
              <w:spacing w:after="0"/>
              <w:rPr>
                <w:sz w:val="1"/>
                <w:szCs w:val="1"/>
                <w:color w:val="auto"/>
              </w:rPr>
            </w:pPr>
          </w:p>
        </w:tc>
      </w:tr>
      <w:tr>
        <w:trPr>
          <w:trHeight w:val="230"/>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(5,412)</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 impairment</w:t>
            </w:r>
          </w:p>
        </w:tc>
        <w:tc>
          <w:tcPr>
            <w:tcW w:w="4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16,638</w:t>
            </w:r>
          </w:p>
        </w:tc>
        <w:tc>
          <w:tcPr>
            <w:tcW w:w="0" w:type="dxa"/>
            <w:vAlign w:val="bottom"/>
          </w:tcPr>
          <w:p>
            <w:pPr>
              <w:spacing w:after="0"/>
              <w:rPr>
                <w:sz w:val="1"/>
                <w:szCs w:val="1"/>
                <w:color w:val="auto"/>
              </w:rPr>
            </w:pPr>
          </w:p>
        </w:tc>
      </w:tr>
      <w:tr>
        <w:trPr>
          <w:trHeight w:val="229"/>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Gain on disposal of assets</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New Markets Tax Credit transaction, net of deferred costs</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18,390</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Settlement of New Markets Tax Credit transaction</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(19,523)</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lease expense</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8,924</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w:t>
            </w:r>
          </w:p>
        </w:tc>
        <w:tc>
          <w:tcPr>
            <w:tcW w:w="0" w:type="dxa"/>
            <w:vAlign w:val="bottom"/>
          </w:tcPr>
          <w:p>
            <w:pPr>
              <w:spacing w:after="0"/>
              <w:rPr>
                <w:sz w:val="1"/>
                <w:szCs w:val="1"/>
                <w:color w:val="auto"/>
              </w:rPr>
            </w:pPr>
          </w:p>
        </w:tc>
      </w:tr>
      <w:tr>
        <w:trPr>
          <w:trHeight w:val="230"/>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Receivables</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(58,202)</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6,443</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0" w:type="dxa"/>
            <w:vAlign w:val="bottom"/>
          </w:tcPr>
          <w:p>
            <w:pPr>
              <w:spacing w:after="0"/>
              <w:rPr>
                <w:sz w:val="1"/>
                <w:szCs w:val="1"/>
                <w:color w:val="auto"/>
              </w:rPr>
            </w:pPr>
          </w:p>
        </w:tc>
      </w:tr>
      <w:tr>
        <w:trPr>
          <w:trHeight w:val="229"/>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Costs and earnings on contracts in excess of billings</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(11,985)</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5,440</w:t>
            </w:r>
          </w:p>
        </w:tc>
        <w:tc>
          <w:tcPr>
            <w:tcW w:w="0" w:type="dxa"/>
            <w:vAlign w:val="bottom"/>
          </w:tcPr>
          <w:p>
            <w:pPr>
              <w:spacing w:after="0"/>
              <w:rPr>
                <w:sz w:val="1"/>
                <w:szCs w:val="1"/>
                <w:color w:val="auto"/>
              </w:rPr>
            </w:pPr>
          </w:p>
        </w:tc>
      </w:tr>
      <w:tr>
        <w:trPr>
          <w:trHeight w:val="229"/>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Billings in excess of costs and earnings on uncompleted contracts</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20,884</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(4,474)</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Refundable and accrued income taxes</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(14,391)</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5,255</w:t>
            </w:r>
          </w:p>
        </w:tc>
        <w:tc>
          <w:tcPr>
            <w:tcW w:w="0" w:type="dxa"/>
            <w:vAlign w:val="bottom"/>
          </w:tcPr>
          <w:p>
            <w:pPr>
              <w:spacing w:after="0"/>
              <w:rPr>
                <w:sz w:val="1"/>
                <w:szCs w:val="1"/>
                <w:color w:val="auto"/>
              </w:rPr>
            </w:pPr>
          </w:p>
        </w:tc>
      </w:tr>
      <w:tr>
        <w:trPr>
          <w:trHeight w:val="229"/>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(9,168)</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(9,387)</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223"/>
        </w:trPr>
        <w:tc>
          <w:tcPr>
            <w:tcW w:w="808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51,112</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86,291</w:t>
            </w:r>
          </w:p>
        </w:tc>
        <w:tc>
          <w:tcPr>
            <w:tcW w:w="0" w:type="dxa"/>
            <w:vAlign w:val="bottom"/>
          </w:tcPr>
          <w:p>
            <w:pPr>
              <w:spacing w:after="0"/>
              <w:rPr>
                <w:sz w:val="1"/>
                <w:szCs w:val="1"/>
                <w:color w:val="auto"/>
              </w:rPr>
            </w:pPr>
          </w:p>
        </w:tc>
      </w:tr>
      <w:tr>
        <w:trPr>
          <w:trHeight w:val="20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(18,119)</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(13,070)</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sales of property, plant and equipment</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5,212</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3"/>
        </w:trPr>
        <w:tc>
          <w:tcPr>
            <w:tcW w:w="80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used by investing activities</w:t>
            </w: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(11,984)</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(11,647)</w:t>
            </w:r>
          </w:p>
        </w:tc>
        <w:tc>
          <w:tcPr>
            <w:tcW w:w="0" w:type="dxa"/>
            <w:vAlign w:val="bottom"/>
          </w:tcPr>
          <w:p>
            <w:pPr>
              <w:spacing w:after="0"/>
              <w:rPr>
                <w:sz w:val="1"/>
                <w:szCs w:val="1"/>
                <w:color w:val="auto"/>
              </w:rPr>
            </w:pPr>
          </w:p>
        </w:tc>
      </w:tr>
      <w:tr>
        <w:trPr>
          <w:trHeight w:val="21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 on line of credit</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430,879</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Repayment on debt</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(151,000)</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on line of credit</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(239,000)</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Payments on debt issue costs</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4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Repurchase and retirement of common stock</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(74,312)</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(29,164)</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(14,415)</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(15,050)</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0" w:type="dxa"/>
            <w:vAlign w:val="bottom"/>
          </w:tcPr>
          <w:p>
            <w:pPr>
              <w:spacing w:after="0"/>
              <w:rPr>
                <w:sz w:val="1"/>
                <w:szCs w:val="1"/>
                <w:color w:val="auto"/>
              </w:rPr>
            </w:pPr>
          </w:p>
        </w:tc>
      </w:tr>
      <w:tr>
        <w:trPr>
          <w:trHeight w:val="223"/>
        </w:trPr>
        <w:tc>
          <w:tcPr>
            <w:tcW w:w="80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used by financing activities</w:t>
            </w: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(51,597)</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(43,994)</w:t>
            </w:r>
          </w:p>
        </w:tc>
        <w:tc>
          <w:tcPr>
            <w:tcW w:w="0" w:type="dxa"/>
            <w:vAlign w:val="bottom"/>
          </w:tcPr>
          <w:p>
            <w:pPr>
              <w:spacing w:after="0"/>
              <w:rPr>
                <w:sz w:val="1"/>
                <w:szCs w:val="1"/>
                <w:color w:val="auto"/>
              </w:rPr>
            </w:pPr>
          </w:p>
        </w:tc>
      </w:tr>
      <w:tr>
        <w:trPr>
          <w:trHeight w:val="223"/>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(Decrease) increase in cash, cash equivalents and restricted cash</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(12,469)</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30,650</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37,583</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47,277</w:t>
            </w: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25,464</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78,272</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Noncash Activity</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8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 in accounts payable</w:t>
            </w: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0" w:type="dxa"/>
            <w:vAlign w:val="bottom"/>
          </w:tcPr>
          <w:p>
            <w:pPr>
              <w:spacing w:after="0"/>
              <w:rPr>
                <w:sz w:val="1"/>
                <w:szCs w:val="1"/>
                <w:color w:val="auto"/>
              </w:rPr>
            </w:pPr>
          </w:p>
        </w:tc>
      </w:tr>
    </w:tbl>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2"/>
                <w:szCs w:val="12"/>
                <w:color w:val="auto"/>
              </w:rPr>
            </w:pPr>
          </w:p>
        </w:tc>
        <w:tc>
          <w:tcPr>
            <w:tcW w:w="1000" w:type="dxa"/>
            <w:vAlign w:val="bottom"/>
            <w:vMerge w:val="restart"/>
          </w:tcPr>
          <w:p>
            <w:pPr>
              <w:jc w:val="center"/>
              <w:ind w:right="72"/>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5"/>
        </w:trPr>
        <w:tc>
          <w:tcPr>
            <w:tcW w:w="3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Common Shares</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 Paid-In</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2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0" w:type="dxa"/>
            <w:vAlign w:val="bottom"/>
            <w:gridSpan w:val="3"/>
            <w:vMerge w:val="continue"/>
          </w:tcPr>
          <w:p>
            <w:pPr>
              <w:spacing w:after="0"/>
              <w:rPr>
                <w:sz w:val="11"/>
                <w:szCs w:val="11"/>
                <w:color w:val="auto"/>
              </w:rPr>
            </w:pPr>
          </w:p>
        </w:tc>
        <w:tc>
          <w:tcPr>
            <w:tcW w:w="122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100" w:type="dxa"/>
            <w:vAlign w:val="bottom"/>
          </w:tcPr>
          <w:p>
            <w:pPr>
              <w:spacing w:after="0"/>
              <w:rPr>
                <w:sz w:val="11"/>
                <w:szCs w:val="11"/>
                <w:color w:val="auto"/>
              </w:rPr>
            </w:pPr>
          </w:p>
        </w:tc>
        <w:tc>
          <w:tcPr>
            <w:tcW w:w="11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40" w:type="dxa"/>
            <w:vAlign w:val="bottom"/>
          </w:tcPr>
          <w:p>
            <w:pPr>
              <w:spacing w:after="0"/>
              <w:rPr>
                <w:sz w:val="11"/>
                <w:szCs w:val="11"/>
                <w:color w:val="auto"/>
              </w:rPr>
            </w:pPr>
          </w:p>
        </w:tc>
        <w:tc>
          <w:tcPr>
            <w:tcW w:w="1000" w:type="dxa"/>
            <w:vAlign w:val="bottom"/>
          </w:tcPr>
          <w:p>
            <w:pPr>
              <w:jc w:val="center"/>
              <w:ind w:right="52"/>
              <w:spacing w:after="0" w:line="135"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84"/>
        </w:trPr>
        <w:tc>
          <w:tcPr>
            <w:tcW w:w="4060" w:type="dxa"/>
            <w:vAlign w:val="bottom"/>
            <w:gridSpan w:val="2"/>
            <w:vMerge w:val="continue"/>
          </w:tcPr>
          <w:p>
            <w:pPr>
              <w:spacing w:after="0"/>
              <w:rPr>
                <w:sz w:val="15"/>
                <w:szCs w:val="15"/>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(Loss) Income</w:t>
            </w:r>
          </w:p>
        </w:tc>
        <w:tc>
          <w:tcPr>
            <w:tcW w:w="140" w:type="dxa"/>
            <w:vAlign w:val="bottom"/>
          </w:tcPr>
          <w:p>
            <w:pPr>
              <w:spacing w:after="0"/>
              <w:rPr>
                <w:sz w:val="15"/>
                <w:szCs w:val="15"/>
                <w:color w:val="auto"/>
              </w:rPr>
            </w:pPr>
          </w:p>
        </w:tc>
        <w:tc>
          <w:tcPr>
            <w:tcW w:w="1000" w:type="dxa"/>
            <w:vAlign w:val="bottom"/>
          </w:tcPr>
          <w:p>
            <w:pPr>
              <w:jc w:val="center"/>
              <w:ind w:right="72"/>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8"/>
        </w:trPr>
        <w:tc>
          <w:tcPr>
            <w:tcW w:w="3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February 26, 2022</w:t>
            </w:r>
          </w:p>
        </w:tc>
        <w:tc>
          <w:tcPr>
            <w:tcW w:w="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23,701</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7,901</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149,713</w:t>
            </w: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254,825</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(26,240)</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386,199</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22,731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22,731</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loss on marketable securities, net of $74 tax benefit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Unrealized loss on derivative instruments, net of $1,317 tax benefit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(4,316)</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1,597</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1,597</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 repurchases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(63,438)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(74,312)</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share retirements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(1,328)</w:t>
            </w:r>
          </w:p>
        </w:tc>
        <w:tc>
          <w:tcPr>
            <w:tcW w:w="0" w:type="dxa"/>
            <w:vAlign w:val="bottom"/>
          </w:tcPr>
          <w:p>
            <w:pPr>
              <w:spacing w:after="0"/>
              <w:rPr>
                <w:sz w:val="1"/>
                <w:szCs w:val="1"/>
                <w:color w:val="auto"/>
              </w:rPr>
            </w:pPr>
          </w:p>
        </w:tc>
      </w:tr>
      <w:tr>
        <w:trPr>
          <w:trHeight w:val="183"/>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dividends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(4,793)</w:t>
            </w:r>
          </w:p>
        </w:tc>
        <w:tc>
          <w:tcPr>
            <w:tcW w:w="0" w:type="dxa"/>
            <w:vAlign w:val="bottom"/>
          </w:tcPr>
          <w:p>
            <w:pPr>
              <w:spacing w:after="0"/>
              <w:rPr>
                <w:sz w:val="1"/>
                <w:szCs w:val="1"/>
                <w:color w:val="auto"/>
              </w:rPr>
            </w:pPr>
          </w:p>
        </w:tc>
      </w:tr>
      <w:tr>
        <w:trPr>
          <w:trHeight w:val="189"/>
        </w:trPr>
        <w:tc>
          <w:tcPr>
            <w:tcW w:w="40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May 28, 2022</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22,200</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7,400</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140,785</w:t>
            </w: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208,205</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(29,100)</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327,290</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37,389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37,389</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loss on marketable securities, net of $28 tax benefit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Unrealized loss on derivative instruments, net of $152 tax benefit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(2,777)</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1,797</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1,797</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share retirements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w:t>
            </w:r>
          </w:p>
        </w:tc>
        <w:tc>
          <w:tcPr>
            <w:tcW w:w="0" w:type="dxa"/>
            <w:vAlign w:val="bottom"/>
          </w:tcPr>
          <w:p>
            <w:pPr>
              <w:spacing w:after="0"/>
              <w:rPr>
                <w:sz w:val="1"/>
                <w:szCs w:val="1"/>
                <w:color w:val="auto"/>
              </w:rPr>
            </w:pPr>
          </w:p>
        </w:tc>
      </w:tr>
      <w:tr>
        <w:trPr>
          <w:trHeight w:val="183"/>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dividends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(4,809)</w:t>
            </w:r>
          </w:p>
        </w:tc>
        <w:tc>
          <w:tcPr>
            <w:tcW w:w="0" w:type="dxa"/>
            <w:vAlign w:val="bottom"/>
          </w:tcPr>
          <w:p>
            <w:pPr>
              <w:spacing w:after="0"/>
              <w:rPr>
                <w:sz w:val="1"/>
                <w:szCs w:val="1"/>
                <w:color w:val="auto"/>
              </w:rPr>
            </w:pPr>
          </w:p>
        </w:tc>
      </w:tr>
      <w:tr>
        <w:trPr>
          <w:trHeight w:val="214"/>
        </w:trPr>
        <w:tc>
          <w:tcPr>
            <w:tcW w:w="40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August 27, 2022</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22,209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7,403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141,575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240,245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(32,483)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356,740</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2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60" w:type="dxa"/>
            <w:vAlign w:val="bottom"/>
            <w:tcBorders>
              <w:top w:val="single" w:sz="8" w:color="CCEEFF"/>
            </w:tcBorders>
            <w:gridSpan w:val="2"/>
            <w:vMerge w:val="continue"/>
          </w:tcPr>
          <w:p>
            <w:pPr>
              <w:spacing w:after="0"/>
              <w:rPr>
                <w:sz w:val="13"/>
                <w:szCs w:val="13"/>
                <w:color w:val="auto"/>
              </w:rPr>
            </w:pPr>
          </w:p>
        </w:tc>
        <w:tc>
          <w:tcPr>
            <w:tcW w:w="114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23,765</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23,765</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loss on marketable securities, net of $24 tax benefit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Unrealized gain on derivative instruments, net of $277 tax expense</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(1,295)</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2,567</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2,567</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share retirements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89"/>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(4,813)</w:t>
            </w:r>
          </w:p>
        </w:tc>
        <w:tc>
          <w:tcPr>
            <w:tcW w:w="0" w:type="dxa"/>
            <w:vAlign w:val="bottom"/>
          </w:tcPr>
          <w:p>
            <w:pPr>
              <w:spacing w:after="0"/>
              <w:rPr>
                <w:sz w:val="1"/>
                <w:szCs w:val="1"/>
                <w:color w:val="auto"/>
              </w:rPr>
            </w:pPr>
          </w:p>
        </w:tc>
      </w:tr>
      <w:tr>
        <w:trPr>
          <w:trHeight w:val="189"/>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November 26, 2022</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22,214</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7,405</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144,358</w:t>
            </w:r>
          </w:p>
        </w:tc>
        <w:tc>
          <w:tcPr>
            <w:tcW w:w="80" w:type="dxa"/>
            <w:vAlign w:val="bottom"/>
          </w:tcPr>
          <w:p>
            <w:pPr>
              <w:spacing w:after="0"/>
              <w:rPr>
                <w:sz w:val="16"/>
                <w:szCs w:val="16"/>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258,836</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(32,961)</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377,638</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2"/>
                <w:szCs w:val="12"/>
                <w:color w:val="auto"/>
              </w:rPr>
            </w:pPr>
          </w:p>
        </w:tc>
        <w:tc>
          <w:tcPr>
            <w:tcW w:w="1000" w:type="dxa"/>
            <w:vAlign w:val="bottom"/>
            <w:vMerge w:val="restart"/>
          </w:tcPr>
          <w:p>
            <w:pPr>
              <w:jc w:val="center"/>
              <w:ind w:right="72"/>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5"/>
        </w:trPr>
        <w:tc>
          <w:tcPr>
            <w:tcW w:w="3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Common Shares</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 Paid-In</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2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0" w:type="dxa"/>
            <w:vAlign w:val="bottom"/>
            <w:gridSpan w:val="3"/>
            <w:vMerge w:val="continue"/>
          </w:tcPr>
          <w:p>
            <w:pPr>
              <w:spacing w:after="0"/>
              <w:rPr>
                <w:sz w:val="11"/>
                <w:szCs w:val="11"/>
                <w:color w:val="auto"/>
              </w:rPr>
            </w:pPr>
          </w:p>
        </w:tc>
        <w:tc>
          <w:tcPr>
            <w:tcW w:w="122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100" w:type="dxa"/>
            <w:vAlign w:val="bottom"/>
          </w:tcPr>
          <w:p>
            <w:pPr>
              <w:spacing w:after="0"/>
              <w:rPr>
                <w:sz w:val="11"/>
                <w:szCs w:val="11"/>
                <w:color w:val="auto"/>
              </w:rPr>
            </w:pPr>
          </w:p>
        </w:tc>
        <w:tc>
          <w:tcPr>
            <w:tcW w:w="11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40" w:type="dxa"/>
            <w:vAlign w:val="bottom"/>
          </w:tcPr>
          <w:p>
            <w:pPr>
              <w:spacing w:after="0"/>
              <w:rPr>
                <w:sz w:val="11"/>
                <w:szCs w:val="11"/>
                <w:color w:val="auto"/>
              </w:rPr>
            </w:pPr>
          </w:p>
        </w:tc>
        <w:tc>
          <w:tcPr>
            <w:tcW w:w="1000" w:type="dxa"/>
            <w:vAlign w:val="bottom"/>
          </w:tcPr>
          <w:p>
            <w:pPr>
              <w:jc w:val="center"/>
              <w:ind w:right="52"/>
              <w:spacing w:after="0" w:line="135"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84"/>
        </w:trPr>
        <w:tc>
          <w:tcPr>
            <w:tcW w:w="4060" w:type="dxa"/>
            <w:vAlign w:val="bottom"/>
            <w:gridSpan w:val="2"/>
            <w:vMerge w:val="continue"/>
          </w:tcPr>
          <w:p>
            <w:pPr>
              <w:spacing w:after="0"/>
              <w:rPr>
                <w:sz w:val="15"/>
                <w:szCs w:val="15"/>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(Loss) Income</w:t>
            </w:r>
          </w:p>
        </w:tc>
        <w:tc>
          <w:tcPr>
            <w:tcW w:w="140" w:type="dxa"/>
            <w:vAlign w:val="bottom"/>
          </w:tcPr>
          <w:p>
            <w:pPr>
              <w:spacing w:after="0"/>
              <w:rPr>
                <w:sz w:val="15"/>
                <w:szCs w:val="15"/>
                <w:color w:val="auto"/>
              </w:rPr>
            </w:pPr>
          </w:p>
        </w:tc>
        <w:tc>
          <w:tcPr>
            <w:tcW w:w="1000" w:type="dxa"/>
            <w:vAlign w:val="bottom"/>
          </w:tcPr>
          <w:p>
            <w:pPr>
              <w:jc w:val="center"/>
              <w:ind w:right="72"/>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8"/>
        </w:trPr>
        <w:tc>
          <w:tcPr>
            <w:tcW w:w="3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February 27, 2021</w:t>
            </w:r>
          </w:p>
        </w:tc>
        <w:tc>
          <w:tcPr>
            <w:tcW w:w="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25,714</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8,571</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154,958</w:t>
            </w: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357,243</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(28,027)</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492,745</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10,817</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gain on marketable securities, net of $0 tax expense</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Unrealized gain on derivative instruments, net of $211 tax expense</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5,880</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1,674</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1,674</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4,115</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repurchases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(2,218)</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(12,625)</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share retirements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(5,035)</w:t>
            </w:r>
          </w:p>
        </w:tc>
        <w:tc>
          <w:tcPr>
            <w:tcW w:w="0" w:type="dxa"/>
            <w:vAlign w:val="bottom"/>
          </w:tcPr>
          <w:p>
            <w:pPr>
              <w:spacing w:after="0"/>
              <w:rPr>
                <w:sz w:val="1"/>
                <w:szCs w:val="1"/>
                <w:color w:val="auto"/>
              </w:rPr>
            </w:pPr>
          </w:p>
        </w:tc>
      </w:tr>
      <w:tr>
        <w:trPr>
          <w:trHeight w:val="178"/>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May 29, 2021</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25,606</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8,535</w:t>
            </w:r>
          </w:p>
        </w:tc>
        <w:tc>
          <w:tcPr>
            <w:tcW w:w="80" w:type="dxa"/>
            <w:vAlign w:val="bottom"/>
          </w:tcPr>
          <w:p>
            <w:pPr>
              <w:spacing w:after="0"/>
              <w:rPr>
                <w:sz w:val="15"/>
                <w:szCs w:val="15"/>
                <w:color w:val="auto"/>
              </w:rPr>
            </w:pPr>
          </w:p>
        </w:tc>
        <w:tc>
          <w:tcPr>
            <w:tcW w:w="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158,341</w:t>
            </w:r>
          </w:p>
        </w:tc>
        <w:tc>
          <w:tcPr>
            <w:tcW w:w="80" w:type="dxa"/>
            <w:vAlign w:val="bottom"/>
          </w:tcPr>
          <w:p>
            <w:pPr>
              <w:spacing w:after="0"/>
              <w:rPr>
                <w:sz w:val="15"/>
                <w:szCs w:val="15"/>
                <w:color w:val="auto"/>
              </w:rPr>
            </w:pPr>
          </w:p>
        </w:tc>
        <w:tc>
          <w:tcPr>
            <w:tcW w:w="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352,130</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(21,455)</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497,551</w:t>
            </w:r>
          </w:p>
        </w:tc>
        <w:tc>
          <w:tcPr>
            <w:tcW w:w="0" w:type="dxa"/>
            <w:vAlign w:val="bottom"/>
          </w:tcPr>
          <w:p>
            <w:pPr>
              <w:spacing w:after="0"/>
              <w:rPr>
                <w:sz w:val="1"/>
                <w:szCs w:val="1"/>
                <w:color w:val="auto"/>
              </w:rPr>
            </w:pPr>
          </w:p>
        </w:tc>
      </w:tr>
      <w:tr>
        <w:trPr>
          <w:trHeight w:val="194"/>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(2,116)</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Unrealized gain on marketable securities, net of $2 tax expense</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loss on derivative instruments, net of $203 tax benefit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(4,300)</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1,587</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repurchases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(1,616)</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(9,794)</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share retirements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0" w:type="dxa"/>
            <w:vAlign w:val="bottom"/>
          </w:tcPr>
          <w:p>
            <w:pPr>
              <w:spacing w:after="0"/>
              <w:rPr>
                <w:sz w:val="1"/>
                <w:szCs w:val="1"/>
                <w:color w:val="auto"/>
              </w:rPr>
            </w:pPr>
          </w:p>
        </w:tc>
      </w:tr>
      <w:tr>
        <w:trPr>
          <w:trHeight w:val="189"/>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(5,025)</w:t>
            </w:r>
          </w:p>
        </w:tc>
        <w:tc>
          <w:tcPr>
            <w:tcW w:w="0" w:type="dxa"/>
            <w:vAlign w:val="bottom"/>
          </w:tcPr>
          <w:p>
            <w:pPr>
              <w:spacing w:after="0"/>
              <w:rPr>
                <w:sz w:val="1"/>
                <w:szCs w:val="1"/>
                <w:color w:val="auto"/>
              </w:rPr>
            </w:pPr>
          </w:p>
        </w:tc>
      </w:tr>
      <w:tr>
        <w:trPr>
          <w:trHeight w:val="189"/>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August 28, 2021</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25,394</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8,465</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158,115</w:t>
            </w:r>
          </w:p>
        </w:tc>
        <w:tc>
          <w:tcPr>
            <w:tcW w:w="80" w:type="dxa"/>
            <w:vAlign w:val="bottom"/>
          </w:tcPr>
          <w:p>
            <w:pPr>
              <w:spacing w:after="0"/>
              <w:rPr>
                <w:sz w:val="16"/>
                <w:szCs w:val="16"/>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336,398</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(26,417)</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476,561</w:t>
            </w: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11,057</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Unrealized loss on marketable securities, net of $40 tax benefit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loss on derivative instruments, net of $265 tax benefit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(2,515)</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1,546</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repurchases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(6,745)</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share retirements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89"/>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(4,990)</w:t>
            </w:r>
          </w:p>
        </w:tc>
        <w:tc>
          <w:tcPr>
            <w:tcW w:w="0" w:type="dxa"/>
            <w:vAlign w:val="bottom"/>
          </w:tcPr>
          <w:p>
            <w:pPr>
              <w:spacing w:after="0"/>
              <w:rPr>
                <w:sz w:val="1"/>
                <w:szCs w:val="1"/>
                <w:color w:val="auto"/>
              </w:rPr>
            </w:pPr>
          </w:p>
        </w:tc>
      </w:tr>
      <w:tr>
        <w:trPr>
          <w:trHeight w:val="189"/>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November 27, 2021</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25,227</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8,409</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158,579</w:t>
            </w:r>
          </w:p>
        </w:tc>
        <w:tc>
          <w:tcPr>
            <w:tcW w:w="80" w:type="dxa"/>
            <w:vAlign w:val="bottom"/>
          </w:tcPr>
          <w:p>
            <w:pPr>
              <w:spacing w:after="0"/>
              <w:rPr>
                <w:sz w:val="16"/>
                <w:szCs w:val="16"/>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336,816</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(29,951)</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473,853</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consolidated financial statements of Apogee Enterprises, Inc. (we, us, our or the Company) have been prepared in accordance with accounting principles generally accepted in the United States. The information included in this Form 10-Q should be read in conjunction with the Company’s Form 10-K for the year ended February 26, 2022. We use the same accounting policies in preparing quarterly and annual financial statements. All adjustments necessary for a fair presentation of quarterly and year to date operating results are reflected herein and are of a normal, recurring nature. The results of operations for the three- and nine-month periods ended November 26, 2022 are not necessarily indicative of the results to be expected for the full year.</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beginning of the first quarter of fiscal 2023, we began management of the Sotawall and Harmon businesses under the Architectural Services segment in order to create a single, unified offering for larger custom curtainwall projects. The comparative fiscal 2022 segment results for the Architectural Framing Systems and Architectural Services segments have been recast to reflect the move of the Sotawall business into the Architectural Services segment from the Architectural Framing Systems segment, effective at the start of the first quarter of fiscal 2023.</w:t>
      </w:r>
    </w:p>
    <w:p>
      <w:pPr>
        <w:spacing w:after="0" w:line="203"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Receivables and Contract Assets and Liabilities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total revenue by timing of recognition (see Note 12 for disclosure of revenue by segment):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100" w:type="dxa"/>
            <w:vAlign w:val="bottom"/>
            <w:gridSpan w:val="4"/>
          </w:tcPr>
          <w:p>
            <w:pPr>
              <w:jc w:val="right"/>
              <w:ind w:right="93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46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90"/>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4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26, 2022</w:t>
            </w:r>
          </w:p>
        </w:tc>
        <w:tc>
          <w:tcPr>
            <w:tcW w:w="1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November 27, 2021</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26, 2022</w:t>
            </w:r>
          </w:p>
        </w:tc>
        <w:tc>
          <w:tcPr>
            <w:tcW w:w="1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November 27, 2021</w:t>
            </w:r>
          </w:p>
        </w:tc>
      </w:tr>
      <w:tr>
        <w:trPr>
          <w:trHeight w:val="229"/>
        </w:trPr>
        <w:tc>
          <w:tcPr>
            <w:tcW w:w="4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at shipment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168,593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141,826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504,450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419,893</w:t>
            </w:r>
          </w:p>
        </w:tc>
      </w:tr>
      <w:tr>
        <w:trPr>
          <w:trHeight w:val="230"/>
        </w:trPr>
        <w:tc>
          <w:tcPr>
            <w:tcW w:w="4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Recognized over time</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199,254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192,391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592,141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566,127</w:t>
            </w:r>
          </w:p>
        </w:tc>
      </w:tr>
      <w:tr>
        <w:trPr>
          <w:trHeight w:val="248"/>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1,096,591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986,020</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Receivables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Receivables reflected in the financial statements represent the net amount expected to be collected. An allowance for credit losses is established based on expected losses. Expected losses are estimated by reviewing individual accounts, considering aging, financial condition of the debtor, recent payment history, current and forecast economic conditions and other relevant factors. Upon billing, aging of receivables is monitored until collection. An account is considered current when it is within agreed upon payment terms. An account is written off when it is determined that the asset is no longer collectible. Retainage on construction contracts represents amounts withheld by our customers on long-term projects until the project reaches a level of completion where amounts are released to us from the customer.</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4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26, 2022</w:t>
            </w:r>
          </w:p>
        </w:tc>
        <w:tc>
          <w:tcPr>
            <w:tcW w:w="160" w:type="dxa"/>
            <w:vAlign w:val="bottom"/>
          </w:tcPr>
          <w:p>
            <w:pPr>
              <w:spacing w:after="0"/>
              <w:rPr>
                <w:sz w:val="18"/>
                <w:szCs w:val="18"/>
                <w:color w:val="auto"/>
              </w:rPr>
            </w:pPr>
          </w:p>
        </w:tc>
        <w:tc>
          <w:tcPr>
            <w:tcW w:w="14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February 26, 2022</w:t>
            </w:r>
          </w:p>
        </w:tc>
        <w:tc>
          <w:tcPr>
            <w:tcW w:w="0" w:type="dxa"/>
            <w:vAlign w:val="bottom"/>
          </w:tcPr>
          <w:p>
            <w:pPr>
              <w:spacing w:after="0"/>
              <w:rPr>
                <w:sz w:val="1"/>
                <w:szCs w:val="1"/>
                <w:color w:val="auto"/>
              </w:rPr>
            </w:pPr>
          </w:p>
        </w:tc>
      </w:tr>
      <w:tr>
        <w:trPr>
          <w:trHeight w:val="230"/>
        </w:trPr>
        <w:tc>
          <w:tcPr>
            <w:tcW w:w="7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142,591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129,085</w:t>
            </w:r>
          </w:p>
        </w:tc>
        <w:tc>
          <w:tcPr>
            <w:tcW w:w="0" w:type="dxa"/>
            <w:vAlign w:val="bottom"/>
          </w:tcPr>
          <w:p>
            <w:pPr>
              <w:spacing w:after="0"/>
              <w:rPr>
                <w:sz w:val="1"/>
                <w:szCs w:val="1"/>
                <w:color w:val="auto"/>
              </w:rPr>
            </w:pPr>
          </w:p>
        </w:tc>
      </w:tr>
      <w:tr>
        <w:trPr>
          <w:trHeight w:val="229"/>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Construction contracts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12,857</w:t>
            </w: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retainage</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28,782</w:t>
            </w:r>
          </w:p>
        </w:tc>
        <w:tc>
          <w:tcPr>
            <w:tcW w:w="0" w:type="dxa"/>
            <w:vAlign w:val="bottom"/>
          </w:tcPr>
          <w:p>
            <w:pPr>
              <w:spacing w:after="0"/>
              <w:rPr>
                <w:sz w:val="1"/>
                <w:szCs w:val="1"/>
                <w:color w:val="auto"/>
              </w:rPr>
            </w:pPr>
          </w:p>
        </w:tc>
      </w:tr>
      <w:tr>
        <w:trPr>
          <w:trHeight w:val="223"/>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receivables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170,724</w:t>
            </w: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0" w:type="dxa"/>
            <w:vAlign w:val="bottom"/>
          </w:tcPr>
          <w:p>
            <w:pPr>
              <w:spacing w:after="0"/>
              <w:rPr>
                <w:sz w:val="1"/>
                <w:szCs w:val="1"/>
                <w:color w:val="auto"/>
              </w:rPr>
            </w:pPr>
          </w:p>
        </w:tc>
      </w:tr>
      <w:tr>
        <w:trPr>
          <w:trHeight w:val="223"/>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222,554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168,592</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the activity in the allowance for credit losses:</w:t>
            </w: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9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4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26, 2022</w:t>
            </w:r>
          </w:p>
        </w:tc>
        <w:tc>
          <w:tcPr>
            <w:tcW w:w="160" w:type="dxa"/>
            <w:vAlign w:val="bottom"/>
          </w:tcPr>
          <w:p>
            <w:pPr>
              <w:spacing w:after="0"/>
              <w:rPr>
                <w:sz w:val="24"/>
                <w:szCs w:val="24"/>
                <w:color w:val="auto"/>
              </w:rPr>
            </w:pPr>
          </w:p>
        </w:tc>
        <w:tc>
          <w:tcPr>
            <w:tcW w:w="14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February 26, 2022</w:t>
            </w:r>
          </w:p>
        </w:tc>
        <w:tc>
          <w:tcPr>
            <w:tcW w:w="0" w:type="dxa"/>
            <w:vAlign w:val="bottom"/>
          </w:tcPr>
          <w:p>
            <w:pPr>
              <w:spacing w:after="0"/>
              <w:rPr>
                <w:sz w:val="1"/>
                <w:szCs w:val="1"/>
                <w:color w:val="auto"/>
              </w:rPr>
            </w:pPr>
          </w:p>
        </w:tc>
      </w:tr>
      <w:tr>
        <w:trPr>
          <w:trHeight w:val="229"/>
        </w:trPr>
        <w:tc>
          <w:tcPr>
            <w:tcW w:w="7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0" w:type="dxa"/>
            <w:vAlign w:val="bottom"/>
          </w:tcPr>
          <w:p>
            <w:pPr>
              <w:spacing w:after="0"/>
              <w:rPr>
                <w:sz w:val="1"/>
                <w:szCs w:val="1"/>
                <w:color w:val="auto"/>
              </w:rPr>
            </w:pPr>
          </w:p>
        </w:tc>
      </w:tr>
      <w:tr>
        <w:trPr>
          <w:trHeight w:val="230"/>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Additions charged to costs and expenses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Deductions from allowance, net of recoveries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changes </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gridSpan w:val="2"/>
            <w:vMerge w:val="restart"/>
          </w:tcPr>
          <w:p>
            <w:pPr>
              <w:ind w:left="200"/>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color w:val="auto"/>
              </w:rPr>
              <w:t xml:space="preserve"> Result of foreign currency effects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7980" w:type="dxa"/>
            <w:vAlign w:val="bottom"/>
            <w:gridSpan w:val="2"/>
            <w:vMerge w:val="continue"/>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assets and liabilities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Contract assets consist of retainage, costs and earnings in excess of billings and other unbilled amounts typically generated when revenue recognized exceeds the amount billed to the customer. Contract liabilities consist of billings in excess of costs and earnings and other deferred revenue on contracts. Retainage is classified within receivables and deferred revenue is classified within other current liabilities on our consolidated balance sheets.</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time period between when performance obligations are complete and when payment is due is not significant. In certain of our businesses that recognize revenue over time, progress billings follow an agreed-upon schedule of values, and retainage is withheld by the customer until the project reaches a level of completion at which point amounts are released to us from the customer.</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4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26, 2022</w:t>
            </w:r>
          </w:p>
        </w:tc>
        <w:tc>
          <w:tcPr>
            <w:tcW w:w="160" w:type="dxa"/>
            <w:vAlign w:val="bottom"/>
          </w:tcPr>
          <w:p>
            <w:pPr>
              <w:spacing w:after="0"/>
              <w:rPr>
                <w:sz w:val="18"/>
                <w:szCs w:val="18"/>
                <w:color w:val="auto"/>
              </w:rPr>
            </w:pPr>
          </w:p>
        </w:tc>
        <w:tc>
          <w:tcPr>
            <w:tcW w:w="14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February 26, 2022</w:t>
            </w:r>
          </w:p>
        </w:tc>
      </w:tr>
      <w:tr>
        <w:trPr>
          <w:trHeight w:val="229"/>
        </w:trPr>
        <w:tc>
          <w:tcPr>
            <w:tcW w:w="7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64,359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59,185</w:t>
            </w:r>
          </w:p>
        </w:tc>
      </w:tr>
      <w:tr>
        <w:trPr>
          <w:trHeight w:val="234"/>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11,373</w:t>
            </w:r>
          </w:p>
        </w:tc>
      </w:tr>
    </w:tbl>
    <w:p>
      <w:pPr>
        <w:spacing w:after="0" w:line="30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changes in contract assets and contract liabilities were mainly due to timing of project activity within our businesses that operate under long-term contracts.</w:t>
      </w:r>
    </w:p>
    <w:p>
      <w:pPr>
        <w:sectPr>
          <w:pgSz w:w="11900" w:h="16838" w:orient="portrait"/>
          <w:cols w:equalWidth="0" w:num="1">
            <w:col w:w="11240"/>
          </w:cols>
          <w:pgMar w:left="320" w:top="121" w:right="339" w:bottom="1440" w:gutter="0" w:footer="0" w:header="0"/>
        </w:sectPr>
      </w:pP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Other contract-related disclosures</w:t>
      </w:r>
    </w:p>
    <w:p>
      <w:pPr>
        <w:spacing w:after="0" w:line="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41"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Revenue recognized related to contract liabilities from prior year-end</w:t>
      </w:r>
    </w:p>
    <w:p>
      <w:pPr>
        <w:spacing w:after="0" w:line="10" w:lineRule="exact"/>
        <w:rPr>
          <w:sz w:val="20"/>
          <w:szCs w:val="20"/>
          <w:color w:val="auto"/>
        </w:rPr>
      </w:pPr>
    </w:p>
    <w:p>
      <w:pPr>
        <w:ind w:left="20" w:right="680"/>
        <w:spacing w:after="0" w:line="237" w:lineRule="auto"/>
        <w:rPr>
          <w:sz w:val="20"/>
          <w:szCs w:val="20"/>
          <w:color w:val="auto"/>
        </w:rPr>
      </w:pPr>
      <w:r>
        <w:rPr>
          <w:rFonts w:ascii="Times New Roman" w:cs="Times New Roman" w:eastAsia="Times New Roman" w:hAnsi="Times New Roman"/>
          <w:sz w:val="18"/>
          <w:szCs w:val="18"/>
          <w:color w:val="auto"/>
        </w:rPr>
        <w:t>Revenue recognized related to prior satisfaction of performance obligations</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40" w:type="dxa"/>
            <w:vAlign w:val="bottom"/>
          </w:tcPr>
          <w:p>
            <w:pPr>
              <w:spacing w:after="0"/>
              <w:rPr>
                <w:sz w:val="16"/>
                <w:szCs w:val="16"/>
                <w:color w:val="auto"/>
              </w:rPr>
            </w:pPr>
          </w:p>
        </w:tc>
        <w:tc>
          <w:tcPr>
            <w:tcW w:w="320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080" w:type="dxa"/>
            <w:vAlign w:val="bottom"/>
            <w:gridSpan w:val="4"/>
          </w:tcPr>
          <w:p>
            <w:pPr>
              <w:jc w:val="right"/>
              <w:ind w:right="916"/>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1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90"/>
        </w:trPr>
        <w:tc>
          <w:tcPr>
            <w:tcW w:w="1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26, 2022</w:t>
            </w: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November 27, 2021</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26, 2022</w:t>
            </w:r>
          </w:p>
        </w:tc>
        <w:tc>
          <w:tcPr>
            <w:tcW w:w="1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November 27, 2021</w:t>
            </w:r>
          </w:p>
        </w:tc>
      </w:tr>
      <w:tr>
        <w:trPr>
          <w:trHeight w:val="418"/>
        </w:trPr>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36,630</w:t>
            </w:r>
          </w:p>
        </w:tc>
        <w:tc>
          <w:tcPr>
            <w:tcW w:w="12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18,266</w:t>
            </w:r>
          </w:p>
        </w:tc>
      </w:tr>
      <w:tr>
        <w:trPr>
          <w:trHeight w:val="418"/>
        </w:trPr>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-539750</wp:posOffset>
            </wp:positionV>
            <wp:extent cx="7132320" cy="274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40" w:space="320"/>
            <w:col w:w="6580"/>
          </w:cols>
          <w:pgMar w:left="320" w:top="121" w:right="339" w:bottom="1440" w:gutter="0" w:footer="0" w:header="0"/>
          <w:type w:val="continuous"/>
        </w:sectPr>
      </w:pP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our contracts have an expected duration of longer than a year, with performance obligations extending over that time frame. Generally, these contracts are found in our businesses that typically operate with long-term contracts, which recognize revenue over time. The transaction prices associated with unsatisfied performance obligations at November 26, 2022 are expected to be satisfied, and the corresponding revenue to be recognized, over the following estimated time periods:</w:t>
      </w:r>
    </w:p>
    <w:p>
      <w:pPr>
        <w:sectPr>
          <w:pgSz w:w="11900" w:h="16838" w:orient="portrait"/>
          <w:cols w:equalWidth="0" w:num="1">
            <w:col w:w="11240"/>
          </w:cols>
          <w:pgMar w:left="320" w:top="121" w:right="339" w:bottom="1440" w:gutter="0" w:footer="0" w:header="0"/>
          <w:type w:val="continuous"/>
        </w:sectPr>
      </w:pP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Within one year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Within two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Beyond two years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64"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Supplemental Balance Sheet Information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Raw materials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Work-in-process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Finished goods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inventories</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b w:val="1"/>
          <w:bCs w:val="1"/>
          <w:color w:val="auto"/>
        </w:rPr>
        <w:t>November 26, 2022</w:t>
      </w:r>
    </w:p>
    <w:p>
      <w:pPr>
        <w:spacing w:after="0" w:line="61" w:lineRule="exact"/>
        <w:rPr>
          <w:sz w:val="20"/>
          <w:szCs w:val="20"/>
          <w:color w:val="auto"/>
        </w:rPr>
      </w:pPr>
    </w:p>
    <w:p>
      <w:pPr>
        <w:ind w:left="1700"/>
        <w:spacing w:after="0"/>
        <w:tabs>
          <w:tab w:leader="none" w:pos="25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493,289</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280,427</w:t>
      </w:r>
    </w:p>
    <w:p>
      <w:pPr>
        <w:spacing w:after="0" w:line="2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87,660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14605</wp:posOffset>
            </wp:positionV>
            <wp:extent cx="10033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11" w:lineRule="exact"/>
        <w:rPr>
          <w:sz w:val="20"/>
          <w:szCs w:val="20"/>
          <w:color w:val="auto"/>
        </w:rPr>
      </w:pPr>
    </w:p>
    <w:p>
      <w:pPr>
        <w:ind w:left="1700"/>
        <w:spacing w:after="0"/>
        <w:tabs>
          <w:tab w:leader="none" w:pos="25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861,376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17145</wp:posOffset>
            </wp:positionV>
            <wp:extent cx="10033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1066800</wp:posOffset>
            </wp:positionH>
            <wp:positionV relativeFrom="paragraph">
              <wp:posOffset>43180</wp:posOffset>
            </wp:positionV>
            <wp:extent cx="10033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26, 2022</w:t>
            </w:r>
          </w:p>
        </w:tc>
        <w:tc>
          <w:tcPr>
            <w:tcW w:w="16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February 26, 2022</w:t>
            </w:r>
          </w:p>
        </w:tc>
      </w:tr>
      <w:tr>
        <w:trPr>
          <w:trHeight w:val="23"/>
        </w:trPr>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8"/>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43,722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42,541</w:t>
            </w:r>
          </w:p>
        </w:tc>
      </w:tr>
      <w:tr>
        <w:trPr>
          <w:trHeight w:val="230"/>
        </w:trPr>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18,144</w:t>
            </w:r>
          </w:p>
        </w:tc>
      </w:tr>
      <w:tr>
        <w:trPr>
          <w:trHeight w:val="234"/>
        </w:trPr>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25,229</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19,809</w:t>
            </w:r>
          </w:p>
        </w:tc>
      </w:tr>
      <w:tr>
        <w:trPr>
          <w:trHeight w:val="223"/>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86,032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80,494</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60" w:space="720"/>
            <w:col w:w="326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current liabilities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26, 2022</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February 26, 2022</w:t>
            </w:r>
          </w:p>
        </w:tc>
        <w:tc>
          <w:tcPr>
            <w:tcW w:w="0" w:type="dxa"/>
            <w:vAlign w:val="bottom"/>
          </w:tcPr>
          <w:p>
            <w:pPr>
              <w:spacing w:after="0"/>
              <w:rPr>
                <w:sz w:val="1"/>
                <w:szCs w:val="1"/>
                <w:color w:val="auto"/>
              </w:rPr>
            </w:pPr>
          </w:p>
        </w:tc>
      </w:tr>
      <w:tr>
        <w:trPr>
          <w:trHeight w:val="229"/>
        </w:trPr>
        <w:tc>
          <w:tcPr>
            <w:tcW w:w="7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Warranties</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Income and other taxes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self-insurance reserves</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Accrued freight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26,318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8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66,174</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67,462</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88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40" w:type="dxa"/>
            <w:vAlign w:val="bottom"/>
          </w:tcPr>
          <w:p>
            <w:pPr>
              <w:spacing w:after="0"/>
              <w:rPr>
                <w:sz w:val="24"/>
                <w:szCs w:val="24"/>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26, 2022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February 26, 2022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benefit from New Markets Tax Credit transactions</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Retirement plan obligations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8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47,196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Through our wholly-owned insurance subsidiary, Prism Assurance, Ltd. (Prism), we hold the following available-for-sale marketable securities, made up of municipal and corporate bonds: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8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60" w:type="dxa"/>
            <w:vAlign w:val="bottom"/>
          </w:tcPr>
          <w:p>
            <w:pPr>
              <w:spacing w:after="0"/>
              <w:rPr>
                <w:sz w:val="13"/>
                <w:szCs w:val="13"/>
                <w:color w:val="auto"/>
              </w:rPr>
            </w:pPr>
          </w:p>
        </w:tc>
        <w:tc>
          <w:tcPr>
            <w:tcW w:w="126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5"/>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800" w:type="dxa"/>
            <w:vAlign w:val="bottom"/>
            <w:gridSpan w:val="4"/>
            <w:vMerge w:val="continue"/>
          </w:tcPr>
          <w:p>
            <w:pPr>
              <w:spacing w:after="0"/>
              <w:rPr>
                <w:sz w:val="16"/>
                <w:szCs w:val="16"/>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6"/>
                <w:szCs w:val="16"/>
                <w:color w:val="auto"/>
              </w:rPr>
            </w:pPr>
          </w:p>
        </w:tc>
        <w:tc>
          <w:tcPr>
            <w:tcW w:w="126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8"/>
        </w:trPr>
        <w:tc>
          <w:tcPr>
            <w:tcW w:w="4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26, 2022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10,835</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10,160</w:t>
            </w:r>
          </w:p>
        </w:tc>
        <w:tc>
          <w:tcPr>
            <w:tcW w:w="0" w:type="dxa"/>
            <w:vAlign w:val="bottom"/>
          </w:tcPr>
          <w:p>
            <w:pPr>
              <w:spacing w:after="0"/>
              <w:rPr>
                <w:sz w:val="1"/>
                <w:szCs w:val="1"/>
                <w:color w:val="auto"/>
              </w:rPr>
            </w:pPr>
          </w:p>
        </w:tc>
      </w:tr>
      <w:tr>
        <w:trPr>
          <w:trHeight w:val="234"/>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26, 2022</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11,862</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11,784</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Prism insures a portion of our general liability, workers’ compensation and automobile liability risks using reinsurance agreements to meet statutory requirements. The reinsurance carrier requires Prism to maintain fixed-maturity investments for the purpose of providing collateral for Prism’s obligations under the reinsurance agreements.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amortized cost and estimated fair values of these bonds at November 26, 2022, by contractual maturity, are shown below. Expected maturities may differ from contractual maturities, as borrowers may have the right to call or prepay obligations with or without penalty.</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8"/>
                <w:szCs w:val="18"/>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30"/>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r>
      <w:tr>
        <w:trPr>
          <w:trHeight w:val="229"/>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9,096</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8,440</w:t>
            </w:r>
          </w:p>
        </w:tc>
      </w:tr>
      <w:tr>
        <w:trPr>
          <w:trHeight w:val="248"/>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use interest rate swaps, foreign exchange forward contracts, commodity swaps and forward purchase contracts to manage risks generally associated with foreign exchange rate, interest rate and commodity price fluctuations. The information that follows explains the various types of derivatives and financial instruments we use, how such instruments are accounted for, and how such instruments impact our financial position and performance.</w:t>
      </w:r>
    </w:p>
    <w:p>
      <w:pPr>
        <w:spacing w:after="0" w:line="2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fiscal 2020, we entered into an interest rate swap to hedge exposure to variability in cash flows from interest payments on our floating-rate revolving credit facility and term loan. As of November 26, 2022, the interest rate swap contract had a notional value of $30.0 million.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periodically enter into forward purchase contracts and/or fixed/floating swaps to manage the risk associated with fluctuations in aluminum prices and fluctuations in foreign exchange rates (primarily related to the Canadian dollar). These contracts generally have an original maturity date of less than one year. As of November 26, 2022, we held foreign exchange forward contracts and aluminum fixed/floating swaps with U.S. dollar notional values of $3.0 million and $8.1 million, respectively.</w:t>
      </w: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derivative instruments are recorded within our consolidated balance sheets within other current assets and liabilities. Gains or losses associated with these instruments are recorded as a component of accumulated other comprehensive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Financial assets and liabilities are classified in the fair value hierarchy based on the lowest level input that is significant to the fair value measurement: Level 1 (unadjusted quoted prices in active markets for identical assets or liabilities); Level 2 (observable market inputs, other than quoted prices included in Level 1); and Level 3 (unobservable inputs that cannot be corroborated by observable market data). We do not have any Level 3 financial assets or liabilities.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3"/>
                <w:szCs w:val="13"/>
                <w:color w:val="auto"/>
              </w:rPr>
            </w:pPr>
          </w:p>
        </w:tc>
        <w:tc>
          <w:tcPr>
            <w:tcW w:w="15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 Observable</w:t>
            </w: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195"/>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0" w:type="dxa"/>
            <w:vAlign w:val="bottom"/>
          </w:tcPr>
          <w:p>
            <w:pPr>
              <w:spacing w:after="0"/>
              <w:rPr>
                <w:sz w:val="16"/>
                <w:szCs w:val="16"/>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20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26, 2022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w:t>
            </w:r>
          </w:p>
        </w:tc>
        <w:tc>
          <w:tcPr>
            <w:tcW w:w="0" w:type="dxa"/>
            <w:vAlign w:val="bottom"/>
          </w:tcPr>
          <w:p>
            <w:pPr>
              <w:spacing w:after="0"/>
              <w:rPr>
                <w:sz w:val="1"/>
                <w:szCs w:val="1"/>
                <w:color w:val="auto"/>
              </w:rPr>
            </w:pPr>
          </w:p>
        </w:tc>
      </w:tr>
      <w:tr>
        <w:trPr>
          <w:trHeight w:val="230"/>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Municipal and corporate bonds</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10,160</w:t>
            </w: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surrender value of life insurance</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16,247</w:t>
            </w:r>
          </w:p>
        </w:tc>
        <w:tc>
          <w:tcPr>
            <w:tcW w:w="0" w:type="dxa"/>
            <w:vAlign w:val="bottom"/>
          </w:tcPr>
          <w:p>
            <w:pPr>
              <w:spacing w:after="0"/>
              <w:rPr>
                <w:sz w:val="1"/>
                <w:szCs w:val="1"/>
                <w:color w:val="auto"/>
              </w:rPr>
            </w:pPr>
          </w:p>
        </w:tc>
      </w:tr>
      <w:tr>
        <w:trPr>
          <w:trHeight w:val="229"/>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rate swap contract</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Deferred compensation</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9,277</w:t>
            </w: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forward/option contract</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30"/>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Aluminum hedging contract</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February 26, 2022</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19,288</w:t>
            </w: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Municipal and corporate bonds</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11,784</w:t>
            </w:r>
          </w:p>
        </w:tc>
        <w:tc>
          <w:tcPr>
            <w:tcW w:w="0" w:type="dxa"/>
            <w:vAlign w:val="bottom"/>
          </w:tcPr>
          <w:p>
            <w:pPr>
              <w:spacing w:after="0"/>
              <w:rPr>
                <w:sz w:val="1"/>
                <w:szCs w:val="1"/>
                <w:color w:val="auto"/>
              </w:rPr>
            </w:pPr>
          </w:p>
        </w:tc>
      </w:tr>
      <w:tr>
        <w:trPr>
          <w:trHeight w:val="230"/>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Cash surrender value of life insurance</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17,831</w:t>
            </w: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Aluminum hedging contract</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0" w:type="dxa"/>
            <w:vAlign w:val="bottom"/>
          </w:tcPr>
          <w:p>
            <w:pPr>
              <w:spacing w:after="0"/>
              <w:rPr>
                <w:sz w:val="1"/>
                <w:szCs w:val="1"/>
                <w:color w:val="auto"/>
              </w:rPr>
            </w:pPr>
          </w:p>
        </w:tc>
      </w:tr>
      <w:tr>
        <w:trPr>
          <w:trHeight w:val="229"/>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rate swap contract</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Deferred compensation</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12,491</w:t>
            </w: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forward/option contract</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Money market funds and commercial paper</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Fair value of money market funds was determined based on quoted prices for identical assets in active markets. Commercial paper was measured at fair value using inputs based on quoted prices for similar securities in active markets. These assets are included within cash and cash equivalents on our consolidated balance sheets.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Municipal and corporate bonds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Municipal and corporate bonds were measured at fair value based on market prices from recent trades of similar securities and are classified within our consolidated balance sheets as other current or other non-current assets based on maturity date.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surrender value of life insurance and deferred compensation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Contracts insuring the lives of certain employees who are eligible to participate in certain non-qualified pension and deferred compensation plans are held in trust. Cash surrender value of the contracts is based on performance measurement funds that shadow the deferral investment allocations made by participants in certain deferred compensation plans. Changes in cash surrender value are recorded in other expense. The deferred compensation liability balances are valued based on amounts allocated by participants to the underlying performance measurement funds.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interest rate swap is measured at fair value using other observable market inputs, based off of benchmark interest rates.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Forward foreign exchange and fixed/floating aluminum contracts are measured at fair value using other observable market inputs, such as quotations on forward foreign exchange points, foreign currency exchange rates, and forward purchase aluminum prices. Derivative positions are primarily valued using standard calculations and models that use as their basis readily observable market parameters. Industry standard data providers are our primary source for forward and spot rate information for both interest and currency rates and aluminum prices.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Nonrecurring fair value measurements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measure certain financial instruments at fair value on a nonrecurring basis including goodwill, intangible assets, property and equipment and right-of-use lease assets. These assets were initially measured and recognized at amounts equal to the fair value determined as of the date of acquisition or purchase subject to changes in value only for foreign currency translation. Periodically, these assets are tested for impairment, by comparing their respective carrying values to the estimated fair value of the reporting unit or asset group in which they reside. In the event any of these assets were to become impaired, we would recognize an impairment expense equal to the amount by which the carrying value of the reporting unit, impaired asset or asset group exceeds its estimated fair value. Fair value measurements of reporting units are estimated using an income approach involving discounted cash flow models that contain certain Level 3 inputs requiring significant management judgment, including projections of economic conditions, customer demand and changes in competition, revenue growth rates, gross profit margins, operating margins, capital expenditures, working capital requirements, terminal growth rates and discount rates. Fair value measurements of the reporting units associated with our goodwill balances and our indefinite-lived intangible assets are estimated at least annually in the fourth quarter of each fiscal year for purposes of impairment testing if a quantitative analysis is performed.</w:t>
      </w:r>
    </w:p>
    <w:p>
      <w:pPr>
        <w:spacing w:after="0" w:line="216"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3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Goodwill represents the excess of the cost over the value of net tangible and identified intangible assets of acquired businesses. We evaluate goodwill for impairment annually as of the first day of our fiscal fourth quarter, or more frequently if events or changes in circumstances indicate that the carrying value of goodwill may not be recoverable.</w:t>
      </w:r>
    </w:p>
    <w:p>
      <w:pPr>
        <w:spacing w:after="0" w:line="19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At the beginning of the first quarter of fiscal 2023, we began management of the Sotawall and Harmon businesses under the Architectural Services segment in order to create a single, unified offering for larger custom curtainwall projects, which resulted in the combination of the Sotawall and Harmon reporting units into a single reporting unit. We evaluated goodwill on a qualitative basis prior to and subsequent to this change for these reporting units and concluded that no adjustment to the carrying value of goodwill was necessary. Concurrent with the move of Sotawall from the Architectural Framing Systems segment to the Architectural Services segment effective at the start of our first quarter of fiscal 2023, goodwill was reallocated to the affected reporting units within each segment, using a relative fair value approach as outlined in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In addition, for all reporting units, no qualitative indicators of impairment were identified during the first quarter of fiscal 2023, and therefore, no interim quantitative goodwill impairment evaluation was performed.</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following table presents the carrying amount of goodwill attributable to each reporting segment including the amount of goodwill that was reallocated from the Architectural Framing Systems segment to the Architectural Services segment using the relative fair value approach during the first quarter of fiscal 2023:</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Architectural Framing</w:t>
            </w:r>
          </w:p>
        </w:tc>
        <w:tc>
          <w:tcPr>
            <w:tcW w:w="15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Architectural Services</w:t>
            </w:r>
          </w:p>
        </w:tc>
        <w:tc>
          <w:tcPr>
            <w:tcW w:w="120" w:type="dxa"/>
            <w:vAlign w:val="bottom"/>
          </w:tcPr>
          <w:p>
            <w:pPr>
              <w:spacing w:after="0"/>
              <w:rPr>
                <w:sz w:val="13"/>
                <w:szCs w:val="13"/>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Architectural Glass</w:t>
            </w:r>
          </w:p>
        </w:tc>
        <w:tc>
          <w:tcPr>
            <w:tcW w:w="240" w:type="dxa"/>
            <w:vAlign w:val="bottom"/>
          </w:tcPr>
          <w:p>
            <w:pPr>
              <w:spacing w:after="0"/>
              <w:rPr>
                <w:sz w:val="13"/>
                <w:szCs w:val="13"/>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Large-Scale</w:t>
            </w:r>
          </w:p>
        </w:tc>
        <w:tc>
          <w:tcPr>
            <w:tcW w:w="340" w:type="dxa"/>
            <w:vAlign w:val="bottom"/>
          </w:tcPr>
          <w:p>
            <w:pPr>
              <w:spacing w:after="0"/>
              <w:rPr>
                <w:sz w:val="13"/>
                <w:szCs w:val="13"/>
                <w:color w:val="auto"/>
              </w:rPr>
            </w:pPr>
          </w:p>
        </w:tc>
        <w:tc>
          <w:tcPr>
            <w:tcW w:w="1120" w:type="dxa"/>
            <w:vAlign w:val="bottom"/>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80" w:type="dxa"/>
            <w:vAlign w:val="bottom"/>
          </w:tcPr>
          <w:p>
            <w:pPr>
              <w:spacing w:after="0"/>
              <w:rPr>
                <w:sz w:val="17"/>
                <w:szCs w:val="17"/>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156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Optical</w:t>
            </w:r>
          </w:p>
        </w:tc>
        <w:tc>
          <w:tcPr>
            <w:tcW w:w="3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February 27, 2021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93,099</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130,098</w:t>
            </w:r>
          </w:p>
        </w:tc>
        <w:tc>
          <w:tcPr>
            <w:tcW w:w="0" w:type="dxa"/>
            <w:vAlign w:val="bottom"/>
          </w:tcPr>
          <w:p>
            <w:pPr>
              <w:spacing w:after="0"/>
              <w:rPr>
                <w:sz w:val="1"/>
                <w:szCs w:val="1"/>
                <w:color w:val="auto"/>
              </w:rPr>
            </w:pPr>
          </w:p>
        </w:tc>
      </w:tr>
      <w:tr>
        <w:trPr>
          <w:trHeight w:val="229"/>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35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February 26, 2022</w:t>
            </w:r>
          </w:p>
        </w:tc>
        <w:tc>
          <w:tcPr>
            <w:tcW w:w="2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93,181</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130,102</w:t>
            </w:r>
          </w:p>
        </w:tc>
        <w:tc>
          <w:tcPr>
            <w:tcW w:w="0" w:type="dxa"/>
            <w:vAlign w:val="bottom"/>
          </w:tcPr>
          <w:p>
            <w:pPr>
              <w:spacing w:after="0"/>
              <w:rPr>
                <w:sz w:val="1"/>
                <w:szCs w:val="1"/>
                <w:color w:val="auto"/>
              </w:rPr>
            </w:pPr>
          </w:p>
        </w:tc>
      </w:tr>
      <w:tr>
        <w:trPr>
          <w:trHeight w:val="229"/>
        </w:trPr>
        <w:tc>
          <w:tcPr>
            <w:tcW w:w="35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Reallocation among reporting units </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23"/>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November 26, 2022</w:t>
            </w: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90,370</w:t>
            </w:r>
          </w:p>
        </w:tc>
        <w:tc>
          <w:tcPr>
            <w:tcW w:w="1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25,278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129,268</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0" w:right="220" w:firstLine="6"/>
        <w:spacing w:after="0" w:line="224" w:lineRule="auto"/>
        <w:tabs>
          <w:tab w:leader="none" w:pos="165" w:val="left"/>
        </w:tabs>
        <w:numPr>
          <w:ilvl w:val="0"/>
          <w:numId w:val="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Represents the reallocation of goodwill as a result of transitioning Sotawall from the Architectural Framing Systems segment to the Architectural Services segment as of the start of the first quarter of fiscal 2023.</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Indefinite-lived intangible assets</w:t>
      </w:r>
    </w:p>
    <w:p>
      <w:pPr>
        <w:spacing w:after="0" w:line="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have intangible assets for certain acquired trade names and trademarks which are determined to have indefinite useful lives. We test indefinite-lived intangible assets for impairment annually at the same measurement date as goodwill, the first day of our fiscal fourth quarter, or more frequently if events or changes in circumstances indicate that it is more likely than not that the asset is impaired. Based on the impairment analysis performed in the fourth quarter of fiscal 2022, the fair value of each of our</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trade names and trademarks exceeded the carrying amount. However, due to triggering events identified in the fourth quarter of fiscal 2022, resulting from the finalization of our plans for integrating the Sotawall business into the Architectural Services segment, beginning in fiscal 2023, we determined that the carrying value of the Sotawall trade name exceeded fair value by $12.7 million. We determined that Sotawall had an immaterial fair value, resulting in the trade name being fully impaired as of fiscal 2022 year-end. We recognized this amount as impairment expense in the fourth quarter ended February 26, 2022.</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Finite-lived intangible assets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Long-lived assets or asset groups, including intangible assets subject to amortization and property and equipment, are reviewed for impairment whenever events or changes in circumstances indicate that the carrying value of those assets may not be recoverable. We use undiscounted cash flows to determine whether impairment exists and measure any impairment loss using discounted cash flows to determine the fair value of long-lived assets. Due to triggering events identified during the fourth quarter of fiscal 2022, as a result of finalization of our plans for integrating the Sotawall business into the Architectural Services segment, beginning in fiscal 2023, we determined that the finite-lived intangible assets of Sotawall were impaired as of February 26, 2022. As such, we recognized a long-lived asset impairment charge of $36.7 million in finite-lived intangible assets in the fourth quarter of fiscal year 2022, within the Architectural Framing Systems segment.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amount of other intangible assets and related accumulated amortization was: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3"/>
                <w:szCs w:val="13"/>
                <w:color w:val="auto"/>
              </w:rPr>
            </w:pP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Impairment Expense</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340" w:type="dxa"/>
            <w:vAlign w:val="bottom"/>
          </w:tcPr>
          <w:p>
            <w:pPr>
              <w:spacing w:after="0"/>
              <w:rPr>
                <w:sz w:val="12"/>
                <w:szCs w:val="12"/>
                <w:color w:val="auto"/>
              </w:rPr>
            </w:pPr>
          </w:p>
        </w:tc>
        <w:tc>
          <w:tcPr>
            <w:tcW w:w="102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8"/>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4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7"/>
                <w:szCs w:val="17"/>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6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34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26, 2022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Definite-lived intangible assets: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38,575</w:t>
            </w:r>
          </w:p>
        </w:tc>
        <w:tc>
          <w:tcPr>
            <w:tcW w:w="0" w:type="dxa"/>
            <w:vAlign w:val="bottom"/>
          </w:tcPr>
          <w:p>
            <w:pPr>
              <w:spacing w:after="0"/>
              <w:rPr>
                <w:sz w:val="1"/>
                <w:szCs w:val="1"/>
                <w:color w:val="auto"/>
              </w:rPr>
            </w:pPr>
          </w:p>
        </w:tc>
      </w:tr>
      <w:tr>
        <w:trPr>
          <w:trHeight w:val="230"/>
        </w:trPr>
        <w:tc>
          <w:tcPr>
            <w:tcW w:w="4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intangibles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128,944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(84,143)</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41,909</w:t>
            </w:r>
          </w:p>
        </w:tc>
        <w:tc>
          <w:tcPr>
            <w:tcW w:w="0" w:type="dxa"/>
            <w:vAlign w:val="bottom"/>
          </w:tcPr>
          <w:p>
            <w:pPr>
              <w:spacing w:after="0"/>
              <w:rPr>
                <w:sz w:val="1"/>
                <w:szCs w:val="1"/>
                <w:color w:val="auto"/>
              </w:rPr>
            </w:pPr>
          </w:p>
        </w:tc>
      </w:tr>
      <w:tr>
        <w:trPr>
          <w:trHeight w:val="23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Trademarks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26,916</w:t>
            </w:r>
          </w:p>
        </w:tc>
        <w:tc>
          <w:tcPr>
            <w:tcW w:w="0" w:type="dxa"/>
            <w:vAlign w:val="bottom"/>
          </w:tcPr>
          <w:p>
            <w:pPr>
              <w:spacing w:after="0"/>
              <w:rPr>
                <w:sz w:val="1"/>
                <w:szCs w:val="1"/>
                <w:color w:val="auto"/>
              </w:rPr>
            </w:pPr>
          </w:p>
        </w:tc>
      </w:tr>
      <w:tr>
        <w:trPr>
          <w:trHeight w:val="223"/>
        </w:trPr>
        <w:tc>
          <w:tcPr>
            <w:tcW w:w="4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156,073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(84,143)</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68,825</w:t>
            </w:r>
          </w:p>
        </w:tc>
        <w:tc>
          <w:tcPr>
            <w:tcW w:w="0" w:type="dxa"/>
            <w:vAlign w:val="bottom"/>
          </w:tcPr>
          <w:p>
            <w:pPr>
              <w:spacing w:after="0"/>
              <w:rPr>
                <w:sz w:val="1"/>
                <w:szCs w:val="1"/>
                <w:color w:val="auto"/>
              </w:rPr>
            </w:pP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February 26, 2022</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Definite-lived intangible assets: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42,268</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intangibles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41,838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(35,613)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0" w:type="dxa"/>
            <w:vAlign w:val="bottom"/>
          </w:tcPr>
          <w:p>
            <w:pPr>
              <w:spacing w:after="0"/>
              <w:rPr>
                <w:sz w:val="1"/>
                <w:szCs w:val="1"/>
                <w:color w:val="auto"/>
              </w:rPr>
            </w:pPr>
          </w:p>
        </w:tc>
      </w:tr>
      <w:tr>
        <w:trPr>
          <w:trHeight w:val="223"/>
        </w:trPr>
        <w:tc>
          <w:tcPr>
            <w:tcW w:w="4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45,352</w:t>
            </w:r>
          </w:p>
        </w:tc>
        <w:tc>
          <w:tcPr>
            <w:tcW w:w="0" w:type="dxa"/>
            <w:vAlign w:val="bottom"/>
          </w:tcPr>
          <w:p>
            <w:pPr>
              <w:spacing w:after="0"/>
              <w:rPr>
                <w:sz w:val="1"/>
                <w:szCs w:val="1"/>
                <w:color w:val="auto"/>
              </w:rPr>
            </w:pPr>
          </w:p>
        </w:tc>
      </w:tr>
      <w:tr>
        <w:trPr>
          <w:trHeight w:val="23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Trademarks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27,129</w:t>
            </w:r>
          </w:p>
        </w:tc>
        <w:tc>
          <w:tcPr>
            <w:tcW w:w="0" w:type="dxa"/>
            <w:vAlign w:val="bottom"/>
          </w:tcPr>
          <w:p>
            <w:pPr>
              <w:spacing w:after="0"/>
              <w:rPr>
                <w:sz w:val="1"/>
                <w:szCs w:val="1"/>
                <w:color w:val="auto"/>
              </w:rPr>
            </w:pPr>
          </w:p>
        </w:tc>
      </w:tr>
      <w:tr>
        <w:trPr>
          <w:trHeight w:val="223"/>
        </w:trPr>
        <w:tc>
          <w:tcPr>
            <w:tcW w:w="4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204,631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(82,839)</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(49,473)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72,481</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expense on definite-lived intangible assets was $3.1 million and $5.9 million for the nine-month periods ended November 26, 2022 and November 27, 2021, respectively. Amortization expense of other identifiable intangible assets is included in selling, general and administrative expenses. At November 26, 2022, the estimated future amortization expense for definite-lived intangible assets was: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4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Remainder of 2023</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2027</w:t>
            </w:r>
          </w:p>
        </w:tc>
      </w:tr>
      <w:tr>
        <w:trPr>
          <w:trHeight w:val="229"/>
        </w:trPr>
        <w:tc>
          <w:tcPr>
            <w:tcW w:w="3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amortization expense</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w:t>
            </w:r>
          </w:p>
        </w:tc>
      </w:tr>
    </w:tbl>
    <w:p>
      <w:pPr>
        <w:spacing w:after="0" w:line="315"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second quarter ended August 27, 2022, we amended and extended our committed revolving credit facility to include maximum borrowings of up to $385 million with a maturity of August 2027. As part of the amendment, we repaid the $150 million term loan with borrowings under the revolving credit facility. As of November 26, 2022, outstanding borrowings under our revolving credit facility were $188.0 million, while there were no outstanding borrowings under the revolving credit facility as of February 26, 2022.</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revolving credit facility contains two maintenance financial covenants that require us to stay below a maximum debt-to-EBITDA ratio and maintain a minimum ratio of EBITDA-to-interest expense. Both ratios are computed quarterly, with</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EBITDA calculated on a rolling four-quarter basis. At November 26, 2022, we were in compliance with both financial covenants. Additionally, at November 26, 2022, we had a total of $12.3 million of ongoing letters of credit related to industrial revenue bonds, construction contracts and insurance collateral that expire in fiscal years 2024 to 2032 and reduce borrowing capacity under the revolving credit facility.</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November 26, 2022, debt included $12.0 million of industrial revenue bonds that mature in fiscal years 2036 through 2043. In March 2022, a $1.0 million industrial revenue bond matured and was repaid. The fair value of all industrial revenue bonds approximated carrying value at November 26, 2022, due to the variable interest rates on these instruments. Our credit facility, term loan and industrial revenue bonds would be classified as Level 2 within the fair value hierarchy described in Note 4.</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maintain two Canadian committed, revolving credit facilities totaling $25.0 million (USD). At November 26, 2022, outstanding borrowings under our Canadian committed, revolving credit facilities were $3.7 million, while there were no outstanding borrowings under the Canadian facilities as of February 26,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payments were $5.3 million and $2.7 million for the nine months ended November 26, 2022 and November 27, 2021,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lease certain of the buildings and equipment used in our operations. We determine if an arrangement contains a lease at inception. Currently, all of our lease arrangements are classified as operating leases. We elected the package of practical expedients permitted under the transition guidance in adopting ASC 842, which among other things, allowed us to carry forward our historical lease classification. Operating lease assets and liabilities are recognized at the lease commencement date based on the present value of lease payments over the lease term. Lease expense is recognized on a straight-line basis over the lease term. Our leases have remaining lease terms of one to ten years, some of which include renewal options that can extend the lease for up to an additional ten years at our sole discretion. We have made an accounting policy election not to record leases with an original term of 12 months or less on our consolidated balance sheet; such leases are expensed on a straight-line basis over the lease term.</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determining lease asset value, we consider fixed or variable payment terms, prepayments, incentives, and options to extend, terminate or purchase. Renewal, termination or purchase options affect the lease term used for determining lease asset value only if the option is reasonably certain to be exercised. We use a discount rate for each lease based upon an estimated incremental borrowing rate over a similar term. We have elected the practical expedient to account for lease and non lease components (e.g., common-area maintenance costs) as a single lease component. Our lease agreements do not contain any material residual value guarantees or material restrictive covenants. We are not a lessor in any transactions.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00" w:type="dxa"/>
            <w:vAlign w:val="bottom"/>
            <w:gridSpan w:val="6"/>
          </w:tcPr>
          <w:p>
            <w:pPr>
              <w:jc w:val="right"/>
              <w:ind w:right="87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80" w:type="dxa"/>
            <w:vAlign w:val="bottom"/>
            <w:gridSpan w:val="6"/>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68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4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26, 2022</w:t>
            </w:r>
          </w:p>
        </w:tc>
        <w:tc>
          <w:tcPr>
            <w:tcW w:w="140" w:type="dxa"/>
            <w:vAlign w:val="bottom"/>
          </w:tcPr>
          <w:p>
            <w:pPr>
              <w:spacing w:after="0"/>
              <w:rPr>
                <w:sz w:val="16"/>
                <w:szCs w:val="16"/>
                <w:color w:val="auto"/>
              </w:rPr>
            </w:pPr>
          </w:p>
        </w:tc>
        <w:tc>
          <w:tcPr>
            <w:tcW w:w="142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November 27, 2021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November 26, 2022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November 27, 2021</w:t>
            </w:r>
          </w:p>
        </w:tc>
        <w:tc>
          <w:tcPr>
            <w:tcW w:w="0" w:type="dxa"/>
            <w:vAlign w:val="bottom"/>
          </w:tcPr>
          <w:p>
            <w:pPr>
              <w:spacing w:after="0"/>
              <w:rPr>
                <w:sz w:val="1"/>
                <w:szCs w:val="1"/>
                <w:color w:val="auto"/>
              </w:rPr>
            </w:pPr>
          </w:p>
        </w:tc>
      </w:tr>
      <w:tr>
        <w:trPr>
          <w:trHeight w:val="229"/>
        </w:trPr>
        <w:tc>
          <w:tcPr>
            <w:tcW w:w="4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9,298</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10,321</w:t>
            </w:r>
          </w:p>
        </w:tc>
        <w:tc>
          <w:tcPr>
            <w:tcW w:w="0" w:type="dxa"/>
            <w:vAlign w:val="bottom"/>
          </w:tcPr>
          <w:p>
            <w:pPr>
              <w:spacing w:after="0"/>
              <w:rPr>
                <w:sz w:val="1"/>
                <w:szCs w:val="1"/>
                <w:color w:val="auto"/>
              </w:rPr>
            </w:pPr>
          </w:p>
        </w:tc>
      </w:tr>
      <w:tr>
        <w:trPr>
          <w:trHeight w:val="230"/>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0" w:type="dxa"/>
            <w:vAlign w:val="bottom"/>
          </w:tcPr>
          <w:p>
            <w:pPr>
              <w:spacing w:after="0"/>
              <w:rPr>
                <w:sz w:val="1"/>
                <w:szCs w:val="1"/>
                <w:color w:val="auto"/>
              </w:rPr>
            </w:pPr>
          </w:p>
        </w:tc>
      </w:tr>
      <w:tr>
        <w:trPr>
          <w:trHeight w:val="229"/>
        </w:trPr>
        <w:tc>
          <w:tcPr>
            <w:tcW w:w="4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2,667</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0" w:type="dxa"/>
            <w:vAlign w:val="bottom"/>
          </w:tcPr>
          <w:p>
            <w:pPr>
              <w:spacing w:after="0"/>
              <w:rPr>
                <w:sz w:val="1"/>
                <w:szCs w:val="1"/>
                <w:color w:val="auto"/>
              </w:rPr>
            </w:pPr>
          </w:p>
        </w:tc>
      </w:tr>
      <w:tr>
        <w:trPr>
          <w:trHeight w:val="223"/>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12,769</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13,324</w:t>
            </w: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supplemental information related to leases was as follows:</w:t>
            </w: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46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80" w:type="dxa"/>
            <w:vAlign w:val="bottom"/>
            <w:gridSpan w:val="6"/>
          </w:tcPr>
          <w:p>
            <w:pPr>
              <w:jc w:val="right"/>
              <w:ind w:right="105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 except weighted-average data)</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November 26, 2022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November 27, 2021</w:t>
            </w:r>
          </w:p>
        </w:tc>
        <w:tc>
          <w:tcPr>
            <w:tcW w:w="0" w:type="dxa"/>
            <w:vAlign w:val="bottom"/>
          </w:tcPr>
          <w:p>
            <w:pPr>
              <w:spacing w:after="0"/>
              <w:rPr>
                <w:sz w:val="1"/>
                <w:szCs w:val="1"/>
                <w:color w:val="auto"/>
              </w:rPr>
            </w:pPr>
          </w:p>
        </w:tc>
      </w:tr>
      <w:tr>
        <w:trPr>
          <w:trHeight w:val="229"/>
        </w:trPr>
        <w:tc>
          <w:tcPr>
            <w:tcW w:w="6360" w:type="dxa"/>
            <w:vAlign w:val="bottom"/>
            <w:tcBorders>
              <w:top w:val="single" w:sz="8" w:color="auto"/>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10,580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10,744</w:t>
            </w:r>
          </w:p>
        </w:tc>
        <w:tc>
          <w:tcPr>
            <w:tcW w:w="0" w:type="dxa"/>
            <w:vAlign w:val="bottom"/>
          </w:tcPr>
          <w:p>
            <w:pPr>
              <w:spacing w:after="0"/>
              <w:rPr>
                <w:sz w:val="1"/>
                <w:szCs w:val="1"/>
                <w:color w:val="auto"/>
              </w:rPr>
            </w:pPr>
          </w:p>
        </w:tc>
      </w:tr>
      <w:tr>
        <w:trPr>
          <w:trHeight w:val="230"/>
        </w:trPr>
        <w:tc>
          <w:tcPr>
            <w:tcW w:w="63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Lease assets obtained in exchange for new operating lease liabilities</w:t>
            </w:r>
          </w:p>
        </w:tc>
        <w:tc>
          <w:tcPr>
            <w:tcW w:w="140" w:type="dxa"/>
            <w:vAlign w:val="bottom"/>
          </w:tcPr>
          <w:p>
            <w:pPr>
              <w:spacing w:after="0"/>
              <w:rPr>
                <w:sz w:val="19"/>
                <w:szCs w:val="19"/>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11,125</w:t>
            </w:r>
          </w:p>
        </w:tc>
        <w:tc>
          <w:tcPr>
            <w:tcW w:w="100" w:type="dxa"/>
            <w:vAlign w:val="bottom"/>
          </w:tcPr>
          <w:p>
            <w:pPr>
              <w:spacing w:after="0"/>
              <w:rPr>
                <w:sz w:val="19"/>
                <w:szCs w:val="19"/>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3,107</w:t>
            </w:r>
          </w:p>
        </w:tc>
        <w:tc>
          <w:tcPr>
            <w:tcW w:w="0" w:type="dxa"/>
            <w:vAlign w:val="bottom"/>
          </w:tcPr>
          <w:p>
            <w:pPr>
              <w:spacing w:after="0"/>
              <w:rPr>
                <w:sz w:val="1"/>
                <w:szCs w:val="1"/>
                <w:color w:val="auto"/>
              </w:rPr>
            </w:pPr>
          </w:p>
        </w:tc>
      </w:tr>
      <w:tr>
        <w:trPr>
          <w:trHeight w:val="230"/>
        </w:trPr>
        <w:tc>
          <w:tcPr>
            <w:tcW w:w="4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 years</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years</w:t>
            </w:r>
          </w:p>
        </w:tc>
        <w:tc>
          <w:tcPr>
            <w:tcW w:w="0" w:type="dxa"/>
            <w:vAlign w:val="bottom"/>
          </w:tcPr>
          <w:p>
            <w:pPr>
              <w:spacing w:after="0"/>
              <w:rPr>
                <w:sz w:val="1"/>
                <w:szCs w:val="1"/>
                <w:color w:val="auto"/>
              </w:rPr>
            </w:pPr>
          </w:p>
        </w:tc>
      </w:tr>
      <w:tr>
        <w:trPr>
          <w:trHeight w:val="234"/>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3.14 %</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maturities of lease liabilities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6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60" w:type="dxa"/>
            <w:vAlign w:val="bottom"/>
          </w:tcPr>
          <w:p>
            <w:pPr>
              <w:spacing w:after="0"/>
              <w:rPr>
                <w:sz w:val="18"/>
                <w:szCs w:val="18"/>
                <w:color w:val="auto"/>
              </w:rPr>
            </w:pPr>
          </w:p>
        </w:tc>
        <w:tc>
          <w:tcPr>
            <w:tcW w:w="14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November 26, 2022</w:t>
            </w:r>
          </w:p>
        </w:tc>
      </w:tr>
      <w:tr>
        <w:trPr>
          <w:trHeight w:val="229"/>
        </w:trPr>
        <w:tc>
          <w:tcPr>
            <w:tcW w:w="9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2023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w:t>
            </w:r>
          </w:p>
        </w:tc>
      </w:tr>
      <w:tr>
        <w:trPr>
          <w:trHeight w:val="230"/>
        </w:trPr>
        <w:tc>
          <w:tcPr>
            <w:tcW w:w="9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12,587</w:t>
            </w:r>
          </w:p>
        </w:tc>
      </w:tr>
      <w:tr>
        <w:trPr>
          <w:trHeight w:val="229"/>
        </w:trPr>
        <w:tc>
          <w:tcPr>
            <w:tcW w:w="9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11,326</w:t>
            </w:r>
          </w:p>
        </w:tc>
      </w:tr>
      <w:tr>
        <w:trPr>
          <w:trHeight w:val="230"/>
        </w:trPr>
        <w:tc>
          <w:tcPr>
            <w:tcW w:w="9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9,371</w:t>
            </w:r>
          </w:p>
        </w:tc>
      </w:tr>
      <w:tr>
        <w:trPr>
          <w:trHeight w:val="229"/>
        </w:trPr>
        <w:tc>
          <w:tcPr>
            <w:tcW w:w="9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7,960</w:t>
            </w:r>
          </w:p>
        </w:tc>
      </w:tr>
      <w:tr>
        <w:trPr>
          <w:trHeight w:val="229"/>
        </w:trPr>
        <w:tc>
          <w:tcPr>
            <w:tcW w:w="9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w:t>
            </w:r>
          </w:p>
        </w:tc>
      </w:tr>
      <w:tr>
        <w:trPr>
          <w:trHeight w:val="230"/>
        </w:trPr>
        <w:tc>
          <w:tcPr>
            <w:tcW w:w="9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w:t>
            </w:r>
          </w:p>
        </w:tc>
      </w:tr>
      <w:tr>
        <w:trPr>
          <w:trHeight w:val="223"/>
        </w:trPr>
        <w:tc>
          <w:tcPr>
            <w:tcW w:w="9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51,081</w:t>
            </w:r>
          </w:p>
        </w:tc>
      </w:tr>
      <w:tr>
        <w:trPr>
          <w:trHeight w:val="230"/>
        </w:trPr>
        <w:tc>
          <w:tcPr>
            <w:tcW w:w="9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w:t>
            </w:r>
          </w:p>
        </w:tc>
      </w:tr>
      <w:tr>
        <w:trPr>
          <w:trHeight w:val="223"/>
        </w:trPr>
        <w:tc>
          <w:tcPr>
            <w:tcW w:w="9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47,855</w:t>
            </w:r>
          </w:p>
        </w:tc>
      </w:tr>
      <w:tr>
        <w:trPr>
          <w:trHeight w:val="21"/>
        </w:trPr>
        <w:tc>
          <w:tcPr>
            <w:tcW w:w="9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Contingent Liabilities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Bond commitments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predominantly in our Architectural Services and Architectural Framing Systems segments, we are required to provide surety or performance bonds that commit payments to our customers for any non-performance. At November 26, 2022, $1.4 billion of these types of bonds were outstanding, of which $578.7 million is in our backlog. These bonds do not have stated expiration dates. We have never been required to make payments under surety or performance bonds with respect to our existing businesses.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Warranty and project-related contingencies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reserve estimated exposures on known claims, as well as on a portion of anticipated claims, for product warranty and rework cost, based on historical product liability claims as a ratio of sales. Claim costs are deducted from the accrual when paid. Factors that could have an impact on these accruals in any given period include the following: changes in manufacturing quality, changes in product mix and any significant changes in sales volume.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80" w:type="dxa"/>
            <w:vAlign w:val="bottom"/>
            <w:gridSpan w:val="4"/>
          </w:tcPr>
          <w:p>
            <w:pPr>
              <w:ind w:left="8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800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0"/>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6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26, 2022</w:t>
            </w:r>
          </w:p>
        </w:tc>
        <w:tc>
          <w:tcPr>
            <w:tcW w:w="140" w:type="dxa"/>
            <w:vAlign w:val="bottom"/>
          </w:tcPr>
          <w:p>
            <w:pPr>
              <w:spacing w:after="0"/>
              <w:rPr>
                <w:sz w:val="16"/>
                <w:szCs w:val="16"/>
                <w:color w:val="auto"/>
              </w:rPr>
            </w:pPr>
          </w:p>
        </w:tc>
        <w:tc>
          <w:tcPr>
            <w:tcW w:w="142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November 27, 2021</w:t>
            </w:r>
          </w:p>
        </w:tc>
      </w:tr>
      <w:tr>
        <w:trPr>
          <w:trHeight w:val="229"/>
        </w:trPr>
        <w:tc>
          <w:tcPr>
            <w:tcW w:w="7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13,923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14,999</w:t>
            </w:r>
          </w:p>
        </w:tc>
      </w:tr>
      <w:tr>
        <w:trPr>
          <w:trHeight w:val="229"/>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Additional accruals</w:t>
            </w:r>
          </w:p>
        </w:tc>
        <w:tc>
          <w:tcPr>
            <w:tcW w:w="160" w:type="dxa"/>
            <w:vAlign w:val="bottom"/>
          </w:tcPr>
          <w:p>
            <w:pPr>
              <w:spacing w:after="0"/>
              <w:rPr>
                <w:sz w:val="19"/>
                <w:szCs w:val="19"/>
                <w:color w:val="auto"/>
              </w:rPr>
            </w:pPr>
          </w:p>
        </w:tc>
        <w:tc>
          <w:tcPr>
            <w:tcW w:w="14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11,201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4,175</w:t>
            </w:r>
          </w:p>
        </w:tc>
      </w:tr>
      <w:tr>
        <w:trPr>
          <w:trHeight w:val="230"/>
        </w:trPr>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Claims paid</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8"/>
              </w:rPr>
              <w:t>(7,755)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w:t>
            </w:r>
          </w:p>
        </w:tc>
      </w:tr>
      <w:tr>
        <w:trPr>
          <w:trHeight w:val="223"/>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17,369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15,103</w:t>
            </w:r>
          </w:p>
        </w:tc>
      </w:tr>
      <w:tr>
        <w:trPr>
          <w:trHeight w:val="20"/>
        </w:trPr>
        <w:tc>
          <w:tcPr>
            <w:tcW w:w="7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we are subject to project management and installation-related contingencies as a result of our fixed-price material supply and installation service contracts, primarily in our Architectural Services segment and certain of our Architectural Framing Systems businesses. We manage the risk of these exposures through contract negotiations, proactive project management and insurance coverages.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Letters of credit</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November 26, 2022, we had $12.3 million of ongoing letters of credit, all of which have been issued under our committed revolving credit facility, as discussed in Note 6. We also have a $3.4 million letter of credit which has been issued outside our committed revolving credit facility, with no impact on our borrowing capacity and debt covenants.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obligations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obligations for raw material commitments and capital expenditures totaled $222.2 million as of November 26, 2022.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Markets Tax Credit (NMTC) transactions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three outstanding NMTC arrangements which help to support operational expansion. Proceeds received from investors on these transactions are included within other current and other non-current liabilities in our consolidated balance sheets. The NMTC arrangements are subject to 100 percent tax credit recapture for a period of seven years from the date of each respective transaction. Upon the termination of each arrangement, these proceeds will be recognized in earnings in exchange for the transfer of tax credits. The direct and incremental costs incurred in structuring these arrangements have been deferred and are included in other non-current assets in our consolidated balance sheets. These costs will be recognized in conjunction with the recognition of the related proceeds on each arrangement. During the construction phase or for working capital purposes for each</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project, we are required to hold cash dedicated to fund each project which is classified as restricted cash in our consolidated balance sheets. Variable-interest entities, which have been included within our consolidated financial statements, have been created as a result of the structure of these transactions, as investors in the programs do not have a material interest in their underlying economics.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quarter of fiscal 2023, one NMTC transaction was terminated, and a new NMTC transaction was established as a replacement. As a result of these transactions, $19.5 million in previous proceeds received were repaid and $19.5 million was contributed back to the Company as part of the newly established NMTC transaction. This NMTC transaction will be held for the remainder of the original seven-year term.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a summary of our outstanding NMTC transactions (in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Inception date</w:t>
            </w: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Termination date</w:t>
            </w:r>
          </w:p>
        </w:tc>
        <w:tc>
          <w:tcPr>
            <w:tcW w:w="200" w:type="dxa"/>
            <w:vAlign w:val="bottom"/>
          </w:tcPr>
          <w:p>
            <w:pPr>
              <w:spacing w:after="0"/>
              <w:rPr>
                <w:sz w:val="18"/>
                <w:szCs w:val="18"/>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Deferred Benefit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Deferred costs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Net benefit</w:t>
            </w:r>
          </w:p>
        </w:tc>
      </w:tr>
      <w:tr>
        <w:trPr>
          <w:trHeight w:val="226"/>
        </w:trPr>
        <w:tc>
          <w:tcPr>
            <w:tcW w:w="2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2016</w:t>
            </w:r>
          </w:p>
        </w:tc>
        <w:tc>
          <w:tcPr>
            <w:tcW w:w="100" w:type="dxa"/>
            <w:vAlign w:val="bottom"/>
            <w:tcBorders>
              <w:top w:val="single" w:sz="8" w:color="CCEEFF"/>
            </w:tcBorders>
            <w:shd w:val="clear" w:color="auto" w:fill="CCEEFF"/>
          </w:tcPr>
          <w:p>
            <w:pPr>
              <w:spacing w:after="0"/>
              <w:rPr>
                <w:sz w:val="19"/>
                <w:szCs w:val="19"/>
                <w:color w:val="auto"/>
              </w:rPr>
            </w:pPr>
          </w:p>
        </w:tc>
        <w:tc>
          <w:tcPr>
            <w:tcW w:w="2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2023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ind w:right="119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2018</w:t>
            </w: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2025</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28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May 2022</w:t>
            </w:r>
            <w:r>
              <w:rPr>
                <w:rFonts w:ascii="Times New Roman" w:cs="Times New Roman" w:eastAsia="Times New Roman" w:hAnsi="Times New Roman"/>
                <w:sz w:val="23"/>
                <w:szCs w:val="23"/>
                <w:color w:val="auto"/>
                <w:vertAlign w:val="superscript"/>
              </w:rPr>
              <w:t>(1)</w:t>
            </w:r>
          </w:p>
        </w:tc>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2025</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ind w:right="119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
        </w:trPr>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(1) Continuation of the August 2018 NMTC financing transaction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We have in the past and are currently subject to product liability and warranty claims, including certain legal claims related to a commercial sealant product formerly incorporated into our products. In December 2022, the claimant in an arbitration of one such claim was awarded $20 million. The Company intends to appeal the award and believes, after taking into account all currently available information, including the advice of counsel and the likelihood of available insurance coverage, that this award will not have a material adverse effect on the Company's business, financial condition, results of operations or cash flows. 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spacing w:after="0" w:line="216"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share-based compensation expense included in the results of operations was $6.0 million for the nine-month period ended November 26, 2022 and $4.8 million for the nine-month period ended November 27,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for the current nine-month period is summarized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3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5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Stock Options</w:t>
            </w:r>
          </w:p>
        </w:tc>
        <w:tc>
          <w:tcPr>
            <w:tcW w:w="154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5060" w:type="dxa"/>
            <w:vAlign w:val="bottom"/>
            <w:gridSpan w:val="2"/>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320" w:type="dxa"/>
            <w:vAlign w:val="bottom"/>
          </w:tcPr>
          <w:p>
            <w:pPr>
              <w:spacing w:after="0"/>
              <w:rPr>
                <w:sz w:val="17"/>
                <w:szCs w:val="17"/>
                <w:color w:val="auto"/>
              </w:rPr>
            </w:pPr>
          </w:p>
        </w:tc>
        <w:tc>
          <w:tcPr>
            <w:tcW w:w="1060" w:type="dxa"/>
            <w:vAlign w:val="bottom"/>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6"/>
        </w:trPr>
        <w:tc>
          <w:tcPr>
            <w:tcW w:w="4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370,800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Awards exercised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canceled/expired</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and expected to vest at November 26, 2022</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20" w:type="dxa"/>
            <w:vAlign w:val="bottom"/>
          </w:tcPr>
          <w:p>
            <w:pPr>
              <w:spacing w:after="0"/>
              <w:rPr>
                <w:sz w:val="19"/>
                <w:szCs w:val="19"/>
                <w:color w:val="auto"/>
              </w:rPr>
            </w:pPr>
          </w:p>
        </w:tc>
        <w:tc>
          <w:tcPr>
            <w:tcW w:w="14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0.7 years</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2,000,280</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nine-months ended November 26, 2022, there were no cash proceeds from the exercise of stock options as all stock options were exercised on a stock-for-stock basis. The aggregate intrinsic value of securities exercised (the amount by which the stock price on the date of exercise exceeded the stock price of the award on the date of grant) was $2.7 million. For the nine-months ended November 27, 2021, cash proceeds from the exercise of stock options was $4.1 million and the aggregate intrinsic value of securities exercised (the amount by which the stock price on the date of exercise exceeded the stock price of the award on the date of grant) was $2.3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program</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fiscal 2022, the Compensation Committee of the Board of Directors implemented an executive compensation program for certain key employees. In each of the first quarters of fiscal 2023 and fiscal 2022, we issued performance shares in the form of nonvested share unit awards, which give the recipient the right to receive shares earned at the end of the respective performance periods. The number of share units issued at grant is equal to the target number of performance shares and allows for the right to receive a variable number of shares dependent on achieving a defined performance goal of return on invested capital and being employed at the end of the performance period.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Nonvested share awards and units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Nonvested share activity, including restricted stock awards and performance share units, for the current nine-month period is summarized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Nonvested shares and units</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 and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200"/>
        </w:trPr>
        <w:tc>
          <w:tcPr>
            <w:tcW w:w="8080" w:type="dxa"/>
            <w:vAlign w:val="bottom"/>
            <w:gridSpan w:val="2"/>
            <w:vMerge w:val="continue"/>
          </w:tcPr>
          <w:p>
            <w:pPr>
              <w:spacing w:after="0"/>
              <w:rPr>
                <w:sz w:val="17"/>
                <w:szCs w:val="17"/>
                <w:color w:val="auto"/>
              </w:rPr>
            </w:pPr>
          </w:p>
        </w:tc>
        <w:tc>
          <w:tcPr>
            <w:tcW w:w="15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Pr>
          <w:p>
            <w:pPr>
              <w:spacing w:after="0"/>
              <w:rPr>
                <w:sz w:val="17"/>
                <w:szCs w:val="17"/>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26"/>
        </w:trPr>
        <w:tc>
          <w:tcPr>
            <w:tcW w:w="7980" w:type="dxa"/>
            <w:vAlign w:val="bottom"/>
            <w:tcBorders>
              <w:top w:val="single" w:sz="8" w:color="auto"/>
            </w:tcBorders>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Nonvested at February 26, 2022 </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488,944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23"/>
                <w:szCs w:val="23"/>
                <w:color w:val="auto"/>
                <w:vertAlign w:val="superscript"/>
              </w:rPr>
              <w:t>(2)</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46.10</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0" w:type="dxa"/>
            <w:vAlign w:val="bottom"/>
          </w:tcPr>
          <w:p>
            <w:pPr>
              <w:spacing w:after="0"/>
              <w:rPr>
                <w:sz w:val="1"/>
                <w:szCs w:val="1"/>
                <w:color w:val="auto"/>
              </w:rPr>
            </w:pPr>
          </w:p>
        </w:tc>
      </w:tr>
      <w:tr>
        <w:trPr>
          <w:trHeight w:val="229"/>
        </w:trPr>
        <w:tc>
          <w:tcPr>
            <w:tcW w:w="808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Canceled </w:t>
            </w:r>
            <w:r>
              <w:rPr>
                <w:rFonts w:ascii="Times New Roman" w:cs="Times New Roman" w:eastAsia="Times New Roman" w:hAnsi="Times New Roman"/>
                <w:sz w:val="23"/>
                <w:szCs w:val="23"/>
                <w:color w:val="auto"/>
                <w:vertAlign w:val="superscript"/>
              </w:rPr>
              <w:t>(3)</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(44,932)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Nonvested at November 26, 2022</w:t>
            </w:r>
            <w:r>
              <w:rPr>
                <w:rFonts w:ascii="Times New Roman" w:cs="Times New Roman" w:eastAsia="Times New Roman" w:hAnsi="Times New Roman"/>
                <w:sz w:val="23"/>
                <w:szCs w:val="23"/>
                <w:color w:val="auto"/>
                <w:vertAlign w:val="superscript"/>
              </w:rPr>
              <w:t>(4)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478,173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860" w:hanging="204"/>
        <w:spacing w:after="0"/>
        <w:tabs>
          <w:tab w:leader="none" w:pos="8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total of 50,825 nonvested share units granted and outstanding at target level for the fiscal 2022-2024 performance period.</w:t>
      </w:r>
    </w:p>
    <w:p>
      <w:pPr>
        <w:spacing w:after="0" w:line="27" w:lineRule="exact"/>
        <w:rPr>
          <w:rFonts w:ascii="Times New Roman" w:cs="Times New Roman" w:eastAsia="Times New Roman" w:hAnsi="Times New Roman"/>
          <w:sz w:val="14"/>
          <w:szCs w:val="14"/>
          <w:color w:val="auto"/>
        </w:rPr>
      </w:pPr>
    </w:p>
    <w:p>
      <w:pPr>
        <w:ind w:left="6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(2)Includes a total of 38,654 nonvested share units granted and outstanding at target level for the 2023-2025 performance period.</w:t>
      </w:r>
    </w:p>
    <w:p>
      <w:pPr>
        <w:spacing w:after="0" w:line="14" w:lineRule="exact"/>
        <w:rPr>
          <w:rFonts w:ascii="Times New Roman" w:cs="Times New Roman" w:eastAsia="Times New Roman" w:hAnsi="Times New Roman"/>
          <w:sz w:val="14"/>
          <w:szCs w:val="14"/>
          <w:color w:val="auto"/>
        </w:rPr>
      </w:pPr>
    </w:p>
    <w:p>
      <w:pPr>
        <w:ind w:left="860" w:hanging="204"/>
        <w:spacing w:after="0"/>
        <w:tabs>
          <w:tab w:leader="none" w:pos="8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total of 9,690 nonvested share units cancelled for the fiscal 2022-2024 and fiscal 2023-2025 performance periods.</w:t>
      </w:r>
    </w:p>
    <w:p>
      <w:pPr>
        <w:spacing w:after="0" w:line="14" w:lineRule="exact"/>
        <w:rPr>
          <w:rFonts w:ascii="Times New Roman" w:cs="Times New Roman" w:eastAsia="Times New Roman" w:hAnsi="Times New Roman"/>
          <w:sz w:val="14"/>
          <w:szCs w:val="14"/>
          <w:color w:val="auto"/>
        </w:rPr>
      </w:pPr>
    </w:p>
    <w:p>
      <w:pPr>
        <w:ind w:left="6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(4)Includes a total of 45,207 and 34,492 nonvested share units granted and outstanding at target level for the 2022-2024 and 2023-2025 performance periods, respectively.</w:t>
      </w:r>
    </w:p>
    <w:p>
      <w:pPr>
        <w:spacing w:after="0" w:line="2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November 26, 2022, there was $11.4 million of total unrecognized compensation cost related to nonvested share and nonvested share unit awards, which is expected to be recognized over a weighted average period of approximately 25 months. The total fair value of shares vested during the nine months ended November 26, 2022 was $6.2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Company files income tax returns in the U.S. federal jurisdiction, various U.S. state and local jurisdictions, Canada, Brazil and other international jurisdictions. The Company is no longer subject to U.S. federal tax examinations for years prior to fiscal 2019, or state and local income tax examinations for years prior to fiscal 2013. The Company is not currently under U.S. federal examination for years subsequent to fiscal year 2018, and there is very limited audit activity of the Company’s income tax returns in U.S. state jurisdictions or international jurisdictions.</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second quarter of fiscal 2023, the Company claimed certain tax deductions, including a worthless stock loss deduction, related to its investment in Sotawall Limited, a Canadian subsidiary. These deductions generated a net tax benefit of $13.7 million.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liability for unrecognized tax benefits was $5.5 million at November 26, 2022, compared to $3.3 million at February 26, 2022. The increase was primarily related to the tax deductions claimed during the second quarter of fiscal 2023 associated with the Company's investment in Sotawall Limited, a Canadian subsidiary. Penalties and interest related to unrecognized tax benefits are recorded in income tax expense.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Earnings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the share amounts used in the computation of basic and diluted earnings per share: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20" w:type="dxa"/>
            <w:vAlign w:val="bottom"/>
            <w:gridSpan w:val="4"/>
          </w:tcPr>
          <w:p>
            <w:pPr>
              <w:ind w:left="9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20" w:type="dxa"/>
            <w:vAlign w:val="bottom"/>
            <w:gridSpan w:val="3"/>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700" w:type="dxa"/>
            <w:vAlign w:val="bottom"/>
            <w:gridSpan w:val="2"/>
          </w:tcPr>
          <w:p>
            <w:pPr>
              <w:spacing w:after="0"/>
              <w:rPr>
                <w:sz w:val="2"/>
                <w:szCs w:val="2"/>
                <w:color w:val="auto"/>
              </w:rPr>
            </w:pPr>
          </w:p>
        </w:tc>
        <w:tc>
          <w:tcPr>
            <w:tcW w:w="1660" w:type="dxa"/>
            <w:vAlign w:val="bottom"/>
            <w:gridSpan w:val="2"/>
          </w:tcPr>
          <w:p>
            <w:pPr>
              <w:spacing w:after="0"/>
              <w:rPr>
                <w:sz w:val="2"/>
                <w:szCs w:val="2"/>
                <w:color w:val="auto"/>
              </w:rPr>
            </w:pPr>
          </w:p>
        </w:tc>
        <w:tc>
          <w:tcPr>
            <w:tcW w:w="1660" w:type="dxa"/>
            <w:vAlign w:val="bottom"/>
            <w:gridSpan w:val="2"/>
          </w:tcPr>
          <w:p>
            <w:pPr>
              <w:spacing w:after="0"/>
              <w:rPr>
                <w:sz w:val="2"/>
                <w:szCs w:val="2"/>
                <w:color w:val="auto"/>
              </w:rPr>
            </w:pPr>
          </w:p>
        </w:tc>
        <w:tc>
          <w:tcPr>
            <w:tcW w:w="166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66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November 26, 2022</w:t>
            </w:r>
          </w:p>
        </w:tc>
        <w:tc>
          <w:tcPr>
            <w:tcW w:w="156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November 27, 2021</w:t>
            </w:r>
          </w:p>
        </w:tc>
        <w:tc>
          <w:tcPr>
            <w:tcW w:w="100" w:type="dxa"/>
            <w:vAlign w:val="bottom"/>
          </w:tcPr>
          <w:p>
            <w:pPr>
              <w:spacing w:after="0"/>
              <w:rPr>
                <w:sz w:val="16"/>
                <w:szCs w:val="16"/>
                <w:color w:val="auto"/>
              </w:rPr>
            </w:pPr>
          </w:p>
        </w:tc>
        <w:tc>
          <w:tcPr>
            <w:tcW w:w="166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November 26, 2022</w:t>
            </w:r>
          </w:p>
        </w:tc>
        <w:tc>
          <w:tcPr>
            <w:tcW w:w="156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November 27, 2021</w:t>
            </w:r>
          </w:p>
        </w:tc>
        <w:tc>
          <w:tcPr>
            <w:tcW w:w="0" w:type="dxa"/>
            <w:vAlign w:val="bottom"/>
          </w:tcPr>
          <w:p>
            <w:pPr>
              <w:spacing w:after="0"/>
              <w:rPr>
                <w:sz w:val="1"/>
                <w:szCs w:val="1"/>
                <w:color w:val="auto"/>
              </w:rPr>
            </w:pPr>
          </w:p>
        </w:tc>
      </w:tr>
      <w:tr>
        <w:trPr>
          <w:trHeight w:val="175"/>
        </w:trPr>
        <w:tc>
          <w:tcPr>
            <w:tcW w:w="460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Basic earnings per share – weighted average common shares</w:t>
            </w:r>
          </w:p>
        </w:tc>
        <w:tc>
          <w:tcPr>
            <w:tcW w:w="10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21,870</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24,957</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22,043</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25,166</w:t>
            </w:r>
          </w:p>
        </w:tc>
        <w:tc>
          <w:tcPr>
            <w:tcW w:w="0" w:type="dxa"/>
            <w:vAlign w:val="bottom"/>
          </w:tcPr>
          <w:p>
            <w:pPr>
              <w:spacing w:after="0"/>
              <w:rPr>
                <w:sz w:val="1"/>
                <w:szCs w:val="1"/>
                <w:color w:val="auto"/>
              </w:rPr>
            </w:pPr>
          </w:p>
        </w:tc>
      </w:tr>
      <w:tr>
        <w:trPr>
          <w:trHeight w:val="176"/>
        </w:trPr>
        <w:tc>
          <w:tcPr>
            <w:tcW w:w="470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Weighted  average  effect  of  nonvested  share  grants  and</w:t>
            </w: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assumed exercise of stock options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156"/>
        </w:trPr>
        <w:tc>
          <w:tcPr>
            <w:tcW w:w="4700" w:type="dxa"/>
            <w:vAlign w:val="bottom"/>
            <w:gridSpan w:val="2"/>
            <w:shd w:val="clear" w:color="auto" w:fill="CCEEFF"/>
          </w:tcPr>
          <w:p>
            <w:pPr>
              <w:jc w:val="right"/>
              <w:ind w:right="120"/>
              <w:spacing w:after="0" w:line="156" w:lineRule="exact"/>
              <w:rPr>
                <w:sz w:val="20"/>
                <w:szCs w:val="20"/>
                <w:color w:val="auto"/>
              </w:rPr>
            </w:pPr>
            <w:r>
              <w:rPr>
                <w:rFonts w:ascii="Times New Roman" w:cs="Times New Roman" w:eastAsia="Times New Roman" w:hAnsi="Times New Roman"/>
                <w:sz w:val="18"/>
                <w:szCs w:val="18"/>
                <w:color w:val="auto"/>
              </w:rPr>
              <w:t>Diluted earnings per share – weighted average common shares</w:t>
            </w: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22,278</w:t>
            </w:r>
          </w:p>
        </w:tc>
        <w:tc>
          <w:tcPr>
            <w:tcW w:w="100" w:type="dxa"/>
            <w:vAlign w:val="bottom"/>
            <w:shd w:val="clear" w:color="auto" w:fill="CCEEFF"/>
          </w:tcPr>
          <w:p>
            <w:pPr>
              <w:spacing w:after="0"/>
              <w:rPr>
                <w:sz w:val="13"/>
                <w:szCs w:val="13"/>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25,309</w:t>
            </w:r>
          </w:p>
        </w:tc>
        <w:tc>
          <w:tcPr>
            <w:tcW w:w="100" w:type="dxa"/>
            <w:vAlign w:val="bottom"/>
            <w:shd w:val="clear" w:color="auto" w:fill="CCEEFF"/>
          </w:tcPr>
          <w:p>
            <w:pPr>
              <w:spacing w:after="0"/>
              <w:rPr>
                <w:sz w:val="13"/>
                <w:szCs w:val="13"/>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22,456</w:t>
            </w:r>
          </w:p>
        </w:tc>
        <w:tc>
          <w:tcPr>
            <w:tcW w:w="100" w:type="dxa"/>
            <w:vAlign w:val="bottom"/>
            <w:shd w:val="clear" w:color="auto" w:fill="CCEEFF"/>
          </w:tcPr>
          <w:p>
            <w:pPr>
              <w:spacing w:after="0"/>
              <w:rPr>
                <w:sz w:val="13"/>
                <w:szCs w:val="13"/>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25,459</w:t>
            </w:r>
          </w:p>
        </w:tc>
        <w:tc>
          <w:tcPr>
            <w:tcW w:w="0" w:type="dxa"/>
            <w:vAlign w:val="bottom"/>
          </w:tcPr>
          <w:p>
            <w:pPr>
              <w:spacing w:after="0"/>
              <w:rPr>
                <w:sz w:val="1"/>
                <w:szCs w:val="1"/>
                <w:color w:val="auto"/>
              </w:rPr>
            </w:pPr>
          </w:p>
        </w:tc>
      </w:tr>
      <w:tr>
        <w:trPr>
          <w:trHeight w:val="236"/>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potential common shares outstanding</w:t>
            </w:r>
          </w:p>
        </w:tc>
        <w:tc>
          <w:tcPr>
            <w:tcW w:w="15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2"/>
            <w:vMerge w:val="restart"/>
          </w:tcPr>
          <w:p>
            <w:pPr>
              <w:jc w:val="right"/>
              <w:ind w:right="120"/>
              <w:spacing w:after="0" w:line="163" w:lineRule="exact"/>
              <w:rPr>
                <w:sz w:val="20"/>
                <w:szCs w:val="20"/>
                <w:color w:val="auto"/>
              </w:rPr>
            </w:pPr>
            <w:r>
              <w:rPr>
                <w:rFonts w:ascii="Times New Roman" w:cs="Times New Roman" w:eastAsia="Times New Roman" w:hAnsi="Times New Roman"/>
                <w:sz w:val="18"/>
                <w:szCs w:val="18"/>
                <w:color w:val="auto"/>
              </w:rPr>
              <w:t>Stock awards excluded from the calculation of earnings per</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700" w:type="dxa"/>
            <w:vAlign w:val="bottom"/>
            <w:gridSpan w:val="2"/>
            <w:vMerge w:val="continue"/>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700" w:type="dxa"/>
            <w:vAlign w:val="bottom"/>
            <w:gridSpan w:val="2"/>
          </w:tcPr>
          <w:p>
            <w:pPr>
              <w:jc w:val="right"/>
              <w:ind w:right="140"/>
              <w:spacing w:after="0" w:line="176" w:lineRule="exact"/>
              <w:rPr>
                <w:sz w:val="20"/>
                <w:szCs w:val="20"/>
                <w:color w:val="auto"/>
              </w:rPr>
            </w:pPr>
            <w:r>
              <w:rPr>
                <w:rFonts w:ascii="Times New Roman" w:cs="Times New Roman" w:eastAsia="Times New Roman" w:hAnsi="Times New Roman"/>
                <w:sz w:val="18"/>
                <w:szCs w:val="18"/>
                <w:color w:val="auto"/>
              </w:rPr>
              <w:t>share because the effect was anti-dilutive (award price</w:t>
            </w: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greater than average market price of the shares)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Business Segment Data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four reporting segments:</w:t>
      </w:r>
    </w:p>
    <w:p>
      <w:pPr>
        <w:spacing w:after="0" w:line="27" w:lineRule="exact"/>
        <w:rPr>
          <w:sz w:val="20"/>
          <w:szCs w:val="20"/>
          <w:color w:val="auto"/>
        </w:rPr>
      </w:pPr>
    </w:p>
    <w:p>
      <w:pPr>
        <w:ind w:left="660" w:right="20" w:hanging="328"/>
        <w:spacing w:after="0" w:line="243"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Architectural Framing Systems</w:t>
      </w:r>
      <w:r>
        <w:rPr>
          <w:rFonts w:ascii="Times New Roman" w:cs="Times New Roman" w:eastAsia="Times New Roman" w:hAnsi="Times New Roman"/>
          <w:sz w:val="18"/>
          <w:szCs w:val="18"/>
          <w:color w:val="auto"/>
        </w:rPr>
        <w:t xml:space="preserve"> segment designs, engineers, fabricates and finishes aluminum window, curtainwall, storefront and entrance systems for the exterior of buildings.</w:t>
      </w:r>
    </w:p>
    <w:p>
      <w:pPr>
        <w:spacing w:after="0" w:line="1" w:lineRule="exact"/>
        <w:rPr>
          <w:rFonts w:ascii="Times New Roman" w:cs="Times New Roman" w:eastAsia="Times New Roman" w:hAnsi="Times New Roman"/>
          <w:sz w:val="18"/>
          <w:szCs w:val="18"/>
          <w:color w:val="auto"/>
        </w:rPr>
      </w:pPr>
    </w:p>
    <w:p>
      <w:pPr>
        <w:ind w:left="660" w:hanging="328"/>
        <w:spacing w:after="0" w:line="249"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Architectural Services</w:t>
      </w:r>
      <w:r>
        <w:rPr>
          <w:rFonts w:ascii="Times New Roman" w:cs="Times New Roman" w:eastAsia="Times New Roman" w:hAnsi="Times New Roman"/>
          <w:sz w:val="18"/>
          <w:szCs w:val="18"/>
          <w:color w:val="auto"/>
        </w:rPr>
        <w:t xml:space="preserve"> segment integrates technical services, project management, and field installation services to design, engineer, fabricate, and install building glass and curtainwall systems.</w:t>
      </w:r>
    </w:p>
    <w:p>
      <w:pPr>
        <w:ind w:left="660" w:right="2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Architectural Glass</w:t>
      </w:r>
      <w:r>
        <w:rPr>
          <w:rFonts w:ascii="Times New Roman" w:cs="Times New Roman" w:eastAsia="Times New Roman" w:hAnsi="Times New Roman"/>
          <w:sz w:val="18"/>
          <w:szCs w:val="18"/>
          <w:color w:val="auto"/>
        </w:rPr>
        <w:t xml:space="preserve"> segment coats and fabricates, high-performance glass used in custom window and wall systems on commercial buildings.</w:t>
      </w:r>
    </w:p>
    <w:p>
      <w:pPr>
        <w:ind w:left="660" w:hanging="328"/>
        <w:spacing w:after="0" w:line="26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Large-Scale Optical (LSO)</w:t>
      </w:r>
      <w:r>
        <w:rPr>
          <w:rFonts w:ascii="Times New Roman" w:cs="Times New Roman" w:eastAsia="Times New Roman" w:hAnsi="Times New Roman"/>
          <w:sz w:val="18"/>
          <w:szCs w:val="18"/>
          <w:color w:val="auto"/>
        </w:rPr>
        <w:t xml:space="preserve"> segment manufactures high-performance glass and acrylic products for custom framing, museum, and technical glass markets.</w:t>
      </w:r>
    </w:p>
    <w:p>
      <w:pPr>
        <w:spacing w:after="0" w:line="2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beginning of the first quarter of fiscal 2023, we began management of the Sotawall and Harmon businesses under the Architectural Services segment in order to create a single, unified offering for larger custom curtainwall projects. The fiscal 2022 segment results were recast for comparability.</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2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120" w:type="dxa"/>
            <w:vAlign w:val="bottom"/>
            <w:gridSpan w:val="4"/>
          </w:tcPr>
          <w:p>
            <w:pPr>
              <w:jc w:val="right"/>
              <w:ind w:right="93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26, 2022</w:t>
            </w:r>
          </w:p>
        </w:tc>
        <w:tc>
          <w:tcPr>
            <w:tcW w:w="1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November 27, 2021</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26, 2022</w:t>
            </w: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November 27, 2021</w:t>
            </w:r>
          </w:p>
        </w:tc>
        <w:tc>
          <w:tcPr>
            <w:tcW w:w="0" w:type="dxa"/>
            <w:vAlign w:val="bottom"/>
          </w:tcPr>
          <w:p>
            <w:pPr>
              <w:spacing w:after="0"/>
              <w:rPr>
                <w:sz w:val="1"/>
                <w:szCs w:val="1"/>
                <w:color w:val="auto"/>
              </w:rPr>
            </w:pPr>
          </w:p>
        </w:tc>
      </w:tr>
      <w:tr>
        <w:trPr>
          <w:trHeight w:val="229"/>
        </w:trPr>
        <w:tc>
          <w:tcPr>
            <w:tcW w:w="4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Architectural Framing Systems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165,013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141,462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501,172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415,203</w:t>
            </w:r>
          </w:p>
        </w:tc>
        <w:tc>
          <w:tcPr>
            <w:tcW w:w="0" w:type="dxa"/>
            <w:vAlign w:val="bottom"/>
          </w:tcPr>
          <w:p>
            <w:pPr>
              <w:spacing w:after="0"/>
              <w:rPr>
                <w:sz w:val="1"/>
                <w:szCs w:val="1"/>
                <w:color w:val="auto"/>
              </w:rPr>
            </w:pPr>
          </w:p>
        </w:tc>
      </w:tr>
      <w:tr>
        <w:trPr>
          <w:trHeight w:val="230"/>
        </w:trPr>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Architectural Services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292,506</w:t>
            </w:r>
          </w:p>
        </w:tc>
        <w:tc>
          <w:tcPr>
            <w:tcW w:w="0" w:type="dxa"/>
            <w:vAlign w:val="bottom"/>
          </w:tcPr>
          <w:p>
            <w:pPr>
              <w:spacing w:after="0"/>
              <w:rPr>
                <w:sz w:val="1"/>
                <w:szCs w:val="1"/>
                <w:color w:val="auto"/>
              </w:rPr>
            </w:pPr>
          </w:p>
        </w:tc>
      </w:tr>
      <w:tr>
        <w:trPr>
          <w:trHeight w:val="230"/>
        </w:trPr>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Architectural Glass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236,693</w:t>
            </w:r>
          </w:p>
        </w:tc>
        <w:tc>
          <w:tcPr>
            <w:tcW w:w="0" w:type="dxa"/>
            <w:vAlign w:val="bottom"/>
          </w:tcPr>
          <w:p>
            <w:pPr>
              <w:spacing w:after="0"/>
              <w:rPr>
                <w:sz w:val="1"/>
                <w:szCs w:val="1"/>
                <w:color w:val="auto"/>
              </w:rPr>
            </w:pPr>
          </w:p>
        </w:tc>
      </w:tr>
      <w:tr>
        <w:trPr>
          <w:trHeight w:val="230"/>
        </w:trPr>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Large-Scale Optical</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75,122</w:t>
            </w:r>
          </w:p>
        </w:tc>
        <w:tc>
          <w:tcPr>
            <w:tcW w:w="0" w:type="dxa"/>
            <w:vAlign w:val="bottom"/>
          </w:tcPr>
          <w:p>
            <w:pPr>
              <w:spacing w:after="0"/>
              <w:rPr>
                <w:sz w:val="1"/>
                <w:szCs w:val="1"/>
                <w:color w:val="auto"/>
              </w:rPr>
            </w:pPr>
          </w:p>
        </w:tc>
      </w:tr>
      <w:tr>
        <w:trPr>
          <w:trHeight w:val="229"/>
        </w:trPr>
        <w:tc>
          <w:tcPr>
            <w:tcW w:w="45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(28,878)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(33,504)</w:t>
            </w:r>
          </w:p>
        </w:tc>
        <w:tc>
          <w:tcPr>
            <w:tcW w:w="0" w:type="dxa"/>
            <w:vAlign w:val="bottom"/>
          </w:tcPr>
          <w:p>
            <w:pPr>
              <w:spacing w:after="0"/>
              <w:rPr>
                <w:sz w:val="1"/>
                <w:szCs w:val="1"/>
                <w:color w:val="auto"/>
              </w:rPr>
            </w:pPr>
          </w:p>
        </w:tc>
      </w:tr>
      <w:tr>
        <w:trPr>
          <w:trHeight w:val="248"/>
        </w:trPr>
        <w:tc>
          <w:tcPr>
            <w:tcW w:w="45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1,096,591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986,020</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5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Architectural Framing Systems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28,837</w:t>
            </w:r>
          </w:p>
        </w:tc>
        <w:tc>
          <w:tcPr>
            <w:tcW w:w="0" w:type="dxa"/>
            <w:vAlign w:val="bottom"/>
          </w:tcPr>
          <w:p>
            <w:pPr>
              <w:spacing w:after="0"/>
              <w:rPr>
                <w:sz w:val="1"/>
                <w:szCs w:val="1"/>
                <w:color w:val="auto"/>
              </w:rPr>
            </w:pPr>
          </w:p>
        </w:tc>
      </w:tr>
      <w:tr>
        <w:trPr>
          <w:trHeight w:val="230"/>
        </w:trPr>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Architectural Services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19,172</w:t>
            </w:r>
          </w:p>
        </w:tc>
        <w:tc>
          <w:tcPr>
            <w:tcW w:w="0" w:type="dxa"/>
            <w:vAlign w:val="bottom"/>
          </w:tcPr>
          <w:p>
            <w:pPr>
              <w:spacing w:after="0"/>
              <w:rPr>
                <w:sz w:val="1"/>
                <w:szCs w:val="1"/>
                <w:color w:val="auto"/>
              </w:rPr>
            </w:pPr>
          </w:p>
        </w:tc>
      </w:tr>
      <w:tr>
        <w:trPr>
          <w:trHeight w:val="229"/>
        </w:trPr>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Architectural Glass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(16,143)</w:t>
            </w:r>
          </w:p>
        </w:tc>
        <w:tc>
          <w:tcPr>
            <w:tcW w:w="0" w:type="dxa"/>
            <w:vAlign w:val="bottom"/>
          </w:tcPr>
          <w:p>
            <w:pPr>
              <w:spacing w:after="0"/>
              <w:rPr>
                <w:sz w:val="1"/>
                <w:szCs w:val="1"/>
                <w:color w:val="auto"/>
              </w:rPr>
            </w:pPr>
          </w:p>
        </w:tc>
      </w:tr>
      <w:tr>
        <w:trPr>
          <w:trHeight w:val="230"/>
        </w:trPr>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Large-Scale Optical</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17,326</w:t>
            </w:r>
          </w:p>
        </w:tc>
        <w:tc>
          <w:tcPr>
            <w:tcW w:w="0" w:type="dxa"/>
            <w:vAlign w:val="bottom"/>
          </w:tcPr>
          <w:p>
            <w:pPr>
              <w:spacing w:after="0"/>
              <w:rPr>
                <w:sz w:val="1"/>
                <w:szCs w:val="1"/>
                <w:color w:val="auto"/>
              </w:rPr>
            </w:pPr>
          </w:p>
        </w:tc>
      </w:tr>
      <w:tr>
        <w:trPr>
          <w:trHeight w:val="230"/>
        </w:trPr>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and other</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(18,508)</w:t>
            </w:r>
          </w:p>
        </w:tc>
        <w:tc>
          <w:tcPr>
            <w:tcW w:w="0" w:type="dxa"/>
            <w:vAlign w:val="bottom"/>
          </w:tcPr>
          <w:p>
            <w:pPr>
              <w:spacing w:after="0"/>
              <w:rPr>
                <w:sz w:val="1"/>
                <w:szCs w:val="1"/>
                <w:color w:val="auto"/>
              </w:rPr>
            </w:pPr>
          </w:p>
        </w:tc>
      </w:tr>
      <w:tr>
        <w:trPr>
          <w:trHeight w:val="223"/>
        </w:trPr>
        <w:tc>
          <w:tcPr>
            <w:tcW w:w="45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34,761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100,049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30,684</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the varying combinations and integration of individual window, storefront and curtainwall systems, it is impractical to report product revenues generated by class of product, beyond the segment revenues currently reported.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Restructuring</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August 11, 2021, we announced plans to realign and simplify our business structure. During the first quarter of fiscal 2023, we completed the execution of these plans with the sale of the remaining manufacturing assets at our Architectural Glass location, in Dallas, Texas, for $4.1 million. The remaining assets had a carrying value of $3.4 million, and we recognized a gain on the sale of approximately $0.6 million, net of associated transaction costs, which is included as a reduction of cost of sales within our consolidated statements of operations.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restructuring related accrual balances included within accrued payroll and related costs and other current liabilities in the consolidated balance sheets. All balances are expected to be paid within the current fiscal year.</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6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Architectural Framing</w:t>
            </w:r>
          </w:p>
        </w:tc>
        <w:tc>
          <w:tcPr>
            <w:tcW w:w="140" w:type="dxa"/>
            <w:vAlign w:val="bottom"/>
          </w:tcPr>
          <w:p>
            <w:pPr>
              <w:spacing w:after="0"/>
              <w:rPr>
                <w:sz w:val="18"/>
                <w:szCs w:val="18"/>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Architectural Glass</w:t>
            </w:r>
          </w:p>
        </w:tc>
        <w:tc>
          <w:tcPr>
            <w:tcW w:w="140" w:type="dxa"/>
            <w:vAlign w:val="bottom"/>
          </w:tcPr>
          <w:p>
            <w:pPr>
              <w:spacing w:after="0"/>
              <w:rPr>
                <w:sz w:val="18"/>
                <w:szCs w:val="18"/>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Corporate &amp; Other</w:t>
            </w:r>
          </w:p>
        </w:tc>
        <w:tc>
          <w:tcPr>
            <w:tcW w:w="380" w:type="dxa"/>
            <w:vAlign w:val="bottom"/>
          </w:tcPr>
          <w:p>
            <w:pPr>
              <w:spacing w:after="0"/>
              <w:rPr>
                <w:sz w:val="18"/>
                <w:szCs w:val="18"/>
                <w:color w:val="auto"/>
              </w:rPr>
            </w:pPr>
          </w:p>
        </w:tc>
        <w:tc>
          <w:tcPr>
            <w:tcW w:w="118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February 27, 2021</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w:t>
            </w:r>
          </w:p>
        </w:tc>
      </w:tr>
      <w:tr>
        <w:trPr>
          <w:trHeight w:val="229"/>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expense</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w:t>
            </w:r>
          </w:p>
        </w:tc>
      </w:tr>
      <w:tr>
        <w:trPr>
          <w:trHeight w:val="230"/>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w:t>
            </w:r>
          </w:p>
        </w:tc>
      </w:tr>
      <w:tr>
        <w:trPr>
          <w:trHeight w:val="229"/>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r>
      <w:tr>
        <w:trPr>
          <w:trHeight w:val="223"/>
        </w:trPr>
        <w:tc>
          <w:tcPr>
            <w:tcW w:w="47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February 26, 2022</w:t>
            </w:r>
          </w:p>
        </w:tc>
        <w:tc>
          <w:tcPr>
            <w:tcW w:w="5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r>
      <w:tr>
        <w:trPr>
          <w:trHeight w:val="229"/>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expense</w:t>
            </w:r>
          </w:p>
        </w:tc>
        <w:tc>
          <w:tcPr>
            <w:tcW w:w="5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30"/>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r>
      <w:tr>
        <w:trPr>
          <w:trHeight w:val="229"/>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48"/>
        </w:trPr>
        <w:tc>
          <w:tcPr>
            <w:tcW w:w="47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November 26, 2022</w:t>
            </w:r>
          </w:p>
        </w:tc>
        <w:tc>
          <w:tcPr>
            <w:tcW w:w="560" w:type="dxa"/>
            <w:vAlign w:val="bottom"/>
            <w:tcBorders>
              <w:top w:val="single" w:sz="8" w:color="auto"/>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evaluated subsequent events for potential recognition and disclosure through the date of this filing and determined that there were no subsequent events that required recognition or disclosure in the consolidated financial statements.</w:t>
      </w:r>
    </w:p>
    <w:p>
      <w:pPr>
        <w:spacing w:after="0" w:line="21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This Quarterly Report on Form 10-Q, including the section, Management’s Discussion and Analysis of Financial Condition and Results of Operations, contains “forward-looking statements” within the meaning of the Private Securities Litigation Reform Act of 1995. These statements reflect our current views with respect to future events and financial performance. The words “believe,” “expect,” “anticipate,” “intend,” “estimate,” “forecast,” “project,” “should,” "will," "continue" and similar expressions are intended to identify “forward-looking statements” within the meaning of the Private Securities Litigation Reform Act of 1995. All forecasts and projections in this document are “forward-looking statements,” and are based on management’s current expectations or beliefs. From time to time, we may also provide oral and written forward-looking statements in other materials we release to the public, such as press releases, presentations to securities analysts or investors, or other communications by the Company. Any or all of our forward-looking statements in this report and in any public statements we make could be materially different from actual results.</w:t>
      </w:r>
    </w:p>
    <w:p>
      <w:pPr>
        <w:spacing w:after="0" w:line="22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Accordingly, we wish to caution investors that any forward-looking statements made by or on behalf of the Company are subject to uncertainties and other factors that could cause actual results to differ materially from such statements. Information about factors that could materially affect our results can be found in the “Risk Factors” section of our Annual Report on Form 10-K for the year ended February 26, 2022 and in subsequent filings with the U.S. Securities and Exchange Commission, including this Quarterly Report on Form 10-Q.</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wish to caution investors that other factors might in the future prove to be important in affecting the Company’s results of operations. New factors emerge from time to time;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 We undertake no obligation to update publicly or revise any forward-looking statements, whether as a result of new information, future events or otherwise.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are a leader in the design and development of value-added glass and metal products and services. Our four reporting segments are: Architectural Framing Systems, Architectural Glass, Architectural Services and Large-Scale Optical (LSO).</w:t>
      </w:r>
    </w:p>
    <w:p>
      <w:pPr>
        <w:spacing w:after="0" w:line="20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During fiscal 2022, we conducted a strategic review of our business and the markets we serve in order to establish a new enterprise strategy with three key elements, as discussed below:</w:t>
      </w:r>
    </w:p>
    <w:p>
      <w:pPr>
        <w:jc w:val="both"/>
        <w:ind w:left="660" w:hanging="328"/>
        <w:spacing w:after="0" w:line="253"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Become the economic leader in our target markets. </w:t>
      </w:r>
      <w:r>
        <w:rPr>
          <w:rFonts w:ascii="Times New Roman" w:cs="Times New Roman" w:eastAsia="Times New Roman" w:hAnsi="Times New Roman"/>
          <w:sz w:val="18"/>
          <w:szCs w:val="18"/>
          <w:color w:val="auto"/>
        </w:rPr>
        <w:t>We will achieve this by developing a deep understanding of our target markets and aligning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businesses with clear go-to-market strategies to drive value for our customers through differentiated product and service offerings. We will also build a relentless focus on operational execution, driving productivity improvements, and maintaining a competitive cost structure, so that we may bring more value to our customers and improve our own profitability.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both"/>
        <w:ind w:left="660" w:hanging="328"/>
        <w:spacing w:after="0" w:line="25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Actively manage our portfolio to drive higher margins and returns. </w:t>
      </w:r>
      <w:r>
        <w:rPr>
          <w:rFonts w:ascii="Times New Roman" w:cs="Times New Roman" w:eastAsia="Times New Roman" w:hAnsi="Times New Roman"/>
          <w:sz w:val="18"/>
          <w:szCs w:val="18"/>
          <w:color w:val="auto"/>
        </w:rPr>
        <w:t>We intend to shift our business mix toward higher operating margin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offerings and improve our return on invested capital performance. We will accomplish this by allocating resources to grow our top performing businesses, actively addressing underperforming businesses, and investing to add new differentiated product and service offerings to accelerate our growth.</w:t>
      </w:r>
    </w:p>
    <w:p>
      <w:pPr>
        <w:spacing w:after="0" w:line="3"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Strengthen our core capabilities. </w:t>
      </w:r>
      <w:r>
        <w:rPr>
          <w:rFonts w:ascii="Times New Roman" w:cs="Times New Roman" w:eastAsia="Times New Roman" w:hAnsi="Times New Roman"/>
          <w:sz w:val="18"/>
          <w:szCs w:val="18"/>
          <w:color w:val="auto"/>
        </w:rPr>
        <w:t>We are shifting from our historical, decentralized operating model, to one with center-led functional expertise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enables us to leverage the scale of the enterprise to better support the needs of the business. We are establishing a Company-wide operating system with common tools and processes that are based on the foundation of Lean and Continuous Improvement. This will be supported by a robust talent management program and a commitment to strong governance to ensure compliance and drive sustainable performance.</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beginning of the first quarter of fiscal 2023, we began management of the Sotawall and Harmon businesses under the Architectural Services segment in order to create a single, unified offering for larger custom curtainwall projects. The comparative fiscal 2022 segment results for the Architectural Framing Systems and Architectural Services segments have been recast to reflect the move of the Sotawall business into the Architectural Services segment from the Architectural Framing Systems segment, effective at the start of the first quarter of fiscal 2023.</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selected financial data should be read in conjunction with the Company’s Form 10-K for the year ended February 26, 2022 and the consolidated financial statements, including the notes to consolidated financial statements, included therein.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 of Third Quarter of Fiscal 2023 Compared to Third Quarter of Fiscal 2022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Consolidated net sales increased 10.1 percent, or $33.6 million, and 11.2 percent, or $110.6 million, for the three- and nine-month periods ended November 26, 2022, compared to the same periods in the prior year, primarily driven by flow-through from pricing actions taken to offset inflation within the Architectural Framing Systems and Architectural Glass segments.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relationship between various components of operations, as a percentage of net sales, is presented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3500" w:type="dxa"/>
            <w:vAlign w:val="bottom"/>
            <w:gridSpan w:val="4"/>
          </w:tcPr>
          <w:p>
            <w:pPr>
              <w:ind w:left="10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40" w:type="dxa"/>
            <w:vAlign w:val="bottom"/>
            <w:gridSpan w:val="3"/>
          </w:tcPr>
          <w:p>
            <w:pPr>
              <w:jc w:val="right"/>
              <w:ind w:right="101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428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1760" w:type="dxa"/>
            <w:vAlign w:val="bottom"/>
            <w:gridSpan w:val="2"/>
          </w:tcPr>
          <w:p>
            <w:pPr>
              <w:spacing w:after="0"/>
              <w:rPr>
                <w:sz w:val="2"/>
                <w:szCs w:val="2"/>
                <w:color w:val="auto"/>
              </w:rPr>
            </w:pPr>
          </w:p>
        </w:tc>
        <w:tc>
          <w:tcPr>
            <w:tcW w:w="1780" w:type="dxa"/>
            <w:vAlign w:val="bottom"/>
            <w:gridSpan w:val="2"/>
          </w:tcPr>
          <w:p>
            <w:pPr>
              <w:spacing w:after="0"/>
              <w:rPr>
                <w:sz w:val="2"/>
                <w:szCs w:val="2"/>
                <w:color w:val="auto"/>
              </w:rPr>
            </w:pPr>
          </w:p>
        </w:tc>
        <w:tc>
          <w:tcPr>
            <w:tcW w:w="1660" w:type="dxa"/>
            <w:vAlign w:val="bottom"/>
          </w:tcPr>
          <w:p>
            <w:pPr>
              <w:spacing w:after="0"/>
              <w:rPr>
                <w:sz w:val="2"/>
                <w:szCs w:val="2"/>
                <w:color w:val="auto"/>
              </w:rPr>
            </w:pPr>
          </w:p>
        </w:tc>
      </w:tr>
      <w:tr>
        <w:trPr>
          <w:trHeight w:val="190"/>
        </w:trPr>
        <w:tc>
          <w:tcPr>
            <w:tcW w:w="4280" w:type="dxa"/>
            <w:vAlign w:val="bottom"/>
          </w:tcPr>
          <w:p>
            <w:pPr>
              <w:spacing w:after="0"/>
              <w:rPr>
                <w:sz w:val="16"/>
                <w:szCs w:val="16"/>
                <w:color w:val="auto"/>
              </w:rPr>
            </w:pPr>
          </w:p>
        </w:tc>
        <w:tc>
          <w:tcPr>
            <w:tcW w:w="174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November 26, 2022</w:t>
            </w:r>
          </w:p>
        </w:tc>
        <w:tc>
          <w:tcPr>
            <w:tcW w:w="166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November 27, 2021</w:t>
            </w:r>
          </w:p>
        </w:tc>
        <w:tc>
          <w:tcPr>
            <w:tcW w:w="100" w:type="dxa"/>
            <w:vAlign w:val="bottom"/>
          </w:tcPr>
          <w:p>
            <w:pPr>
              <w:spacing w:after="0"/>
              <w:rPr>
                <w:sz w:val="16"/>
                <w:szCs w:val="16"/>
                <w:color w:val="auto"/>
              </w:rPr>
            </w:pPr>
          </w:p>
        </w:tc>
        <w:tc>
          <w:tcPr>
            <w:tcW w:w="178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November 26, 2022</w:t>
            </w:r>
          </w:p>
        </w:tc>
        <w:tc>
          <w:tcPr>
            <w:tcW w:w="166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November 27, 2021</w:t>
            </w:r>
          </w:p>
        </w:tc>
      </w:tr>
      <w:tr>
        <w:trPr>
          <w:trHeight w:val="229"/>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6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76.5</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81.7</w:t>
            </w:r>
          </w:p>
        </w:tc>
      </w:tr>
      <w:tr>
        <w:trPr>
          <w:trHeight w:val="223"/>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6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18.3</w:t>
            </w:r>
          </w:p>
        </w:tc>
      </w:tr>
      <w:tr>
        <w:trPr>
          <w:trHeight w:val="230"/>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15.2</w:t>
            </w:r>
          </w:p>
        </w:tc>
      </w:tr>
      <w:tr>
        <w:trPr>
          <w:trHeight w:val="223"/>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16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6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6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6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16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6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6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16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16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19"/>
                <w:szCs w:val="19"/>
                <w:color w:val="auto"/>
              </w:rPr>
            </w:pPr>
          </w:p>
        </w:tc>
        <w:tc>
          <w:tcPr>
            <w:tcW w:w="16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earnings</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2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19.6 %</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Gross profit as a percent of sales (gross margin) was 23.5 percent for each of the three- and nine-month periods ended November 26, 2022, respectively, compared to 19.4 percent and 18.3 percent for the three- and nine-month periods ended November 27, 2021. Both period improvements in gross margin were driven primarily by pricing actions that exceeded the inflation-related cost increases in the Architectural Framing Systems and Architectural Glass segments. The nine-month period ended November 26, 2022, includes the benefits from restructuring actions completed in the second quarter of the prior year in the Architectural Glass and Architectural Framing Systems segments. The prior-year periods included $3.6 million and $22.1 million of restructuring charges which were included in cost of sales and incurred during the three- and nine-month periods ended November 27,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(SG&amp;A) expenses</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SG&amp;A expenses as a percent of sales were 14.1 percent and 14.3 percent for the three- and nine-month periods ended November 26, 2022, respectively, compared to 14.1 percent and 15.2 percent for the prior year three- and nine-month periods. SG&amp;A decreased as a percent of sales compared to the nine-month period in the prior year primarily due to the benefits realized from previously completed restructuring actions.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effective income tax rate in the third quarter of fiscal 2023 was 24.8 percent, compared to 21.7 percent in the same period last year, and 9.3 percent for the first nine months of fiscal 2023, compared to 19.6 percent in the prior year period. In the second quarter of fiscal 2023, the Company claimed certain tax deductions, including a worthless stock loss deduction, related to its investment in Sotawall Limited, a Canadian subsidiary. These deductions generated a net tax benefit of 13.7 million, and reduced our effective tax rate for the nine-month period of fiscal 2023 by approximately 14.8 percentage points.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Analysis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Architectural Framing Systems</w:t>
      </w:r>
    </w:p>
    <w:p>
      <w:pPr>
        <w:spacing w:after="0" w:line="128"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60" w:type="dxa"/>
            <w:vAlign w:val="bottom"/>
          </w:tcPr>
          <w:p>
            <w:pPr>
              <w:spacing w:after="0"/>
              <w:rPr>
                <w:sz w:val="16"/>
                <w:szCs w:val="16"/>
                <w:color w:val="auto"/>
              </w:rPr>
            </w:pPr>
          </w:p>
        </w:tc>
      </w:tr>
      <w:tr>
        <w:trPr>
          <w:trHeight w:val="23"/>
        </w:trPr>
        <w:tc>
          <w:tcPr>
            <w:tcW w:w="20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320" w:type="dxa"/>
            <w:vAlign w:val="bottom"/>
            <w:gridSpan w:val="3"/>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r>
      <w:tr>
        <w:trPr>
          <w:trHeight w:val="190"/>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November 26, 2022</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27, 2021</w:t>
            </w:r>
          </w:p>
        </w:tc>
        <w:tc>
          <w:tcPr>
            <w:tcW w:w="104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November 26, 2022</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27, 2021</w:t>
            </w:r>
          </w:p>
        </w:tc>
        <w:tc>
          <w:tcPr>
            <w:tcW w:w="106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1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165,013</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141,462</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501,172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415,203</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20.7 %</w:t>
            </w:r>
          </w:p>
        </w:tc>
      </w:tr>
      <w:tr>
        <w:trPr>
          <w:trHeight w:val="229"/>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Pr>
          <w:p>
            <w:pPr>
              <w:spacing w:after="0"/>
              <w:rPr>
                <w:sz w:val="19"/>
                <w:szCs w:val="19"/>
                <w:color w:val="auto"/>
              </w:rPr>
            </w:pPr>
          </w:p>
        </w:tc>
        <w:tc>
          <w:tcPr>
            <w:tcW w:w="144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22,089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12,085</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66,266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28,837</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129.8 %</w:t>
            </w:r>
          </w:p>
        </w:tc>
      </w:tr>
      <w:tr>
        <w:trPr>
          <w:trHeight w:val="229"/>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bl>
    <w:p>
      <w:pPr>
        <w:spacing w:after="0" w:line="3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Architectural Framing Systems net sales increased $23.6 million, or 16.6 percent, and $86.0 million, or 20.7 percent, for the three- and nine-month periods ended November 26, 2022, respectively, compared to the prior year periods, primarily driven by inflation-related pricing actions.</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Operating margin increased 490 basis points and 630 basis points for the three- and nine-month periods of the current year, compared to the same periods in the prior year, reflecting improved pricing and mix, which more than offset the impact of inflation, and the benefits from restructuring actions completed in the prior year, which further strengthened our competitive position and more than offset the impact of cost inflation.</w:t>
      </w:r>
    </w:p>
    <w:p>
      <w:pPr>
        <w:spacing w:after="0" w:line="2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 of November 26, 2022, segment backlog was approximately $246 million, compared to approximately $286 million at the end of the prior quarter of the current fiscal year, and was approximately $269 million at the end of third quarter fiscal 2022. Backlog represents the dollar amount of signed contracts or firm orders, generally as a result of a competitive bidding process, which may be expected to be recognized as revenue in the future. Backlog is not a term defined under U.S. GAAP and is not a measure of contract profitability. We view backlog as one indicator of future revenues, particularly in our longer-lead time businesses. In addition to backlog, we have a substantial amount of projects with short lead times that book-and-bill within the same reporting period and are not included in backlog. We have strong visibility into future business commitments beyond backlog, as projects awarded, verbal commitments and bidding activities are not included in backlog.</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Architectural Services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60" w:type="dxa"/>
            <w:vAlign w:val="bottom"/>
          </w:tcPr>
          <w:p>
            <w:pPr>
              <w:spacing w:after="0"/>
              <w:rPr>
                <w:sz w:val="16"/>
                <w:szCs w:val="16"/>
                <w:color w:val="auto"/>
              </w:rPr>
            </w:pPr>
          </w:p>
        </w:tc>
      </w:tr>
      <w:tr>
        <w:trPr>
          <w:trHeight w:val="23"/>
        </w:trPr>
        <w:tc>
          <w:tcPr>
            <w:tcW w:w="2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r>
      <w:tr>
        <w:trPr>
          <w:trHeight w:val="190"/>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November 26, 2022</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27, 2021</w:t>
            </w:r>
          </w:p>
        </w:tc>
        <w:tc>
          <w:tcPr>
            <w:tcW w:w="106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November 26, 2022</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November 27, 2021</w:t>
            </w:r>
          </w:p>
        </w:tc>
        <w:tc>
          <w:tcPr>
            <w:tcW w:w="106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1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102,031</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105,404</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312,151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292,506</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r>
      <w:tr>
        <w:trPr>
          <w:trHeight w:val="230"/>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Pr>
          <w:p>
            <w:pPr>
              <w:spacing w:after="0"/>
              <w:rPr>
                <w:sz w:val="19"/>
                <w:szCs w:val="19"/>
                <w:color w:val="auto"/>
              </w:rPr>
            </w:pPr>
          </w:p>
        </w:tc>
        <w:tc>
          <w:tcPr>
            <w:tcW w:w="146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6,032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7,807</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14,449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19,172</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29"/>
        </w:trPr>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bl>
    <w:p>
      <w:pPr>
        <w:spacing w:after="0" w:line="27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Architectural Services net sales decreased $3.4 million, or 3.2 percent for the three-month period ended November 26, 2022, respectively, compared to the same period in the prior year, driven by decreased project activity. In the comparative nine-month period ended November 26, 2022 net sales increased $19.6 million, or 6.7 percent compared to the same period in the prior year, driven by increased volume from executing projects in backlog.</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Operating margin decreased 150 basis points and 200 basis points in the three- and nine-month periods of the current year, respectively, compared to the same periods in the prior year, primarily reflecting lower profitability on legacy Sotawall projects and costs related to investments to support future growth, partially offset by higher volume.</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November 26, 2022, segment backlog was approximately $741 million, compared to approximately $785 million at the end of the prior quarter of the current fiscal year, and was approximately $722 million at the end of third quarter of fiscal 2022. Backlog, a non-GAAP financial measure, and the implication thereof is described within the Architectural Framing Systems discussion above.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Architectural Glass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60" w:type="dxa"/>
            <w:vAlign w:val="bottom"/>
          </w:tcPr>
          <w:p>
            <w:pPr>
              <w:spacing w:after="0"/>
              <w:rPr>
                <w:sz w:val="16"/>
                <w:szCs w:val="16"/>
                <w:color w:val="auto"/>
              </w:rPr>
            </w:pPr>
          </w:p>
        </w:tc>
      </w:tr>
      <w:tr>
        <w:trPr>
          <w:trHeight w:val="23"/>
        </w:trPr>
        <w:tc>
          <w:tcPr>
            <w:tcW w:w="20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340" w:type="dxa"/>
            <w:vAlign w:val="bottom"/>
            <w:gridSpan w:val="3"/>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r>
      <w:tr>
        <w:trPr>
          <w:trHeight w:val="190"/>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November 26, 2022</w:t>
            </w: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November 27, 2021</w:t>
            </w:r>
          </w:p>
        </w:tc>
        <w:tc>
          <w:tcPr>
            <w:tcW w:w="106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November 26, 2022</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November 27, 2021</w:t>
            </w:r>
          </w:p>
        </w:tc>
        <w:tc>
          <w:tcPr>
            <w:tcW w:w="106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1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81,541</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74,289</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235,158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236,693</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tcPr>
          <w:p>
            <w:pPr>
              <w:spacing w:after="0"/>
              <w:rPr>
                <w:sz w:val="19"/>
                <w:szCs w:val="19"/>
                <w:color w:val="auto"/>
              </w:rPr>
            </w:pPr>
          </w:p>
        </w:tc>
        <w:tc>
          <w:tcPr>
            <w:tcW w:w="14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7,461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684.3 %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19,087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(16,143)</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218.2 %</w:t>
            </w:r>
          </w:p>
        </w:tc>
      </w:tr>
      <w:tr>
        <w:trPr>
          <w:trHeight w:val="230"/>
        </w:trPr>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bl>
    <w:p>
      <w:pPr>
        <w:spacing w:after="0" w:line="3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increased $7.3 million, or 9.8 percent, for the three-month period ended November 26, 2022, compared to the same period in the prior year, primarily reflecting improved pricing and mix. Net sales decreased $1.5 million, or 0.6 percent for the nine-month period ended November 26, 2022, compared to the same period in the prior year, primarily reflecting lower volume, mostly offset by improved pricing and mix.</w:t>
      </w:r>
    </w:p>
    <w:p>
      <w:pPr>
        <w:spacing w:after="0" w:line="20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the current quarter, the segment had operating income of $7.5 million and operating margin of 9.1 percent, compared to operating loss of $1.3 million and negative operating margin of 1.7 percent in the same period of the prior year. The current year third quarter reflects improved pricing, mix and productivity gains, which combined to offset the impact of inflation, while the prior year period included $3.5 million of restructuring costs. For the nine-months ended November 26, 2022, the segment had operating income of $19.1 million and operating margin of 8.1 percent, compared to operating loss of $16.1 million and negative operating margin of 6.8 percent in the same period of the prior year, primarily related to the restructuring costs of $20.9 million incurred during the prior fiscal year. In addition, while the current-year period reflects improved pricing, productivity gains and the positive impacts of restructuring actions completed during the prior year, all of which offset the impact of inflation.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Large-Scale Optical (LSO)</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60" w:type="dxa"/>
            <w:vAlign w:val="bottom"/>
          </w:tcPr>
          <w:p>
            <w:pPr>
              <w:spacing w:after="0"/>
              <w:rPr>
                <w:sz w:val="16"/>
                <w:szCs w:val="16"/>
                <w:color w:val="auto"/>
              </w:rPr>
            </w:pPr>
          </w:p>
        </w:tc>
      </w:tr>
      <w:tr>
        <w:trPr>
          <w:trHeight w:val="23"/>
        </w:trPr>
        <w:tc>
          <w:tcPr>
            <w:tcW w:w="20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r>
      <w:tr>
        <w:trPr>
          <w:trHeight w:val="190"/>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November 26, 2022</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27, 2021</w:t>
            </w:r>
          </w:p>
        </w:tc>
        <w:tc>
          <w:tcPr>
            <w:tcW w:w="104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November 26, 2022</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27, 2021</w:t>
            </w:r>
          </w:p>
        </w:tc>
        <w:tc>
          <w:tcPr>
            <w:tcW w:w="106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1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26,660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27,351</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76,988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75,122</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29"/>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Pr>
          <w:p>
            <w:pPr>
              <w:spacing w:after="0"/>
              <w:rPr>
                <w:sz w:val="19"/>
                <w:szCs w:val="19"/>
                <w:color w:val="auto"/>
              </w:rPr>
            </w:pPr>
          </w:p>
        </w:tc>
        <w:tc>
          <w:tcPr>
            <w:tcW w:w="14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7,109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5,996</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19,598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17,326</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13.1 %</w:t>
            </w:r>
          </w:p>
        </w:tc>
      </w:tr>
      <w:tr>
        <w:trPr>
          <w:trHeight w:val="230"/>
        </w:trPr>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LSO net sales decreased $0.7 million, or 2.5 percent, for the three-month period ended November 26, 2022 compared to the same period in the prior year driven by lower volume. In the comparative nine-month period ended November 26, 2022, net sales increased $1.9 million, or 2.5 percent, compared to the same period in the prior year, primarily driven by improved pricing.</w:t>
      </w:r>
    </w:p>
    <w:p>
      <w:pPr>
        <w:spacing w:after="0" w:line="1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Operating margin increased 480 basis points and 240 basis points in the three- and nine-month periods of the current year, compared to the same periods in the prior year, primarily driven by lower operating costs. A significant portion of the lower operating costs was a non-recurring property tax adjustment contributing to a 210 basis points and 80 basis points of the margin increase for the three- and nine-month periods of the current year, respectively.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3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37"/>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Selected cash flow data</w:t>
            </w:r>
          </w:p>
        </w:tc>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right"/>
              <w:ind w:right="91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48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26, 2022</w:t>
            </w:r>
          </w:p>
        </w:tc>
        <w:tc>
          <w:tcPr>
            <w:tcW w:w="140" w:type="dxa"/>
            <w:vAlign w:val="bottom"/>
          </w:tcPr>
          <w:p>
            <w:pPr>
              <w:spacing w:after="0"/>
              <w:rPr>
                <w:sz w:val="16"/>
                <w:szCs w:val="16"/>
                <w:color w:val="auto"/>
              </w:rPr>
            </w:pPr>
          </w:p>
        </w:tc>
        <w:tc>
          <w:tcPr>
            <w:tcW w:w="14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November 27, 2021</w:t>
            </w:r>
          </w:p>
        </w:tc>
      </w:tr>
      <w:tr>
        <w:trPr>
          <w:trHeight w:val="229"/>
        </w:trPr>
        <w:tc>
          <w:tcPr>
            <w:tcW w:w="4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r>
      <w:tr>
        <w:trPr>
          <w:trHeight w:val="230"/>
        </w:trPr>
        <w:tc>
          <w:tcPr>
            <w:tcW w:w="4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51,112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86,291</w:t>
            </w: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4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3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(13,070)</w:t>
            </w:r>
          </w:p>
        </w:tc>
      </w:tr>
      <w:tr>
        <w:trPr>
          <w:trHeight w:val="230"/>
        </w:trPr>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sales of property, plant and equipment</w:t>
            </w:r>
          </w:p>
        </w:tc>
        <w:tc>
          <w:tcPr>
            <w:tcW w:w="3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Borrowings on line of credit</w:t>
            </w:r>
          </w:p>
        </w:tc>
        <w:tc>
          <w:tcPr>
            <w:tcW w:w="3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430,879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 on debt</w:t>
            </w:r>
          </w:p>
        </w:tc>
        <w:tc>
          <w:tcPr>
            <w:tcW w:w="3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on line of credit</w:t>
            </w:r>
          </w:p>
        </w:tc>
        <w:tc>
          <w:tcPr>
            <w:tcW w:w="3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Repurchase and retirement of common stock</w:t>
            </w:r>
          </w:p>
        </w:tc>
        <w:tc>
          <w:tcPr>
            <w:tcW w:w="3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(29,164)</w:t>
            </w:r>
          </w:p>
        </w:tc>
      </w:tr>
      <w:tr>
        <w:trPr>
          <w:trHeight w:val="229"/>
        </w:trPr>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Dividends paid</w:t>
            </w:r>
          </w:p>
        </w:tc>
        <w:tc>
          <w:tcPr>
            <w:tcW w:w="3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(15,050)</w:t>
            </w:r>
          </w:p>
        </w:tc>
      </w:tr>
      <w:tr>
        <w:trPr>
          <w:trHeight w:val="864"/>
        </w:trPr>
        <w:tc>
          <w:tcPr>
            <w:tcW w:w="4860" w:type="dxa"/>
            <w:vAlign w:val="bottom"/>
          </w:tcPr>
          <w:p>
            <w:pPr>
              <w:spacing w:after="0"/>
              <w:rPr>
                <w:sz w:val="24"/>
                <w:szCs w:val="24"/>
                <w:color w:val="auto"/>
              </w:rPr>
            </w:pPr>
          </w:p>
        </w:tc>
        <w:tc>
          <w:tcPr>
            <w:tcW w:w="3040" w:type="dxa"/>
            <w:vAlign w:val="bottom"/>
          </w:tcPr>
          <w:p>
            <w:pPr>
              <w:jc w:val="right"/>
              <w:ind w:right="209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Net cash provided by operating activities was $51.1 million for the first nine months of fiscal 2023, compared to $86.3 million of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provided by operating activities in the prior year period, reflecting increased working capital required to support revenue growth and inflation.</w:t>
      </w:r>
    </w:p>
    <w:p>
      <w:pPr>
        <w:spacing w:after="0" w:line="16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Net cash used by investing activities was $12.0 million for the first nine months of fiscal 2023, driven primarily by capital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expenditures of $18.1 million, partially offset by proceeds received from sales of property, plant and equipment of $5.2 million. In the first nine months of the prior year, net cash used by investing activities was $11.6 million, primarily driven by capital expenditures of $13.1 million. The majority of our capital expenditures in the current year and prior year periods are smaller in nature to support future growth and cost reduction initiatives.</w:t>
      </w:r>
    </w:p>
    <w:p>
      <w:pPr>
        <w:spacing w:after="0" w:line="21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Net cash used by financing activities was $51.6 million for the first nine months of fiscal 2023, compared to net cash used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financing activities of $44.0 million in the prior year period. The current year period was primarily driven by share repurchases and dividend payments totaling $88.7 million, partially offset by net debt borrowings of $40.9 million, while the prior year period included $44.2 million of share repurchases and dividend payments.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paid dividends totaling $14.4 million ($0.6600 per share) in the first nine months of fiscal 2023, compared to $15.1 million ($0.6000 per share) in the comparable prior year period. During the first nine months of fiscal 2023, we repurchased 1,571,139 shares under our authorized share repurchase program, for a total cost of $74.3 million. In the first nine months of fiscal 2022, we repurchased 755,384 shares under the share repurchase program, for a total cost of $28.8 million. Since the inception of the share repurchase program in 2004, we have purchased a total of 10,996,601 shares, at a total cost of $381.6 million. As of November 26, 2022, we had remaining authority to repurchase an additional 1,253,399 shares under this program. We will continue to evaluate making future share repurchases, considering our cash flow, debt levels and market conditions, in the context of all our capital allocation options, with the goal of maximizing long-term value for our shareholders.</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Additional Liquidity Considerations. </w:t>
      </w:r>
      <w:r>
        <w:rPr>
          <w:rFonts w:ascii="Times New Roman" w:cs="Times New Roman" w:eastAsia="Times New Roman" w:hAnsi="Times New Roman"/>
          <w:sz w:val="18"/>
          <w:szCs w:val="18"/>
          <w:color w:val="auto"/>
        </w:rPr>
        <w:t>We periodically evaluate our liquidity requirements, cash needs and availability of debt resources relative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acquisition plans, significant capital plans, and other working capital needs.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second quarter ended August 27, 2022, we amended and extended our committed revolving credit facility to include maximum borrowings of up to $385 million with a maturity of August 2027. As part of the amendment, we repaid the $150 million term loan with borrowings under the revolving credit facility. As of November 26, 2022, outstanding borrowings under our revolving credit facility were $188.0 million, while there were no outstanding borrowings under the revolving credit facility as of February 26, 2022. We are required to make periodic interest payments on our outstanding indebtedness, and future interest payments will be determined based on the amount of outstanding borrowings and prevailing interest rates during that time.</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revolving credit facility contains two maintenance financial covenants that require us to stay below a maximum debt-to-EBITDA ratio and maintain a minimum ratio of EBITDA-to-interest expense. Both ratios are computed quarterly, with EBITDA calculated on a rolling four-quarter basis. At November 26, 2022, we were in compliance with both financial covenants. Additionally, at November 26, 2022, we had a total of $12.3 million of ongoing letters of credit related to industrial revenue bonds, construction contracts and insurance collateral that expire in fiscal years 2024 to 2032 and reduce borrowing capacity under the revolving credit facility.</w:t>
      </w:r>
    </w:p>
    <w:p>
      <w:pPr>
        <w:spacing w:after="0" w:line="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acquire the use of certain assets through operating leases, such as property, manufacturing equipment, vehicles and other equipment. Future payments for such leases, excluding leases with initial terms of one year or less, were $51.1 million at November 26, 2022, with $3.2 million payable during the remainder of fiscal 2023.</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November 26, 2022, we had $222.2 million of open purchase obligations, of which payments totaling $53.4 million are expected to become due within the remainder of fiscal 2023. These purchase obligations primarily relate to raw material commitments and capital expenditures and are not expected to impact future liquidity as amounts should be recovered through customer billings.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expect to make contributions of $0.7 million to our defined-benefit pension plans in fiscal 2023, which will equal or exceed our minimum funding requirements.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November 26, 2022, we had reserves of $5.5 million for unrecognized tax benefits. We are unable to reasonably estimate in which future periods the remaining unrecognized tax benefits will ultimately be settled.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required, in the ordinary course of business, to provide surety or performance bonds that commit payments to our customers for any non-performance. At November 26, 2022, $1.4 billion of these types of bonds were outstanding, of which $578.7 million is in our backlog. These bonds do not have stated expiration dates. We have never been required to make payments under surety or performance bonds with respect to our existing businesses.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calendar year 2020, we took advantage of the option to defer remittance of the employer portion of Social Security tax as provided in the Coronavirus Aid, Relief, and Economic Security Act. This deferral allowed us to retain cash during calendar year 2020 that would have otherwise been remitted to the federal government. We paid our first installment of these deferred social security taxes, totaling approximately $6.8 million, in the fourth quarter of fiscal 2022, and paid our final installment of approximately $6.8 million at the start of the fourth quarter of fiscal 2023.</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Due to our ability to generate strong cash from operations and our borrowing capability under our committed revolving credit facility, we believe that our sources of liquidity will be adequate to meet our short-term and long-term liquidity and capital expenditure needs. In addition, we believe we have the ability to obtain both short-term and long-term debt to meet our financing needs for the foreseeable future. We also believe we will be able to operate our business so as to continue to be in compliance with our existing debt covenants over the next fiscal year.</w:t>
      </w:r>
    </w:p>
    <w:p>
      <w:pPr>
        <w:spacing w:after="0" w:line="2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Based on our year-to-date results and increasing confidence in our outlook, we have narrowed our guidance for full-year adjusted earnings to a range of $3.90 to $4.05 per diluted* share, up from the previously announced range of $3.75 to $4.05. We expect full year revenue growth of approximately 10 percent, primarily driven by growth in our Architectural Framing Systems segment. The company continues to expect full-year capital expenditures of approximately $40 million.</w:t>
      </w:r>
    </w:p>
    <w:p>
      <w:pPr>
        <w:spacing w:after="0" w:line="212" w:lineRule="exact"/>
        <w:rPr>
          <w:sz w:val="20"/>
          <w:szCs w:val="20"/>
          <w:color w:val="auto"/>
        </w:rPr>
      </w:pPr>
    </w:p>
    <w:p>
      <w:pPr>
        <w:jc w:val="both"/>
        <w:ind w:firstLine="8"/>
        <w:spacing w:after="0" w:line="238" w:lineRule="auto"/>
        <w:tabs>
          <w:tab w:leader="none" w:pos="15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reconciliation of non-GAAP guidance on adjusted earnings per diluted share (“Adjusted EPS”) to GAAP guidance is not available on a forward-looking basis without unreasonable effort due to the uncertainty of the magnitude and timing of future adjustments. These adjustments may include the impact of such items as impairment charges, restructuring costs, acquired project-related charges, and gains or losses from significant asset sales. Accordingly, the company is unable to provide a reconciliation of Adjusted EPS to the most directly comparable GAAP financial measure or address the probable significance of the unavailable information, which could be material to the company's future financial results computed in accordance with GAAP.</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No material changes have occurred in the disclosure with respect to our related party transactions set forth in our Annual Report on Form 10-K for the fiscal year ended February 26, 2022.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0"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from those disclosed in our Annual Report on Form 10-K for the fiscal year ended February 26, 2022, except as noted below.</w:t>
      </w:r>
    </w:p>
    <w:p>
      <w:pPr>
        <w:spacing w:after="0" w:line="205" w:lineRule="exact"/>
        <w:rPr>
          <w:sz w:val="20"/>
          <w:szCs w:val="20"/>
          <w:color w:val="auto"/>
        </w:rPr>
      </w:pPr>
    </w:p>
    <w:p>
      <w:pPr>
        <w:ind w:right="52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Impairment of goodwill, indefinite-lived intangible assets and long-lived assets </w:t>
      </w:r>
      <w:r>
        <w:rPr>
          <w:rFonts w:ascii="Times New Roman" w:cs="Times New Roman" w:eastAsia="Times New Roman" w:hAnsi="Times New Roman"/>
          <w:sz w:val="18"/>
          <w:szCs w:val="18"/>
          <w:i w:val="1"/>
          <w:iCs w:val="1"/>
          <w:color w:val="auto"/>
        </w:rPr>
        <w:t>Goodwill</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 xml:space="preserve">At the beginning of the first quarter of fiscal 2023, we began management of the Sotawall and Harmon businesses under the Architectural Services segment in order to create a single, unified offering for larger custom curtainwall projects, which resulted in the combination of the Sotawall and Harmon reporting units into a single reporting unit. We evaluated goodwill on a qualitative basis prior to and subsequent to this change for these reporting units and concluded that no adjustment to the carrying value of goodwill was necessary. Concurrent with the move of Sotawall from the Architectural Framing Systems segment to the Architectural Services segment effective at the start of our first quarter of fiscal 2023, goodwill was reallocated to the affected reporting units within each segment, using a relative fair value approach as outlined in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In addition, for all reporting units, no qualitative indicators of impairment were identified during the first quarter of fiscal 2023, and therefore, no interim quantitative goodwill impairment evaluation was performed.</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 to the Company’s Annual Report on Form 10-K for the fiscal year ended February 26, 2022 for a discussion of the Company’s market risk. There have been no material changes in market risk since February 26,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21" w:lineRule="exact"/>
        <w:rPr>
          <w:sz w:val="20"/>
          <w:szCs w:val="20"/>
          <w:color w:val="auto"/>
        </w:rPr>
      </w:pPr>
    </w:p>
    <w:p>
      <w:pPr>
        <w:jc w:val="both"/>
        <w:ind w:left="1300" w:hanging="644"/>
        <w:spacing w:after="0" w:line="254" w:lineRule="auto"/>
        <w:tabs>
          <w:tab w:leader="none" w:pos="129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 As of the end of the period covered by this report (the Evaluation Date), we carried out an evaluation, under the supervision and with the participation of management, including the Chief Executive Officer and the Interim Chief Financial Officer, of the effectiveness of the design and operation of our disclosure controls and procedures (as defined in Rules 13a-15(e) or 15d-15(e) of the Securities Exchange Act of 1934, as amended (the Exchange Act)). Based upon that evaluation, the Chief Executive Officer and Interim Chief Financial Officer concluded that, as of the Evaluation Date, our disclosure controls and procedures were effective to ensure that information required to be disclosed by the Company in the reports that it files or submits under the Exchange Act is (i) recorded, processed, summarized and reported within the time periods specified in applicable rules and forms, and (ii) accumulated and communicated to our management, including our Chief Executive Officer and Interim Chief Financial Officer, to allow timely decisions regarding required disclosure.</w:t>
      </w:r>
    </w:p>
    <w:p>
      <w:pPr>
        <w:spacing w:after="0" w:line="80"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controls: There was no change in the Company’s internal control over financial reporting that occurred during the fiscal quarter ended November 26, 2022, that has materially affected, or is reasonably likely to materially affect, the Company’s internal control over financial reporting.</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We have in the past and are currently subject to product liability and warranty claims, including certain legal claims related to a commercial sealant product formerly incorporated into our products. In December 2022, the claimant in an arbitration of one such claim was awarded $20 million. The Company intends to appeal the award and believes, after taking into account all currently available information, including the advice of counsel and the likelihood of available insurance coverage, that this award will not have a material adverse effect on the Company's business, financial condition, results of operations or cash flows. 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There have been no material changes or additions to our risk factors discussed in our Annual Report on Form 10-K for the fiscal year ended February 26, 2022.</w:t>
      </w:r>
    </w:p>
    <w:p>
      <w:pPr>
        <w:spacing w:after="0" w:line="20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purchases made by the Company of its own stock during the third quarter of fiscal 2023:</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37"/>
        </w:trPr>
        <w:tc>
          <w:tcPr>
            <w:tcW w:w="4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8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60"/>
        </w:trPr>
        <w:tc>
          <w:tcPr>
            <w:tcW w:w="4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56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180" w:type="dxa"/>
            <w:vAlign w:val="bottom"/>
          </w:tcPr>
          <w:p>
            <w:pPr>
              <w:spacing w:after="0"/>
              <w:rPr>
                <w:sz w:val="13"/>
                <w:szCs w:val="13"/>
                <w:color w:val="auto"/>
              </w:rPr>
            </w:pPr>
          </w:p>
        </w:tc>
        <w:tc>
          <w:tcPr>
            <w:tcW w:w="136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Average Price</w:t>
            </w:r>
          </w:p>
        </w:tc>
        <w:tc>
          <w:tcPr>
            <w:tcW w:w="184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Publicly Announced Plans</w:t>
            </w:r>
          </w:p>
        </w:tc>
        <w:tc>
          <w:tcPr>
            <w:tcW w:w="1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Purchased under the Plans</w:t>
            </w:r>
          </w:p>
        </w:tc>
        <w:tc>
          <w:tcPr>
            <w:tcW w:w="0" w:type="dxa"/>
            <w:vAlign w:val="bottom"/>
          </w:tcPr>
          <w:p>
            <w:pPr>
              <w:spacing w:after="0"/>
              <w:rPr>
                <w:sz w:val="1"/>
                <w:szCs w:val="1"/>
                <w:color w:val="auto"/>
              </w:rPr>
            </w:pPr>
          </w:p>
        </w:tc>
      </w:tr>
      <w:tr>
        <w:trPr>
          <w:trHeight w:val="196"/>
        </w:trPr>
        <w:tc>
          <w:tcPr>
            <w:tcW w:w="4400" w:type="dxa"/>
            <w:vAlign w:val="bottom"/>
            <w:gridSpan w:val="2"/>
            <w:vMerge w:val="continue"/>
          </w:tcPr>
          <w:p>
            <w:pPr>
              <w:spacing w:after="0"/>
              <w:rPr>
                <w:sz w:val="17"/>
                <w:szCs w:val="17"/>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Purchased (a)</w:t>
            </w:r>
          </w:p>
        </w:tc>
        <w:tc>
          <w:tcPr>
            <w:tcW w:w="18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or Programs (b)</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 (b)</w:t>
            </w:r>
          </w:p>
        </w:tc>
        <w:tc>
          <w:tcPr>
            <w:tcW w:w="0" w:type="dxa"/>
            <w:vAlign w:val="bottom"/>
          </w:tcPr>
          <w:p>
            <w:pPr>
              <w:spacing w:after="0"/>
              <w:rPr>
                <w:sz w:val="1"/>
                <w:szCs w:val="1"/>
                <w:color w:val="auto"/>
              </w:rPr>
            </w:pPr>
          </w:p>
        </w:tc>
      </w:tr>
      <w:tr>
        <w:trPr>
          <w:trHeight w:val="229"/>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28, 2022 to September 24, 2022</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1,253,399</w:t>
            </w:r>
          </w:p>
        </w:tc>
        <w:tc>
          <w:tcPr>
            <w:tcW w:w="0" w:type="dxa"/>
            <w:vAlign w:val="bottom"/>
          </w:tcPr>
          <w:p>
            <w:pPr>
              <w:spacing w:after="0"/>
              <w:rPr>
                <w:sz w:val="1"/>
                <w:szCs w:val="1"/>
                <w:color w:val="auto"/>
              </w:rPr>
            </w:pPr>
          </w:p>
        </w:tc>
      </w:tr>
      <w:tr>
        <w:trPr>
          <w:trHeight w:val="23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25, 2022 to October 22, 2022</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100" w:type="dxa"/>
            <w:vAlign w:val="bottom"/>
          </w:tcPr>
          <w:p>
            <w:pPr>
              <w:spacing w:after="0"/>
              <w:rPr>
                <w:sz w:val="19"/>
                <w:szCs w:val="19"/>
                <w:color w:val="auto"/>
              </w:rPr>
            </w:pPr>
          </w:p>
        </w:tc>
        <w:tc>
          <w:tcPr>
            <w:tcW w:w="184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1,253,399</w:t>
            </w: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23, 2022 to November 26, 2022</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1,253,399</w:t>
            </w:r>
          </w:p>
        </w:tc>
        <w:tc>
          <w:tcPr>
            <w:tcW w:w="0" w:type="dxa"/>
            <w:vAlign w:val="bottom"/>
          </w:tcPr>
          <w:p>
            <w:pPr>
              <w:spacing w:after="0"/>
              <w:rPr>
                <w:sz w:val="1"/>
                <w:szCs w:val="1"/>
                <w:color w:val="auto"/>
              </w:rPr>
            </w:pPr>
          </w:p>
        </w:tc>
      </w:tr>
      <w:tr>
        <w:trPr>
          <w:trHeight w:val="223"/>
        </w:trPr>
        <w:tc>
          <w:tcPr>
            <w:tcW w:w="4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40.57</w:t>
            </w:r>
          </w:p>
        </w:tc>
        <w:tc>
          <w:tcPr>
            <w:tcW w:w="100" w:type="dxa"/>
            <w:vAlign w:val="bottom"/>
          </w:tcPr>
          <w:p>
            <w:pPr>
              <w:spacing w:after="0"/>
              <w:rPr>
                <w:sz w:val="19"/>
                <w:szCs w:val="19"/>
                <w:color w:val="auto"/>
              </w:rPr>
            </w:pPr>
          </w:p>
        </w:tc>
        <w:tc>
          <w:tcPr>
            <w:tcW w:w="1740" w:type="dxa"/>
            <w:vAlign w:val="bottom"/>
            <w:tcBorders>
              <w:top w:val="single" w:sz="8" w:color="auto"/>
              <w:bottom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1,253,399</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60" w:hanging="652"/>
        <w:spacing w:after="0" w:line="271" w:lineRule="auto"/>
        <w:tabs>
          <w:tab w:leader="none" w:pos="657"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in this column represent the total number of shares that were surrendered to us by plan participants to satisfy withholding tax obligations related to share-based compensation. We did not purchase any shares pursuant to our publicly announce repurchase program during the fiscal quarter.</w:t>
      </w:r>
    </w:p>
    <w:p>
      <w:pPr>
        <w:jc w:val="both"/>
        <w:ind w:left="660" w:hanging="652"/>
        <w:spacing w:after="0" w:line="264" w:lineRule="auto"/>
        <w:tabs>
          <w:tab w:leader="none" w:pos="65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fiscal 2004, announced on April 10, 2003, the Board of Directors authorized the repurchase of 1,500,000 shares of Company stock. The Board increased the authorization by 750,000 shares, announced on January 24, 2008; by 1,000,000 shares on each of the announcement dates of October 8, 2008, January 13, 2016, January 9, 2018, January 14, 2020, October 7, 2021, and June 22, 2022; and by 2,000,000 shares, on each of the announcement dates of October 3, 2018 and January 14, 2022. The repurchase program does not have an expiration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60" w:type="dxa"/>
            <w:vAlign w:val="bottom"/>
            <w:gridSpan w:val="13"/>
          </w:tcPr>
          <w:p>
            <w:pPr>
              <w:ind w:left="1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gridSpan w:val="3"/>
            <w:shd w:val="clear" w:color="auto" w:fill="CCEEFF"/>
          </w:tcPr>
          <w:p>
            <w:pPr>
              <w:ind w:left="20"/>
              <w:spacing w:after="0" w:line="189"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9700" w:type="dxa"/>
            <w:vAlign w:val="bottom"/>
            <w:tcBorders>
              <w:right w:val="single" w:sz="8" w:color="CCEEFF"/>
            </w:tcBorders>
            <w:gridSpan w:val="11"/>
            <w:shd w:val="clear" w:color="auto" w:fill="CCEEFF"/>
          </w:tcPr>
          <w:p>
            <w:pPr>
              <w:ind w:left="20"/>
              <w:spacing w:after="0" w:line="189"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Restated Articles of Incorporation. (Incorporated by reference to Exhibit 3.1 to Registrant's Annual Report on Form 10-K for the</w:t>
              </w:r>
            </w:hyperlink>
          </w:p>
        </w:tc>
        <w:tc>
          <w:tcPr>
            <w:tcW w:w="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0000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CCEEFF"/>
              <w:bottom w:val="single" w:sz="8" w:color="CCEEFF"/>
            </w:tcBorders>
            <w:shd w:val="clear" w:color="auto" w:fill="CCEEFF"/>
          </w:tcPr>
          <w:p>
            <w:pPr>
              <w:spacing w:after="0"/>
              <w:rPr>
                <w:sz w:val="16"/>
                <w:szCs w:val="16"/>
                <w:color w:val="auto"/>
              </w:rPr>
            </w:pPr>
          </w:p>
        </w:tc>
        <w:tc>
          <w:tcPr>
            <w:tcW w:w="2280" w:type="dxa"/>
            <w:vAlign w:val="bottom"/>
            <w:tcBorders>
              <w:top w:val="single" w:sz="8" w:color="0000FF"/>
              <w:bottom w:val="single" w:sz="8" w:color="0000FF"/>
            </w:tcBorders>
            <w:gridSpan w:val="2"/>
            <w:shd w:val="clear" w:color="auto" w:fill="CCEEFF"/>
          </w:tcPr>
          <w:p>
            <w:pPr>
              <w:ind w:left="20"/>
              <w:spacing w:after="0" w:line="156" w:lineRule="exact"/>
              <w:rPr>
                <w:rFonts w:ascii="Times New Roman" w:cs="Times New Roman" w:eastAsia="Times New Roman" w:hAnsi="Times New Roman"/>
                <w:sz w:val="18"/>
                <w:szCs w:val="18"/>
                <w:color w:val="0000FF"/>
                <w:w w:val="98"/>
              </w:rPr>
            </w:pPr>
            <w:hyperlink r:id="rId49">
              <w:r>
                <w:rPr>
                  <w:rFonts w:ascii="Times New Roman" w:cs="Times New Roman" w:eastAsia="Times New Roman" w:hAnsi="Times New Roman"/>
                  <w:sz w:val="18"/>
                  <w:szCs w:val="18"/>
                  <w:color w:val="0000FF"/>
                  <w:w w:val="98"/>
                </w:rPr>
                <w:t>year-ended February 28, 2004.)</w:t>
              </w:r>
            </w:hyperlink>
          </w:p>
        </w:tc>
        <w:tc>
          <w:tcPr>
            <w:tcW w:w="7320" w:type="dxa"/>
            <w:vAlign w:val="bottom"/>
            <w:tcBorders>
              <w:top w:val="single" w:sz="8" w:color="0000FF"/>
              <w:bottom w:val="single" w:sz="8" w:color="CCEEFF"/>
            </w:tcBorders>
            <w:gridSpan w:val="5"/>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700" w:type="dxa"/>
            <w:vAlign w:val="bottom"/>
            <w:gridSpan w:val="11"/>
          </w:tcPr>
          <w:p>
            <w:pPr>
              <w:ind w:left="20"/>
              <w:spacing w:after="0" w:line="189"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Articles of Amendment to Restated Articles of Incorporation. (Incorporated by reference to Exhibit 3.1 to Registrant's Current</w:t>
              </w:r>
            </w:hyperlink>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60" w:type="dxa"/>
            <w:vAlign w:val="bottom"/>
            <w:tcBorders>
              <w:top w:val="single" w:sz="8" w:color="0000FF"/>
            </w:tcBorders>
            <w:gridSpan w:val="10"/>
          </w:tcPr>
          <w:p>
            <w:pPr>
              <w:ind w:left="20"/>
              <w:spacing w:after="0" w:line="156"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Report on Form 8-K filed on January 16, 2020.)</w:t>
              </w:r>
            </w:hyperlink>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1180" w:type="dxa"/>
            <w:vAlign w:val="bottom"/>
            <w:tcBorders>
              <w:top w:val="single" w:sz="8" w:color="0000FF"/>
            </w:tcBorders>
          </w:tcPr>
          <w:p>
            <w:pPr>
              <w:spacing w:after="0"/>
              <w:rPr>
                <w:sz w:val="2"/>
                <w:szCs w:val="2"/>
                <w:color w:val="auto"/>
              </w:rPr>
            </w:pPr>
          </w:p>
        </w:tc>
        <w:tc>
          <w:tcPr>
            <w:tcW w:w="8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gridSpan w:val="3"/>
            <w:shd w:val="clear" w:color="auto" w:fill="CCEEFF"/>
          </w:tcPr>
          <w:p>
            <w:pPr>
              <w:ind w:left="20"/>
              <w:spacing w:after="0" w:line="189"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3</w:t>
              </w:r>
            </w:hyperlink>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9700" w:type="dxa"/>
            <w:vAlign w:val="bottom"/>
            <w:tcBorders>
              <w:right w:val="single" w:sz="8" w:color="CCEEFF"/>
            </w:tcBorders>
            <w:gridSpan w:val="11"/>
            <w:shd w:val="clear" w:color="auto" w:fill="CCEEFF"/>
          </w:tcPr>
          <w:p>
            <w:pPr>
              <w:ind w:left="20"/>
              <w:spacing w:after="0" w:line="189"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Amended and Restated Bylaws of Apogee Enterprises, Inc. (Incorporated by reference to Exhibit 3.3 to the Registrant’s Quarterly</w:t>
              </w:r>
            </w:hyperlink>
          </w:p>
        </w:tc>
        <w:tc>
          <w:tcPr>
            <w:tcW w:w="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9620" w:type="dxa"/>
            <w:vAlign w:val="bottom"/>
            <w:tcBorders>
              <w:top w:val="single" w:sz="8" w:color="0000FF"/>
            </w:tcBorders>
            <w:gridSpan w:val="8"/>
            <w:shd w:val="clear" w:color="auto" w:fill="CCEEFF"/>
          </w:tcPr>
          <w:p>
            <w:pPr>
              <w:ind w:left="20"/>
              <w:spacing w:after="0" w:line="156"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Report on Form 10-Q for the quarter-ended May 29, 2021).</w:t>
              </w:r>
            </w:hyperlink>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right w:val="single" w:sz="8" w:color="CCEEFF"/>
            </w:tcBorders>
            <w:gridSpan w:val="2"/>
            <w:shd w:val="clear" w:color="auto" w:fill="CCEEFF"/>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0000FF"/>
            </w:tcBorders>
            <w:shd w:val="clear" w:color="auto" w:fill="CCEEFF"/>
          </w:tcPr>
          <w:p>
            <w:pPr>
              <w:spacing w:after="0"/>
              <w:rPr>
                <w:sz w:val="2"/>
                <w:szCs w:val="2"/>
                <w:color w:val="auto"/>
              </w:rPr>
            </w:pPr>
          </w:p>
        </w:tc>
        <w:tc>
          <w:tcPr>
            <w:tcW w:w="880" w:type="dxa"/>
            <w:vAlign w:val="bottom"/>
            <w:tcBorders>
              <w:top w:val="single" w:sz="8" w:color="0000FF"/>
            </w:tcBorders>
            <w:shd w:val="clear" w:color="auto" w:fill="CCEEFF"/>
          </w:tcPr>
          <w:p>
            <w:pPr>
              <w:spacing w:after="0"/>
              <w:rPr>
                <w:sz w:val="2"/>
                <w:szCs w:val="2"/>
                <w:color w:val="auto"/>
              </w:rPr>
            </w:pPr>
          </w:p>
        </w:tc>
        <w:tc>
          <w:tcPr>
            <w:tcW w:w="1180" w:type="dxa"/>
            <w:vAlign w:val="bottom"/>
            <w:tcBorders>
              <w:top w:val="single" w:sz="8" w:color="0000FF"/>
            </w:tcBorders>
            <w:shd w:val="clear" w:color="auto" w:fill="CCEEFF"/>
          </w:tcPr>
          <w:p>
            <w:pPr>
              <w:spacing w:after="0"/>
              <w:rPr>
                <w:sz w:val="2"/>
                <w:szCs w:val="2"/>
                <w:color w:val="auto"/>
              </w:rPr>
            </w:pPr>
          </w:p>
        </w:tc>
        <w:tc>
          <w:tcPr>
            <w:tcW w:w="820" w:type="dxa"/>
            <w:vAlign w:val="bottom"/>
            <w:tcBorders>
              <w:top w:val="single" w:sz="8" w:color="0000FF"/>
            </w:tcBorders>
            <w:shd w:val="clear" w:color="auto" w:fill="CCEEFF"/>
          </w:tcPr>
          <w:p>
            <w:pPr>
              <w:spacing w:after="0"/>
              <w:rPr>
                <w:sz w:val="2"/>
                <w:szCs w:val="2"/>
                <w:color w:val="auto"/>
              </w:rPr>
            </w:pPr>
          </w:p>
        </w:tc>
        <w:tc>
          <w:tcPr>
            <w:tcW w:w="37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8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740" w:type="dxa"/>
            <w:vAlign w:val="bottom"/>
          </w:tcPr>
          <w:p>
            <w:pPr>
              <w:spacing w:after="0"/>
              <w:rPr>
                <w:sz w:val="16"/>
                <w:szCs w:val="16"/>
                <w:color w:val="auto"/>
              </w:rPr>
            </w:pPr>
          </w:p>
        </w:tc>
        <w:tc>
          <w:tcPr>
            <w:tcW w:w="9700" w:type="dxa"/>
            <w:vAlign w:val="bottom"/>
            <w:gridSpan w:val="11"/>
          </w:tcPr>
          <w:p>
            <w:pPr>
              <w:ind w:left="20"/>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pursuant to Rule 13a-14(a) under the Securities Exchange Act of 1934.</w:t>
            </w:r>
          </w:p>
        </w:tc>
        <w:tc>
          <w:tcPr>
            <w:tcW w:w="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7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0000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2#</w:t>
            </w:r>
          </w:p>
        </w:tc>
        <w:tc>
          <w:tcPr>
            <w:tcW w:w="2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8000" w:type="dxa"/>
            <w:vAlign w:val="bottom"/>
            <w:tcBorders>
              <w:bottom w:val="single" w:sz="8" w:color="0000FF"/>
            </w:tcBorders>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9"/>
              </w:rPr>
              <w:t>Certification of Chief Financial Officer pursuant to Rule 13a-14(a) under the Securities Exchange Act of 1934.</w:t>
            </w:r>
          </w:p>
        </w:tc>
        <w:tc>
          <w:tcPr>
            <w:tcW w:w="1700" w:type="dxa"/>
            <w:vAlign w:val="bottom"/>
            <w:tcBorders>
              <w:bottom w:val="single" w:sz="8" w:color="CCEEFF"/>
              <w:right w:val="single" w:sz="8" w:color="CCEEFF"/>
            </w:tcBorders>
            <w:gridSpan w:val="6"/>
            <w:shd w:val="clear" w:color="auto" w:fill="CCEEFF"/>
          </w:tcPr>
          <w:p>
            <w:pPr>
              <w:spacing w:after="0"/>
              <w:rPr>
                <w:sz w:val="18"/>
                <w:szCs w:val="18"/>
                <w:color w:val="auto"/>
              </w:rPr>
            </w:pP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8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740" w:type="dxa"/>
            <w:vAlign w:val="bottom"/>
          </w:tcPr>
          <w:p>
            <w:pPr>
              <w:spacing w:after="0"/>
              <w:rPr>
                <w:sz w:val="16"/>
                <w:szCs w:val="16"/>
                <w:color w:val="auto"/>
              </w:rPr>
            </w:pPr>
          </w:p>
        </w:tc>
        <w:tc>
          <w:tcPr>
            <w:tcW w:w="9700" w:type="dxa"/>
            <w:vAlign w:val="bottom"/>
            <w:gridSpan w:val="11"/>
          </w:tcPr>
          <w:p>
            <w:pPr>
              <w:ind w:left="20"/>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40" w:type="dxa"/>
            <w:vAlign w:val="bottom"/>
            <w:tcBorders>
              <w:top w:val="single" w:sz="8" w:color="0000FF"/>
            </w:tcBorders>
            <w:gridSpan w:val="9"/>
          </w:tcPr>
          <w:p>
            <w:pPr>
              <w:ind w:left="20"/>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6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0" w:type="dxa"/>
            <w:vAlign w:val="bottom"/>
            <w:tcBorders>
              <w:top w:val="single" w:sz="8" w:color="0000FF"/>
            </w:tcBorders>
          </w:tcPr>
          <w:p>
            <w:pPr>
              <w:spacing w:after="0"/>
              <w:rPr>
                <w:sz w:val="2"/>
                <w:szCs w:val="2"/>
                <w:color w:val="auto"/>
              </w:rPr>
            </w:pPr>
          </w:p>
        </w:tc>
        <w:tc>
          <w:tcPr>
            <w:tcW w:w="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80" w:type="dxa"/>
            <w:vAlign w:val="bottom"/>
            <w:gridSpan w:val="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740" w:type="dxa"/>
            <w:vAlign w:val="bottom"/>
            <w:shd w:val="clear" w:color="auto" w:fill="CCEEFF"/>
          </w:tcPr>
          <w:p>
            <w:pPr>
              <w:spacing w:after="0"/>
              <w:rPr>
                <w:sz w:val="16"/>
                <w:szCs w:val="16"/>
                <w:color w:val="auto"/>
              </w:rPr>
            </w:pPr>
          </w:p>
        </w:tc>
        <w:tc>
          <w:tcPr>
            <w:tcW w:w="9700" w:type="dxa"/>
            <w:vAlign w:val="bottom"/>
            <w:tcBorders>
              <w:right w:val="single" w:sz="8" w:color="CCEEFF"/>
            </w:tcBorders>
            <w:gridSpan w:val="11"/>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w:t>
            </w:r>
          </w:p>
        </w:tc>
        <w:tc>
          <w:tcPr>
            <w:tcW w:w="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0000FF"/>
              <w:bottom w:val="single" w:sz="8" w:color="CCEEFF"/>
            </w:tcBorders>
            <w:shd w:val="clear" w:color="auto" w:fill="CCEEFF"/>
          </w:tcPr>
          <w:p>
            <w:pPr>
              <w:spacing w:after="0"/>
              <w:rPr>
                <w:sz w:val="16"/>
                <w:szCs w:val="16"/>
                <w:color w:val="auto"/>
              </w:rPr>
            </w:pPr>
          </w:p>
        </w:tc>
        <w:tc>
          <w:tcPr>
            <w:tcW w:w="180" w:type="dxa"/>
            <w:vAlign w:val="bottom"/>
            <w:tcBorders>
              <w:top w:val="single" w:sz="8" w:color="0000FF"/>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CCEEFF"/>
              <w:bottom w:val="single" w:sz="8" w:color="CCEEFF"/>
            </w:tcBorders>
            <w:shd w:val="clear" w:color="auto" w:fill="CCEEFF"/>
          </w:tcPr>
          <w:p>
            <w:pPr>
              <w:spacing w:after="0"/>
              <w:rPr>
                <w:sz w:val="16"/>
                <w:szCs w:val="16"/>
                <w:color w:val="auto"/>
              </w:rPr>
            </w:pPr>
          </w:p>
        </w:tc>
        <w:tc>
          <w:tcPr>
            <w:tcW w:w="1400" w:type="dxa"/>
            <w:vAlign w:val="bottom"/>
            <w:tcBorders>
              <w:top w:val="single" w:sz="8" w:color="0000FF"/>
              <w:bottom w:val="single" w:sz="8" w:color="0000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0000FF"/>
                <w:w w:val="97"/>
              </w:rPr>
              <w:t>Oxley Act of 2002.</w:t>
            </w:r>
          </w:p>
        </w:tc>
        <w:tc>
          <w:tcPr>
            <w:tcW w:w="8300" w:type="dxa"/>
            <w:vAlign w:val="bottom"/>
            <w:tcBorders>
              <w:top w:val="single" w:sz="8" w:color="0000FF"/>
              <w:bottom w:val="single" w:sz="8" w:color="CCEEFF"/>
              <w:right w:val="single" w:sz="8" w:color="CCEEFF"/>
            </w:tcBorders>
            <w:gridSpan w:val="10"/>
            <w:shd w:val="clear" w:color="auto" w:fill="CCEEFF"/>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4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700" w:type="dxa"/>
            <w:vAlign w:val="bottom"/>
            <w:gridSpan w:val="11"/>
          </w:tcPr>
          <w:p>
            <w:pPr>
              <w:ind w:left="20"/>
              <w:spacing w:after="0" w:line="198" w:lineRule="exact"/>
              <w:rPr>
                <w:sz w:val="20"/>
                <w:szCs w:val="20"/>
                <w:color w:val="auto"/>
              </w:rPr>
            </w:pPr>
            <w:r>
              <w:rPr>
                <w:rFonts w:ascii="Times New Roman" w:cs="Times New Roman" w:eastAsia="Times New Roman" w:hAnsi="Times New Roman"/>
                <w:sz w:val="18"/>
                <w:szCs w:val="18"/>
                <w:color w:val="auto"/>
              </w:rPr>
              <w:t>The following materials from Apogee Enterprises, Inc.’s Quarterly Report on Form 10-Q for the quarter ended November 26, 2022,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20" w:type="dxa"/>
            <w:vAlign w:val="bottom"/>
            <w:gridSpan w:val="12"/>
          </w:tcPr>
          <w:p>
            <w:pPr>
              <w:ind w:left="20"/>
              <w:spacing w:after="0" w:line="202" w:lineRule="exact"/>
              <w:rPr>
                <w:sz w:val="20"/>
                <w:szCs w:val="20"/>
                <w:color w:val="auto"/>
              </w:rPr>
            </w:pPr>
            <w:r>
              <w:rPr>
                <w:rFonts w:ascii="Times New Roman" w:cs="Times New Roman" w:eastAsia="Times New Roman" w:hAnsi="Times New Roman"/>
                <w:sz w:val="18"/>
                <w:szCs w:val="18"/>
                <w:color w:val="auto"/>
              </w:rPr>
              <w:t>formatted in iXBRL (Inline Extensible Business Reporting Language): (i) the Consolidated Balance Sheets as of November 26, 2022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20" w:type="dxa"/>
            <w:vAlign w:val="bottom"/>
            <w:gridSpan w:val="12"/>
          </w:tcPr>
          <w:p>
            <w:pPr>
              <w:ind w:left="20"/>
              <w:spacing w:after="0" w:line="202" w:lineRule="exact"/>
              <w:rPr>
                <w:sz w:val="20"/>
                <w:szCs w:val="20"/>
                <w:color w:val="auto"/>
              </w:rPr>
            </w:pPr>
            <w:r>
              <w:rPr>
                <w:rFonts w:ascii="Times New Roman" w:cs="Times New Roman" w:eastAsia="Times New Roman" w:hAnsi="Times New Roman"/>
                <w:sz w:val="18"/>
                <w:szCs w:val="18"/>
                <w:color w:val="auto"/>
              </w:rPr>
              <w:t>and February 26, 2022, (ii) the Consolidated Results of Operations for the three- and nine-months ended November 26, 2022 and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20" w:type="dxa"/>
            <w:vAlign w:val="bottom"/>
            <w:gridSpan w:val="12"/>
          </w:tcPr>
          <w:p>
            <w:pPr>
              <w:ind w:left="20"/>
              <w:spacing w:after="0" w:line="202" w:lineRule="exact"/>
              <w:rPr>
                <w:sz w:val="20"/>
                <w:szCs w:val="20"/>
                <w:color w:val="auto"/>
              </w:rPr>
            </w:pPr>
            <w:r>
              <w:rPr>
                <w:rFonts w:ascii="Times New Roman" w:cs="Times New Roman" w:eastAsia="Times New Roman" w:hAnsi="Times New Roman"/>
                <w:sz w:val="18"/>
                <w:szCs w:val="18"/>
                <w:color w:val="auto"/>
              </w:rPr>
              <w:t>November 27, 2021, (iii) the Consolidated Statements of Comprehensive Earnings for the three- and nine-months ended November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20" w:type="dxa"/>
            <w:vAlign w:val="bottom"/>
            <w:gridSpan w:val="12"/>
          </w:tcPr>
          <w:p>
            <w:pPr>
              <w:ind w:left="20"/>
              <w:spacing w:after="0" w:line="202" w:lineRule="exact"/>
              <w:rPr>
                <w:sz w:val="20"/>
                <w:szCs w:val="20"/>
                <w:color w:val="auto"/>
              </w:rPr>
            </w:pPr>
            <w:r>
              <w:rPr>
                <w:rFonts w:ascii="Times New Roman" w:cs="Times New Roman" w:eastAsia="Times New Roman" w:hAnsi="Times New Roman"/>
                <w:sz w:val="18"/>
                <w:szCs w:val="18"/>
                <w:color w:val="auto"/>
              </w:rPr>
              <w:t>26, 2022 and November 27, 2021, (iv) the Consolidated Statements of Cash Flows for the nine-months ended November 26, 2022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20" w:type="dxa"/>
            <w:vAlign w:val="bottom"/>
            <w:gridSpan w:val="12"/>
          </w:tcPr>
          <w:p>
            <w:pPr>
              <w:ind w:left="20"/>
              <w:spacing w:after="0" w:line="202" w:lineRule="exact"/>
              <w:rPr>
                <w:sz w:val="20"/>
                <w:szCs w:val="20"/>
                <w:color w:val="auto"/>
              </w:rPr>
            </w:pPr>
            <w:r>
              <w:rPr>
                <w:rFonts w:ascii="Times New Roman" w:cs="Times New Roman" w:eastAsia="Times New Roman" w:hAnsi="Times New Roman"/>
                <w:sz w:val="18"/>
                <w:szCs w:val="18"/>
                <w:color w:val="auto"/>
              </w:rPr>
              <w:t>and November 27, 2021, (v) the Consolidated Statements of Shareholders' Equity for the three- and nine-months ended November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2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26, 2022 and November 27, 2021, and (vi) Notes to Consolidated Financial Statements.</w:t>
            </w:r>
          </w:p>
        </w:tc>
        <w:tc>
          <w:tcPr>
            <w:tcW w:w="0" w:type="dxa"/>
            <w:vAlign w:val="bottom"/>
          </w:tcPr>
          <w:p>
            <w:pPr>
              <w:spacing w:after="0"/>
              <w:rPr>
                <w:sz w:val="1"/>
                <w:szCs w:val="1"/>
                <w:color w:val="auto"/>
              </w:rPr>
            </w:pPr>
          </w:p>
        </w:tc>
      </w:tr>
      <w:tr>
        <w:trPr>
          <w:trHeight w:val="243"/>
        </w:trPr>
        <w:tc>
          <w:tcPr>
            <w:tcW w:w="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9700" w:type="dxa"/>
            <w:vAlign w:val="bottom"/>
            <w:tcBorders>
              <w:right w:val="single" w:sz="8" w:color="CCEEFF"/>
            </w:tcBorders>
            <w:gridSpan w:val="11"/>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iXBRL and contained in Exhibit 101)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70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Exhibits marked with a (#) sign are filed herewith.</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9"/>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740" w:type="dxa"/>
            <w:vAlign w:val="bottom"/>
            <w:gridSpan w:val="6"/>
          </w:tcPr>
          <w:p>
            <w:pPr>
              <w:jc w:val="right"/>
              <w:ind w:right="3700"/>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APOGEE ENTERPRISES, INC.</w:t>
      </w:r>
    </w:p>
    <w:p>
      <w:pPr>
        <w:spacing w:after="0" w:line="293" w:lineRule="exact"/>
        <w:rPr>
          <w:sz w:val="20"/>
          <w:szCs w:val="20"/>
          <w:color w:val="auto"/>
        </w:rPr>
      </w:pPr>
    </w:p>
    <w:p>
      <w:pPr>
        <w:ind w:left="20"/>
        <w:spacing w:after="0"/>
        <w:tabs>
          <w:tab w:leader="none" w:pos="5560" w:val="left"/>
        </w:tabs>
        <w:rPr>
          <w:sz w:val="20"/>
          <w:szCs w:val="20"/>
          <w:color w:val="auto"/>
        </w:rPr>
      </w:pPr>
      <w:r>
        <w:rPr>
          <w:rFonts w:ascii="Times New Roman" w:cs="Times New Roman" w:eastAsia="Times New Roman" w:hAnsi="Times New Roman"/>
          <w:sz w:val="18"/>
          <w:szCs w:val="18"/>
          <w:color w:val="auto"/>
        </w:rPr>
        <w:t>Date: December 29, 2022</w:t>
      </w:r>
      <w:r>
        <w:rPr>
          <w:sz w:val="20"/>
          <w:szCs w:val="20"/>
          <w:color w:val="auto"/>
        </w:rPr>
        <w:tab/>
      </w:r>
      <w:r>
        <w:rPr>
          <w:rFonts w:ascii="Times New Roman" w:cs="Times New Roman" w:eastAsia="Times New Roman" w:hAnsi="Times New Roman"/>
          <w:sz w:val="17"/>
          <w:szCs w:val="17"/>
          <w:color w:val="auto"/>
        </w:rPr>
        <w:t>By: /s/ Ty R. Silberhorn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17145</wp:posOffset>
            </wp:positionV>
            <wp:extent cx="36087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3608705" cy="8255"/>
                    </a:xfrm>
                    <a:prstGeom prst="rect">
                      <a:avLst/>
                    </a:prstGeom>
                    <a:noFill/>
                  </pic:spPr>
                </pic:pic>
              </a:graphicData>
            </a:graphic>
          </wp:anchor>
        </w:drawing>
      </w:r>
    </w:p>
    <w:p>
      <w:pPr>
        <w:spacing w:after="0" w:line="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Ty R. Silberhorn</w:t>
      </w:r>
    </w:p>
    <w:p>
      <w:pPr>
        <w:ind w:left="6040"/>
        <w:spacing w:after="0" w:line="203" w:lineRule="auto"/>
        <w:rPr>
          <w:sz w:val="20"/>
          <w:szCs w:val="20"/>
          <w:color w:val="auto"/>
        </w:rPr>
      </w:pPr>
      <w:r>
        <w:rPr>
          <w:rFonts w:ascii="Times New Roman" w:cs="Times New Roman" w:eastAsia="Times New Roman" w:hAnsi="Times New Roman"/>
          <w:sz w:val="18"/>
          <w:szCs w:val="18"/>
          <w:color w:val="auto"/>
        </w:rPr>
        <w:t>President and Chief Executive Officer</w:t>
      </w:r>
    </w:p>
    <w:p>
      <w:pPr>
        <w:ind w:left="60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62" w:lineRule="exact"/>
        <w:rPr>
          <w:sz w:val="20"/>
          <w:szCs w:val="20"/>
          <w:color w:val="auto"/>
        </w:rPr>
      </w:pPr>
    </w:p>
    <w:p>
      <w:pPr>
        <w:ind w:left="20"/>
        <w:spacing w:after="0"/>
        <w:tabs>
          <w:tab w:leader="none" w:pos="5540" w:val="left"/>
        </w:tabs>
        <w:rPr>
          <w:sz w:val="20"/>
          <w:szCs w:val="20"/>
          <w:color w:val="auto"/>
        </w:rPr>
      </w:pPr>
      <w:r>
        <w:rPr>
          <w:rFonts w:ascii="Times New Roman" w:cs="Times New Roman" w:eastAsia="Times New Roman" w:hAnsi="Times New Roman"/>
          <w:sz w:val="18"/>
          <w:szCs w:val="18"/>
          <w:color w:val="auto"/>
        </w:rPr>
        <w:t>Date: December 29, 2022</w:t>
      </w:r>
      <w:r>
        <w:rPr>
          <w:sz w:val="20"/>
          <w:szCs w:val="20"/>
          <w:color w:val="auto"/>
        </w:rPr>
        <w:tab/>
      </w:r>
      <w:r>
        <w:rPr>
          <w:rFonts w:ascii="Times New Roman" w:cs="Times New Roman" w:eastAsia="Times New Roman" w:hAnsi="Times New Roman"/>
          <w:sz w:val="17"/>
          <w:szCs w:val="17"/>
          <w:color w:val="auto"/>
        </w:rPr>
        <w:t>By: /s/ Mark R. Augdahl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17145</wp:posOffset>
            </wp:positionV>
            <wp:extent cx="36175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5"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Mark R. Augdahl</w:t>
      </w:r>
    </w:p>
    <w:p>
      <w:pPr>
        <w:ind w:left="6020"/>
        <w:spacing w:after="0" w:line="219" w:lineRule="auto"/>
        <w:rPr>
          <w:sz w:val="20"/>
          <w:szCs w:val="20"/>
          <w:color w:val="auto"/>
        </w:rPr>
      </w:pPr>
      <w:r>
        <w:rPr>
          <w:rFonts w:ascii="Times New Roman" w:cs="Times New Roman" w:eastAsia="Times New Roman" w:hAnsi="Times New Roman"/>
          <w:sz w:val="18"/>
          <w:szCs w:val="18"/>
          <w:color w:val="auto"/>
        </w:rPr>
        <w:t>Interim Chief Financial Officer</w:t>
      </w:r>
    </w:p>
    <w:p>
      <w:pPr>
        <w:ind w:left="60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00"/>
          </w:cols>
          <w:pgMar w:left="320" w:top="121" w:right="37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Ty R. Silberhorn, certify that:</w:t>
      </w:r>
    </w:p>
    <w:p>
      <w:pPr>
        <w:spacing w:after="0" w:line="117" w:lineRule="exact"/>
        <w:rPr>
          <w:sz w:val="20"/>
          <w:szCs w:val="20"/>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Apogee Enterprises, Inc.;</w:t>
      </w:r>
    </w:p>
    <w:p>
      <w:pPr>
        <w:spacing w:after="0" w:line="117"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8" w:lineRule="exact"/>
        <w:rPr>
          <w:rFonts w:ascii="Times New Roman" w:cs="Times New Roman" w:eastAsia="Times New Roman" w:hAnsi="Times New Roman"/>
          <w:sz w:val="17"/>
          <w:szCs w:val="17"/>
          <w:color w:val="auto"/>
        </w:rPr>
      </w:pPr>
    </w:p>
    <w:p>
      <w:pPr>
        <w:ind w:left="2280" w:right="220" w:hanging="652"/>
        <w:spacing w:after="0" w:line="266" w:lineRule="auto"/>
        <w:tabs>
          <w:tab w:leader="none" w:pos="195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280" w:right="60" w:hanging="652"/>
        <w:spacing w:after="0" w:line="266" w:lineRule="auto"/>
        <w:tabs>
          <w:tab w:leader="none" w:pos="196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2280" w:right="60" w:hanging="652"/>
        <w:spacing w:after="0" w:line="266" w:lineRule="auto"/>
        <w:tabs>
          <w:tab w:leader="none" w:pos="195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280" w:hanging="652"/>
        <w:spacing w:after="0" w:line="266" w:lineRule="auto"/>
        <w:tabs>
          <w:tab w:leader="none" w:pos="196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2280" w:right="120" w:hanging="652"/>
        <w:spacing w:after="0" w:line="266" w:lineRule="auto"/>
        <w:tabs>
          <w:tab w:leader="none" w:pos="195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280" w:right="140" w:hanging="652"/>
        <w:spacing w:after="0" w:line="282" w:lineRule="auto"/>
        <w:tabs>
          <w:tab w:leader="none" w:pos="196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29, 2022</w:t>
      </w:r>
    </w:p>
    <w:p>
      <w:pPr>
        <w:spacing w:after="0" w:line="7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/s/ Ty R. Silberhorn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43180</wp:posOffset>
            </wp:positionV>
            <wp:extent cx="27863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84"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Ty R. Silberhorn</w:t>
      </w:r>
    </w:p>
    <w:p>
      <w:pPr>
        <w:spacing w:after="0" w:line="2"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914"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R. Augdahl, certify that:</w:t>
      </w:r>
    </w:p>
    <w:p>
      <w:pPr>
        <w:spacing w:after="0" w:line="117" w:lineRule="exact"/>
        <w:rPr>
          <w:sz w:val="20"/>
          <w:szCs w:val="20"/>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Apogee Enterprises, Inc.;</w:t>
      </w:r>
    </w:p>
    <w:p>
      <w:pPr>
        <w:spacing w:after="0" w:line="117"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8" w:lineRule="exact"/>
        <w:rPr>
          <w:rFonts w:ascii="Times New Roman" w:cs="Times New Roman" w:eastAsia="Times New Roman" w:hAnsi="Times New Roman"/>
          <w:sz w:val="17"/>
          <w:szCs w:val="17"/>
          <w:color w:val="auto"/>
        </w:rPr>
      </w:pPr>
    </w:p>
    <w:p>
      <w:pPr>
        <w:ind w:left="2280" w:right="20" w:hanging="652"/>
        <w:spacing w:after="0" w:line="266" w:lineRule="auto"/>
        <w:tabs>
          <w:tab w:leader="none" w:pos="227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280" w:right="440" w:hanging="652"/>
        <w:spacing w:after="0" w:line="289" w:lineRule="auto"/>
        <w:tabs>
          <w:tab w:leader="none" w:pos="2268"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jc w:val="both"/>
        <w:ind w:left="2280" w:right="20" w:hanging="652"/>
        <w:spacing w:after="0" w:line="266" w:lineRule="auto"/>
        <w:tabs>
          <w:tab w:leader="none" w:pos="227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280" w:right="20" w:hanging="652"/>
        <w:spacing w:after="0" w:line="266" w:lineRule="auto"/>
        <w:tabs>
          <w:tab w:leader="none" w:pos="226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2280" w:right="280" w:hanging="652"/>
        <w:spacing w:after="0" w:line="266" w:lineRule="auto"/>
        <w:tabs>
          <w:tab w:leader="none" w:pos="227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280" w:right="680" w:hanging="652"/>
        <w:spacing w:after="0" w:line="282" w:lineRule="auto"/>
        <w:tabs>
          <w:tab w:leader="none" w:pos="226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29, 2022</w:t>
      </w:r>
    </w:p>
    <w:p>
      <w:pPr>
        <w:spacing w:after="0" w:line="333"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/s/ Mark R. Augdahl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17145</wp:posOffset>
            </wp:positionV>
            <wp:extent cx="27863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Mark R. Augdahl</w:t>
      </w:r>
    </w:p>
    <w:p>
      <w:pPr>
        <w:ind w:left="6840"/>
        <w:spacing w:after="0"/>
        <w:rPr>
          <w:sz w:val="20"/>
          <w:szCs w:val="20"/>
          <w:color w:val="auto"/>
        </w:rPr>
      </w:pPr>
      <w:r>
        <w:rPr>
          <w:rFonts w:ascii="Times New Roman" w:cs="Times New Roman" w:eastAsia="Times New Roman" w:hAnsi="Times New Roman"/>
          <w:sz w:val="18"/>
          <w:szCs w:val="18"/>
          <w:color w:val="auto"/>
        </w:rPr>
        <w:t>Interim Chief Financial Officer</w:t>
      </w:r>
    </w:p>
    <w:p>
      <w:pPr>
        <w:sectPr>
          <w:pgSz w:w="11900" w:h="16838" w:orient="portrait"/>
          <w:cols w:equalWidth="0" w:num="1">
            <w:col w:w="11240"/>
          </w:cols>
          <w:pgMar w:left="320" w:top="887"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Apogee Enterprises, Inc. (the “Company”) on Form 10-Q for the period ended November 26, 2022 as filed with the Securities and Exchange Commission (the “Report”), I, Ty R. Silberhorn, Chief Executive Officer of the Company, certify, pursuant to 18 U.S.C.</w:t>
      </w:r>
    </w:p>
    <w:p>
      <w:pPr>
        <w:ind w:left="140" w:hanging="132"/>
        <w:spacing w:after="0"/>
        <w:tabs>
          <w:tab w:leader="none" w:pos="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1350, as adopted pursuant to § 906 of the Sarbanes-Oxley Act of 2002, that based on my knowledge:</w:t>
      </w:r>
    </w:p>
    <w:p>
      <w:pPr>
        <w:spacing w:after="0" w:line="1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Ty R. Silberhorn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774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Ty R. Silberhorn</w:t>
      </w: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29, 2022</w:t>
      </w:r>
    </w:p>
    <w:p>
      <w:pPr>
        <w:sectPr>
          <w:pgSz w:w="11900" w:h="16838" w:orient="portrait"/>
          <w:cols w:equalWidth="0" w:num="1">
            <w:col w:w="11240"/>
          </w:cols>
          <w:pgMar w:left="320" w:top="887"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Apogee Enterprises, Inc. (the “Company”) on Form 10-Q for the period ended November 26, 2022 as filed with the Securities and Exchange Commission (the “Report”), I, Mark R. Augdahl, Interim Chief Financial Officer of the Company, certify, pursuant to 18 U.S.C. § 1350, as adopted pursuant to § 906 of the Sarbanes-Oxley Act of 2002, that based on my knowledge:</w:t>
      </w:r>
    </w:p>
    <w:p>
      <w:pPr>
        <w:spacing w:after="0" w:line="122" w:lineRule="exact"/>
        <w:rPr>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Mark R. Augdahl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774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 R. Augdahl</w:t>
      </w:r>
    </w:p>
    <w:p>
      <w:pPr>
        <w:ind w:left="2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29, 2022</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2"/>
    </w:lvl>
  </w:abstractNum>
  <w:abstractNum w:abstractNumId="4">
    <w:nsid w:val="DED7263"/>
    <w:multiLevelType w:val="hybridMultilevel"/>
    <w:lvl w:ilvl="0">
      <w:lvlJc w:val="left"/>
      <w:lvlText w:val="%1."/>
      <w:numFmt w:val="decimal"/>
      <w:start w:val="3"/>
    </w:lvl>
  </w:abstractNum>
  <w:abstractNum w:abstractNumId="5">
    <w:nsid w:val="7FDCC233"/>
    <w:multiLevelType w:val="hybridMultilevel"/>
    <w:lvl w:ilvl="0">
      <w:lvlJc w:val="left"/>
      <w:lvlText w:val="%1."/>
      <w:numFmt w:val="decimal"/>
      <w:start w:val="4"/>
    </w:lvl>
  </w:abstractNum>
  <w:abstractNum w:abstractNumId="6">
    <w:nsid w:val="1BEFD79F"/>
    <w:multiLevelType w:val="hybridMultilevel"/>
    <w:lvl w:ilvl="0">
      <w:lvlJc w:val="left"/>
      <w:lvlText w:val="%1."/>
      <w:numFmt w:val="decimal"/>
      <w:start w:val="5"/>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6"/>
    </w:lvl>
  </w:abstractNum>
  <w:abstractNum w:abstractNumId="9">
    <w:nsid w:val="4E6AFB66"/>
    <w:multiLevelType w:val="hybridMultilevel"/>
    <w:lvl w:ilvl="0">
      <w:lvlJc w:val="left"/>
      <w:lvlText w:val="%1."/>
      <w:numFmt w:val="decimal"/>
      <w:start w:val="8"/>
    </w:lvl>
  </w:abstractNum>
  <w:abstractNum w:abstractNumId="10">
    <w:nsid w:val="25E45D32"/>
    <w:multiLevelType w:val="hybridMultilevel"/>
    <w:lvl w:ilvl="0">
      <w:lvlJc w:val="left"/>
      <w:lvlText w:val="%1."/>
      <w:numFmt w:val="decimal"/>
      <w:start w:val="9"/>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3"/>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2"/>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
      <w:numFmt w:val="bullet"/>
      <w:start w:val="1"/>
    </w:lvl>
    <w:lvl w:ilvl="1">
      <w:lvlJc w:val="left"/>
      <w:lvlText w:val="(%2)"/>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49" Type="http://schemas.openxmlformats.org/officeDocument/2006/relationships/hyperlink" Target="http://www.sec.gov/Archives/edgar/data/6845/000119312504079352/dex31.htm" TargetMode="External"/><Relationship Id="rId50" Type="http://schemas.openxmlformats.org/officeDocument/2006/relationships/hyperlink" Target="http://www.sec.gov/Archives/edgar/data/6845/000119312520008887/d874518dex31.htm" TargetMode="External"/><Relationship Id="rId51" Type="http://schemas.openxmlformats.org/officeDocument/2006/relationships/hyperlink" Target="http://www.sec.gov/Archives/edgar/data/0000006845/000000684521000020/apog-ex33arbylawsfinalapr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2022-12-29T14:01:14Z</dcterms:created>
  <dcterms:modified xsi:type="dcterms:W3CDTF">2022-12-29T14:01:14Z</dcterms:modified>
</cp:coreProperties>
</file>