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500" w:hanging="474"/>
        <w:spacing w:after="0" w:line="195" w:lineRule="auto"/>
        <w:tabs>
          <w:tab w:leader="none" w:pos="50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November 25, 2023</w:t>
      </w:r>
    </w:p>
    <w:p>
      <w:pPr>
        <w:ind w:left="480" w:hanging="454"/>
        <w:spacing w:after="0" w:line="206" w:lineRule="auto"/>
        <w:tabs>
          <w:tab w:leader="none" w:pos="48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5" w:lineRule="exact"/>
        <w:rPr>
          <w:sz w:val="24"/>
          <w:szCs w:val="24"/>
          <w:color w:val="auto"/>
        </w:rPr>
      </w:pPr>
    </w:p>
    <w:p>
      <w:pPr>
        <w:ind w:left="398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0-6365</w:t>
      </w:r>
    </w:p>
    <w:p>
      <w:pPr>
        <w:spacing w:after="0" w:line="5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APOGEE ENTERPRISES,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7" w:lineRule="exact"/>
        <w:rPr>
          <w:sz w:val="24"/>
          <w:szCs w:val="24"/>
          <w:color w:val="auto"/>
        </w:rPr>
      </w:pPr>
    </w:p>
    <w:p>
      <w:pPr>
        <w:ind w:left="1860"/>
        <w:spacing w:after="0"/>
        <w:tabs>
          <w:tab w:leader="none" w:pos="8820" w:val="left"/>
        </w:tabs>
        <w:rPr>
          <w:sz w:val="20"/>
          <w:szCs w:val="20"/>
          <w:color w:val="auto"/>
        </w:rPr>
      </w:pP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7"/>
          <w:szCs w:val="17"/>
          <w:b w:val="1"/>
          <w:bCs w:val="1"/>
          <w:color w:val="auto"/>
        </w:rPr>
        <w:t>41-0919654</w:t>
      </w:r>
    </w:p>
    <w:p>
      <w:pPr>
        <w:spacing w:after="0" w:line="37" w:lineRule="exact"/>
        <w:rPr>
          <w:sz w:val="24"/>
          <w:szCs w:val="24"/>
          <w:color w:val="auto"/>
        </w:rPr>
      </w:pPr>
    </w:p>
    <w:p>
      <w:pPr>
        <w:ind w:left="540"/>
        <w:spacing w:after="0"/>
        <w:tabs>
          <w:tab w:leader="none" w:pos="820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92" w:lineRule="exact"/>
        <w:rPr>
          <w:sz w:val="24"/>
          <w:szCs w:val="24"/>
          <w:color w:val="auto"/>
        </w:rPr>
      </w:pPr>
    </w:p>
    <w:p>
      <w:pPr>
        <w:ind w:left="1080"/>
        <w:spacing w:after="0"/>
        <w:tabs>
          <w:tab w:leader="none" w:pos="4700" w:val="left"/>
          <w:tab w:leader="none" w:pos="6120" w:val="left"/>
          <w:tab w:leader="none" w:pos="9020" w:val="left"/>
        </w:tabs>
        <w:rPr>
          <w:sz w:val="20"/>
          <w:szCs w:val="20"/>
          <w:color w:val="auto"/>
        </w:rPr>
      </w:pPr>
      <w:r>
        <w:rPr>
          <w:rFonts w:ascii="Times New Roman" w:cs="Times New Roman" w:eastAsia="Times New Roman" w:hAnsi="Times New Roman"/>
          <w:sz w:val="17"/>
          <w:szCs w:val="17"/>
          <w:b w:val="1"/>
          <w:bCs w:val="1"/>
          <w:color w:val="auto"/>
        </w:rPr>
        <w:t>4400 West 78th Street, Suite 520</w:t>
      </w:r>
      <w:r>
        <w:rPr>
          <w:sz w:val="20"/>
          <w:szCs w:val="20"/>
          <w:color w:val="auto"/>
        </w:rPr>
        <w:tab/>
      </w:r>
      <w:r>
        <w:rPr>
          <w:rFonts w:ascii="Times New Roman" w:cs="Times New Roman" w:eastAsia="Times New Roman" w:hAnsi="Times New Roman"/>
          <w:sz w:val="17"/>
          <w:szCs w:val="17"/>
          <w:b w:val="1"/>
          <w:bCs w:val="1"/>
          <w:color w:val="auto"/>
        </w:rPr>
        <w:t>Minneapolis</w:t>
      </w:r>
      <w:r>
        <w:rPr>
          <w:sz w:val="20"/>
          <w:szCs w:val="20"/>
          <w:color w:val="auto"/>
        </w:rPr>
        <w:tab/>
      </w: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6"/>
          <w:szCs w:val="16"/>
          <w:b w:val="1"/>
          <w:bCs w:val="1"/>
          <w:color w:val="auto"/>
        </w:rPr>
        <w:t>55435</w:t>
      </w:r>
    </w:p>
    <w:p>
      <w:pPr>
        <w:spacing w:after="0" w:line="37" w:lineRule="exact"/>
        <w:rPr>
          <w:sz w:val="24"/>
          <w:szCs w:val="24"/>
          <w:color w:val="auto"/>
        </w:rPr>
      </w:pPr>
    </w:p>
    <w:p>
      <w:pPr>
        <w:ind w:left="1100"/>
        <w:spacing w:after="0"/>
        <w:tabs>
          <w:tab w:leader="none" w:pos="8920" w:val="left"/>
        </w:tabs>
        <w:rPr>
          <w:sz w:val="20"/>
          <w:szCs w:val="20"/>
          <w:color w:val="auto"/>
        </w:rPr>
      </w:pPr>
      <w:r>
        <w:rPr>
          <w:rFonts w:ascii="Times New Roman" w:cs="Times New Roman" w:eastAsia="Times New Roman" w:hAnsi="Times New Roman"/>
          <w:sz w:val="14"/>
          <w:szCs w:val="14"/>
          <w:color w:val="auto"/>
        </w:rPr>
        <w:t>(Address of principal executive offices)</w:t>
      </w:r>
      <w:r>
        <w:rPr>
          <w:sz w:val="20"/>
          <w:szCs w:val="20"/>
          <w:color w:val="auto"/>
        </w:rPr>
        <w:tab/>
      </w:r>
      <w:r>
        <w:rPr>
          <w:rFonts w:ascii="Times New Roman" w:cs="Times New Roman" w:eastAsia="Times New Roman" w:hAnsi="Times New Roman"/>
          <w:sz w:val="14"/>
          <w:szCs w:val="14"/>
          <w:color w:val="auto"/>
        </w:rPr>
        <w:t>(Zip Code)</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(952) 835-1874</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ind w:left="1460"/>
        <w:spacing w:after="0"/>
        <w:tabs>
          <w:tab w:leader="none" w:pos="4860" w:val="left"/>
          <w:tab w:leader="none" w:pos="73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ind w:left="500"/>
        <w:spacing w:after="0"/>
        <w:tabs>
          <w:tab w:leader="none" w:pos="5320" w:val="left"/>
          <w:tab w:leader="none" w:pos="7920" w:val="left"/>
        </w:tabs>
        <w:rPr>
          <w:sz w:val="20"/>
          <w:szCs w:val="20"/>
          <w:color w:val="auto"/>
        </w:rPr>
      </w:pPr>
      <w:r>
        <w:rPr>
          <w:rFonts w:ascii="Times New Roman" w:cs="Times New Roman" w:eastAsia="Times New Roman" w:hAnsi="Times New Roman"/>
          <w:sz w:val="18"/>
          <w:szCs w:val="18"/>
          <w:color w:val="auto"/>
        </w:rPr>
        <w:t>Common stock, par value $0.33 1/3 per share</w:t>
      </w:r>
      <w:r>
        <w:rPr>
          <w:sz w:val="20"/>
          <w:szCs w:val="20"/>
          <w:color w:val="auto"/>
        </w:rPr>
        <w:tab/>
      </w:r>
      <w:r>
        <w:rPr>
          <w:rFonts w:ascii="Times New Roman" w:cs="Times New Roman" w:eastAsia="Times New Roman" w:hAnsi="Times New Roman"/>
          <w:sz w:val="18"/>
          <w:szCs w:val="18"/>
          <w:color w:val="auto"/>
        </w:rPr>
        <w:t>APOG</w:t>
      </w:r>
      <w:r>
        <w:rPr>
          <w:sz w:val="20"/>
          <w:szCs w:val="20"/>
          <w:color w:val="auto"/>
        </w:rPr>
        <w:tab/>
      </w:r>
      <w:r>
        <w:rPr>
          <w:rFonts w:ascii="Times New Roman" w:cs="Times New Roman" w:eastAsia="Times New Roman" w:hAnsi="Times New Roman"/>
          <w:sz w:val="17"/>
          <w:szCs w:val="17"/>
          <w:color w:val="auto"/>
        </w:rPr>
        <w:t>The Nasdaq Stock Market LLC</w:t>
      </w:r>
    </w:p>
    <w:p>
      <w:pPr>
        <w:spacing w:after="0" w:line="9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2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08"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08" w:right="339" w:bottom="1440" w:gutter="0" w:footer="0" w:header="0"/>
        </w:sectPr>
      </w:pPr>
    </w:p>
    <w:p>
      <w:pPr>
        <w:spacing w:after="0" w:line="17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460"/>
              <w:spacing w:after="0"/>
              <w:rPr>
                <w:sz w:val="20"/>
                <w:szCs w:val="20"/>
                <w:color w:val="auto"/>
              </w:rPr>
            </w:pPr>
            <w:r>
              <w:rPr>
                <w:rFonts w:ascii="Wingdings" w:cs="Wingdings" w:eastAsia="Wingdings" w:hAnsi="Wingdings"/>
                <w:sz w:val="18"/>
                <w:szCs w:val="18"/>
                <w:b w:val="1"/>
                <w:bCs w:val="1"/>
                <w:color w:val="auto"/>
              </w:rPr>
              <w:t>x</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460"/>
              <w:spacing w:after="0"/>
              <w:rPr>
                <w:sz w:val="20"/>
                <w:szCs w:val="20"/>
                <w:color w:val="auto"/>
              </w:rPr>
            </w:pPr>
            <w:r>
              <w:rPr>
                <w:rFonts w:ascii="Wingdings" w:cs="Wingdings" w:eastAsia="Wingdings" w:hAnsi="Wingdings"/>
                <w:sz w:val="18"/>
                <w:szCs w:val="18"/>
                <w:b w:val="1"/>
                <w:bCs w:val="1"/>
                <w:color w:val="auto"/>
              </w:rPr>
              <w:t>o</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29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spacing w:after="0"/>
              <w:rPr>
                <w:sz w:val="24"/>
                <w:szCs w:val="24"/>
                <w:color w:val="auto"/>
              </w:rPr>
            </w:pPr>
          </w:p>
        </w:tc>
      </w:tr>
    </w:tbl>
    <w:p>
      <w:pPr>
        <w:ind w:left="20"/>
        <w:spacing w:after="0" w:line="233"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28" w:lineRule="exact"/>
        <w:rPr>
          <w:sz w:val="24"/>
          <w:szCs w:val="24"/>
          <w:color w:val="auto"/>
        </w:rPr>
      </w:pPr>
    </w:p>
    <w:p>
      <w:pPr>
        <w:jc w:val="center"/>
        <w:ind w:right="52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080" w:space="480"/>
            <w:col w:w="680"/>
          </w:cols>
          <w:pgMar w:left="320" w:top="1208" w:right="339" w:bottom="1440" w:gutter="0" w:footer="0" w:header="0"/>
          <w:type w:val="continuous"/>
        </w:sectPr>
      </w:pPr>
    </w:p>
    <w:bookmarkStart w:id="1" w:name="page2"/>
    <w:bookmarkEnd w:id="1"/>
    <w:p>
      <w:pPr>
        <w:ind w:right="599"/>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As of December 29, 2023, 22,085,098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95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APOGEE ENTERPRISES, INC. AND SUBSIDIARIES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440" w:type="dxa"/>
            <w:vAlign w:val="bottom"/>
            <w:gridSpan w:val="6"/>
          </w:tcPr>
          <w:p>
            <w:pPr>
              <w:ind w:left="26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4760" w:type="dxa"/>
            <w:vAlign w:val="bottom"/>
            <w:gridSpan w:val="10"/>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000" w:type="dxa"/>
            <w:vAlign w:val="bottom"/>
            <w:gridSpan w:val="7"/>
          </w:tcPr>
          <w:p>
            <w:pPr>
              <w:spacing w:after="0"/>
              <w:rPr>
                <w:sz w:val="22"/>
                <w:szCs w:val="22"/>
                <w:color w:val="auto"/>
              </w:rPr>
            </w:pP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Results of Operations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Earnings</w:t>
            </w:r>
          </w:p>
        </w:tc>
        <w:tc>
          <w:tcPr>
            <w:tcW w:w="2620" w:type="dxa"/>
            <w:vAlign w:val="bottom"/>
            <w:gridSpan w:val="2"/>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2940" w:type="dxa"/>
            <w:vAlign w:val="bottom"/>
            <w:gridSpan w:val="3"/>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320" w:type="dxa"/>
            <w:vAlign w:val="bottom"/>
            <w:tcBorders>
              <w:top w:val="single" w:sz="8" w:color="0000FF"/>
            </w:tcBorders>
            <w:gridSpan w:val="2"/>
          </w:tcPr>
          <w:p>
            <w:pPr>
              <w:spacing w:after="0"/>
              <w:rPr>
                <w:sz w:val="22"/>
                <w:szCs w:val="22"/>
                <w:color w:val="auto"/>
              </w:rPr>
            </w:pPr>
          </w:p>
        </w:tc>
        <w:tc>
          <w:tcPr>
            <w:tcW w:w="4700" w:type="dxa"/>
            <w:vAlign w:val="bottom"/>
            <w:gridSpan w:val="9"/>
          </w:tcPr>
          <w:p>
            <w:pPr>
              <w:spacing w:after="0"/>
              <w:rPr>
                <w:sz w:val="22"/>
                <w:szCs w:val="22"/>
                <w:color w:val="auto"/>
              </w:rPr>
            </w:pP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2"/>
                <w:szCs w:val="22"/>
                <w:color w:val="auto"/>
              </w:rPr>
            </w:pPr>
          </w:p>
        </w:tc>
        <w:tc>
          <w:tcPr>
            <w:tcW w:w="516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160" w:type="dxa"/>
            <w:vAlign w:val="bottom"/>
            <w:gridSpan w:val="1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22"/>
                <w:szCs w:val="22"/>
                <w:color w:val="auto"/>
              </w:rPr>
            </w:pPr>
          </w:p>
        </w:tc>
        <w:tc>
          <w:tcPr>
            <w:tcW w:w="516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40" w:type="dxa"/>
            <w:vAlign w:val="bottom"/>
          </w:tcPr>
          <w:p>
            <w:pPr>
              <w:spacing w:after="0"/>
              <w:rPr>
                <w:sz w:val="22"/>
                <w:szCs w:val="22"/>
                <w:color w:val="auto"/>
              </w:rPr>
            </w:pP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4"/>
          </w:tcPr>
          <w:p>
            <w:pPr>
              <w:ind w:left="4240"/>
              <w:spacing w:after="0"/>
              <w:rPr>
                <w:sz w:val="20"/>
                <w:szCs w:val="20"/>
                <w:color w:val="auto"/>
              </w:rPr>
            </w:pPr>
            <w:r>
              <w:rPr>
                <w:rFonts w:ascii="Times New Roman" w:cs="Times New Roman" w:eastAsia="Times New Roman" w:hAnsi="Times New Roman"/>
                <w:sz w:val="17"/>
                <w:szCs w:val="17"/>
                <w:color w:val="auto"/>
                <w:w w:val="70"/>
              </w:rPr>
              <w:t>3</w:t>
            </w:r>
          </w:p>
        </w:tc>
        <w:tc>
          <w:tcPr>
            <w:tcW w:w="2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6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58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2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stock data)</w:t>
            </w:r>
          </w:p>
        </w:tc>
        <w:tc>
          <w:tcPr>
            <w:tcW w:w="14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November 25, 2023</w:t>
            </w:r>
          </w:p>
        </w:tc>
        <w:tc>
          <w:tcPr>
            <w:tcW w:w="160" w:type="dxa"/>
            <w:vAlign w:val="bottom"/>
          </w:tcPr>
          <w:p>
            <w:pPr>
              <w:spacing w:after="0"/>
              <w:rPr>
                <w:sz w:val="24"/>
                <w:szCs w:val="24"/>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February 25, 2023</w:t>
            </w:r>
          </w:p>
        </w:tc>
        <w:tc>
          <w:tcPr>
            <w:tcW w:w="0" w:type="dxa"/>
            <w:vAlign w:val="bottom"/>
          </w:tcPr>
          <w:p>
            <w:pPr>
              <w:spacing w:after="0"/>
              <w:rPr>
                <w:sz w:val="1"/>
                <w:szCs w:val="1"/>
                <w:color w:val="auto"/>
              </w:rPr>
            </w:pPr>
          </w:p>
        </w:tc>
      </w:tr>
      <w:tr>
        <w:trPr>
          <w:trHeight w:val="226"/>
        </w:trPr>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top w:val="single" w:sz="8" w:color="auto"/>
            </w:tcBorders>
            <w:shd w:val="clear" w:color="auto" w:fill="CCEEFF"/>
          </w:tcPr>
          <w:p>
            <w:pPr>
              <w:spacing w:after="0"/>
              <w:rPr>
                <w:sz w:val="19"/>
                <w:szCs w:val="19"/>
                <w:color w:val="auto"/>
              </w:rPr>
            </w:pPr>
          </w:p>
        </w:tc>
        <w:tc>
          <w:tcPr>
            <w:tcW w:w="6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19,924</w:t>
            </w:r>
          </w:p>
        </w:tc>
        <w:tc>
          <w:tcPr>
            <w:tcW w:w="0" w:type="dxa"/>
            <w:vAlign w:val="bottom"/>
          </w:tcPr>
          <w:p>
            <w:pPr>
              <w:spacing w:after="0"/>
              <w:rPr>
                <w:sz w:val="1"/>
                <w:szCs w:val="1"/>
                <w:color w:val="auto"/>
              </w:rPr>
            </w:pPr>
          </w:p>
        </w:tc>
      </w:tr>
      <w:tr>
        <w:trPr>
          <w:trHeight w:val="229"/>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29"/>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197,267</w:t>
            </w:r>
          </w:p>
        </w:tc>
        <w:tc>
          <w:tcPr>
            <w:tcW w:w="0" w:type="dxa"/>
            <w:vAlign w:val="bottom"/>
          </w:tcPr>
          <w:p>
            <w:pPr>
              <w:spacing w:after="0"/>
              <w:rPr>
                <w:sz w:val="1"/>
                <w:szCs w:val="1"/>
                <w:color w:val="auto"/>
              </w:rPr>
            </w:pPr>
          </w:p>
        </w:tc>
      </w:tr>
      <w:tr>
        <w:trPr>
          <w:trHeight w:val="230"/>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78,441</w:t>
            </w:r>
          </w:p>
        </w:tc>
        <w:tc>
          <w:tcPr>
            <w:tcW w:w="0" w:type="dxa"/>
            <w:vAlign w:val="bottom"/>
          </w:tcPr>
          <w:p>
            <w:pPr>
              <w:spacing w:after="0"/>
              <w:rPr>
                <w:sz w:val="1"/>
                <w:szCs w:val="1"/>
                <w:color w:val="auto"/>
              </w:rPr>
            </w:pPr>
          </w:p>
        </w:tc>
      </w:tr>
      <w:tr>
        <w:trPr>
          <w:trHeight w:val="229"/>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59,403</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gridSpan w:val="4"/>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26,517</w:t>
            </w: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72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383,101</w:t>
            </w:r>
          </w:p>
        </w:tc>
        <w:tc>
          <w:tcPr>
            <w:tcW w:w="0" w:type="dxa"/>
            <w:vAlign w:val="bottom"/>
          </w:tcPr>
          <w:p>
            <w:pPr>
              <w:spacing w:after="0"/>
              <w:rPr>
                <w:sz w:val="1"/>
                <w:szCs w:val="1"/>
                <w:color w:val="auto"/>
              </w:rPr>
            </w:pPr>
          </w:p>
        </w:tc>
      </w:tr>
      <w:tr>
        <w:trPr>
          <w:trHeight w:val="223"/>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$454,659 and $431,710</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248,867</w:t>
            </w:r>
          </w:p>
        </w:tc>
        <w:tc>
          <w:tcPr>
            <w:tcW w:w="0" w:type="dxa"/>
            <w:vAlign w:val="bottom"/>
          </w:tcPr>
          <w:p>
            <w:pPr>
              <w:spacing w:after="0"/>
              <w:rPr>
                <w:sz w:val="1"/>
                <w:szCs w:val="1"/>
                <w:color w:val="auto"/>
              </w:rPr>
            </w:pPr>
          </w:p>
        </w:tc>
      </w:tr>
      <w:tr>
        <w:trPr>
          <w:trHeight w:val="229"/>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41,354</w:t>
            </w:r>
          </w:p>
        </w:tc>
        <w:tc>
          <w:tcPr>
            <w:tcW w:w="0" w:type="dxa"/>
            <w:vAlign w:val="bottom"/>
          </w:tcPr>
          <w:p>
            <w:pPr>
              <w:spacing w:after="0"/>
              <w:rPr>
                <w:sz w:val="1"/>
                <w:szCs w:val="1"/>
                <w:color w:val="auto"/>
              </w:rPr>
            </w:pP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129,026</w:t>
            </w: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67,375</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45,642</w:t>
            </w:r>
          </w:p>
        </w:tc>
        <w:tc>
          <w:tcPr>
            <w:tcW w:w="0" w:type="dxa"/>
            <w:vAlign w:val="bottom"/>
          </w:tcPr>
          <w:p>
            <w:pPr>
              <w:spacing w:after="0"/>
              <w:rPr>
                <w:sz w:val="1"/>
                <w:szCs w:val="1"/>
                <w:color w:val="auto"/>
              </w:rPr>
            </w:pPr>
          </w:p>
        </w:tc>
      </w:tr>
      <w:tr>
        <w:trPr>
          <w:trHeight w:val="248"/>
        </w:trPr>
        <w:tc>
          <w:tcPr>
            <w:tcW w:w="62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915,365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6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86,549</w:t>
            </w: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51,651</w:t>
            </w:r>
          </w:p>
        </w:tc>
        <w:tc>
          <w:tcPr>
            <w:tcW w:w="0" w:type="dxa"/>
            <w:vAlign w:val="bottom"/>
          </w:tcPr>
          <w:p>
            <w:pPr>
              <w:spacing w:after="0"/>
              <w:rPr>
                <w:sz w:val="1"/>
                <w:szCs w:val="1"/>
                <w:color w:val="auto"/>
              </w:rPr>
            </w:pPr>
          </w:p>
        </w:tc>
      </w:tr>
      <w:tr>
        <w:trPr>
          <w:trHeight w:val="230"/>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28,011</w:t>
            </w: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gridSpan w:val="4"/>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64,532</w:t>
            </w: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72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242,549</w:t>
            </w:r>
          </w:p>
        </w:tc>
        <w:tc>
          <w:tcPr>
            <w:tcW w:w="0" w:type="dxa"/>
            <w:vAlign w:val="bottom"/>
          </w:tcPr>
          <w:p>
            <w:pPr>
              <w:spacing w:after="0"/>
              <w:rPr>
                <w:sz w:val="1"/>
                <w:szCs w:val="1"/>
                <w:color w:val="auto"/>
              </w:rPr>
            </w:pPr>
          </w:p>
        </w:tc>
      </w:tr>
      <w:tr>
        <w:trPr>
          <w:trHeight w:val="223"/>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169,837</w:t>
            </w:r>
          </w:p>
        </w:tc>
        <w:tc>
          <w:tcPr>
            <w:tcW w:w="0" w:type="dxa"/>
            <w:vAlign w:val="bottom"/>
          </w:tcPr>
          <w:p>
            <w:pPr>
              <w:spacing w:after="0"/>
              <w:rPr>
                <w:sz w:val="1"/>
                <w:szCs w:val="1"/>
                <w:color w:val="auto"/>
              </w:rPr>
            </w:pPr>
          </w:p>
        </w:tc>
      </w:tr>
      <w:tr>
        <w:trPr>
          <w:trHeight w:val="229"/>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33,072</w:t>
            </w:r>
          </w:p>
        </w:tc>
        <w:tc>
          <w:tcPr>
            <w:tcW w:w="0" w:type="dxa"/>
            <w:vAlign w:val="bottom"/>
          </w:tcPr>
          <w:p>
            <w:pPr>
              <w:spacing w:after="0"/>
              <w:rPr>
                <w:sz w:val="1"/>
                <w:szCs w:val="1"/>
                <w:color w:val="auto"/>
              </w:rPr>
            </w:pPr>
          </w:p>
        </w:tc>
      </w:tr>
      <w:tr>
        <w:trPr>
          <w:trHeight w:val="230"/>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Non-current self-insurance reserves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29,316</w:t>
            </w: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44,183</w:t>
            </w:r>
          </w:p>
        </w:tc>
        <w:tc>
          <w:tcPr>
            <w:tcW w:w="0" w:type="dxa"/>
            <w:vAlign w:val="bottom"/>
          </w:tcPr>
          <w:p>
            <w:pPr>
              <w:spacing w:after="0"/>
              <w:rPr>
                <w:sz w:val="1"/>
                <w:szCs w:val="1"/>
                <w:color w:val="auto"/>
              </w:rPr>
            </w:pPr>
          </w:p>
        </w:tc>
      </w:tr>
      <w:tr>
        <w:trPr>
          <w:trHeight w:val="230"/>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7)</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860" w:type="dxa"/>
            <w:vAlign w:val="bottom"/>
            <w:gridSpan w:val="4"/>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of $0.33-1/3 par value; authorized 50,000,000 shares; issued and outstanding</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22,085,098 and 22,224,299, respectively</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146,816</w:t>
            </w:r>
          </w:p>
        </w:tc>
        <w:tc>
          <w:tcPr>
            <w:tcW w:w="0" w:type="dxa"/>
            <w:vAlign w:val="bottom"/>
          </w:tcPr>
          <w:p>
            <w:pPr>
              <w:spacing w:after="0"/>
              <w:rPr>
                <w:sz w:val="1"/>
                <w:szCs w:val="1"/>
                <w:color w:val="auto"/>
              </w:rPr>
            </w:pPr>
          </w:p>
        </w:tc>
      </w:tr>
      <w:tr>
        <w:trPr>
          <w:trHeight w:val="229"/>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273,740</w:t>
            </w:r>
          </w:p>
        </w:tc>
        <w:tc>
          <w:tcPr>
            <w:tcW w:w="0" w:type="dxa"/>
            <w:vAlign w:val="bottom"/>
          </w:tcPr>
          <w:p>
            <w:pPr>
              <w:spacing w:after="0"/>
              <w:rPr>
                <w:sz w:val="1"/>
                <w:szCs w:val="1"/>
                <w:color w:val="auto"/>
              </w:rPr>
            </w:pP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(31,556)</w:t>
            </w:r>
          </w:p>
        </w:tc>
        <w:tc>
          <w:tcPr>
            <w:tcW w:w="0" w:type="dxa"/>
            <w:vAlign w:val="bottom"/>
          </w:tcPr>
          <w:p>
            <w:pPr>
              <w:spacing w:after="0"/>
              <w:rPr>
                <w:sz w:val="1"/>
                <w:szCs w:val="1"/>
                <w:color w:val="auto"/>
              </w:rPr>
            </w:pPr>
          </w:p>
        </w:tc>
      </w:tr>
      <w:tr>
        <w:trPr>
          <w:trHeight w:val="223"/>
        </w:trPr>
        <w:tc>
          <w:tcPr>
            <w:tcW w:w="6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396,408</w:t>
            </w:r>
          </w:p>
        </w:tc>
        <w:tc>
          <w:tcPr>
            <w:tcW w:w="0" w:type="dxa"/>
            <w:vAlign w:val="bottom"/>
          </w:tcPr>
          <w:p>
            <w:pPr>
              <w:spacing w:after="0"/>
              <w:rPr>
                <w:sz w:val="1"/>
                <w:szCs w:val="1"/>
                <w:color w:val="auto"/>
              </w:rPr>
            </w:pPr>
          </w:p>
        </w:tc>
      </w:tr>
      <w:tr>
        <w:trPr>
          <w:trHeight w:val="248"/>
        </w:trPr>
        <w:tc>
          <w:tcPr>
            <w:tcW w:w="62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915,365</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40" w:type="dxa"/>
            <w:vAlign w:val="bottom"/>
            <w:tcBorders>
              <w:bottom w:val="single" w:sz="8" w:color="auto"/>
            </w:tcBorders>
          </w:tcPr>
          <w:p>
            <w:pPr>
              <w:spacing w:after="0"/>
              <w:rPr>
                <w:sz w:val="18"/>
                <w:szCs w:val="18"/>
                <w:color w:val="auto"/>
              </w:rPr>
            </w:pPr>
          </w:p>
        </w:tc>
      </w:tr>
      <w:tr>
        <w:trPr>
          <w:trHeight w:val="211"/>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November 25, 2023</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26, 2022</w:t>
            </w:r>
          </w:p>
        </w:tc>
        <w:tc>
          <w:tcPr>
            <w:tcW w:w="100" w:type="dxa"/>
            <w:vAlign w:val="bottom"/>
          </w:tcPr>
          <w:p>
            <w:pPr>
              <w:spacing w:after="0"/>
              <w:rPr>
                <w:sz w:val="18"/>
                <w:szCs w:val="18"/>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November 25, 2023</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26, 2022</w:t>
            </w:r>
          </w:p>
        </w:tc>
      </w:tr>
      <w:tr>
        <w:trPr>
          <w:trHeight w:val="225"/>
        </w:trPr>
        <w:tc>
          <w:tcPr>
            <w:tcW w:w="4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339,714</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367,847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1,055,102</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1,096,591</w:t>
            </w:r>
          </w:p>
        </w:tc>
      </w:tr>
      <w:tr>
        <w:trPr>
          <w:trHeight w:val="229"/>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249,409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281,239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776,440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839,430</w:t>
            </w:r>
          </w:p>
        </w:tc>
      </w:tr>
      <w:tr>
        <w:trPr>
          <w:trHeight w:val="223"/>
        </w:trPr>
        <w:tc>
          <w:tcPr>
            <w:tcW w:w="4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278,662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257,161</w:t>
            </w:r>
          </w:p>
        </w:tc>
      </w:tr>
      <w:tr>
        <w:trPr>
          <w:trHeight w:val="229"/>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52,658</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166,695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157,112</w:t>
            </w:r>
          </w:p>
        </w:tc>
      </w:tr>
      <w:tr>
        <w:trPr>
          <w:trHeight w:val="223"/>
        </w:trPr>
        <w:tc>
          <w:tcPr>
            <w:tcW w:w="4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100,049</w:t>
            </w: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r>
      <w:tr>
        <w:trPr>
          <w:trHeight w:val="223"/>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109,969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92,520</w:t>
            </w: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r>
      <w:tr>
        <w:trPr>
          <w:trHeight w:val="223"/>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26,974</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83,877</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83,885</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7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22,043</w:t>
            </w:r>
          </w:p>
        </w:tc>
      </w:tr>
      <w:tr>
        <w:trPr>
          <w:trHeight w:val="234"/>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22,013</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22,093</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22,456</w:t>
            </w: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COMPREHENSIVE EARNINGS </w:t>
      </w:r>
      <w:r>
        <w:rPr>
          <w:rFonts w:ascii="Times New Roman" w:cs="Times New Roman" w:eastAsia="Times New Roman" w:hAnsi="Times New Roman"/>
          <w:sz w:val="18"/>
          <w:szCs w:val="18"/>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20" w:type="dxa"/>
            <w:vAlign w:val="bottom"/>
            <w:tcBorders>
              <w:bottom w:val="single" w:sz="8" w:color="auto"/>
            </w:tcBorders>
          </w:tcPr>
          <w:p>
            <w:pPr>
              <w:spacing w:after="0"/>
              <w:rPr>
                <w:sz w:val="18"/>
                <w:szCs w:val="18"/>
                <w:color w:val="auto"/>
              </w:rPr>
            </w:pPr>
          </w:p>
        </w:tc>
      </w:tr>
      <w:tr>
        <w:trPr>
          <w:trHeight w:val="211"/>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November 25, 2023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November 26, 2022</w:t>
            </w:r>
          </w:p>
        </w:tc>
        <w:tc>
          <w:tcPr>
            <w:tcW w:w="12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November 25, 2023</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26, 2022</w:t>
            </w:r>
          </w:p>
        </w:tc>
      </w:tr>
      <w:tr>
        <w:trPr>
          <w:trHeight w:val="225"/>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26,974</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23,765</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83,877</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83,885</w:t>
            </w: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76"/>
        </w:trPr>
        <w:tc>
          <w:tcPr>
            <w:tcW w:w="48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(loss) gain on marketable securities, net of $(2),</w:t>
            </w: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75"/>
        </w:trPr>
        <w:tc>
          <w:tcPr>
            <w:tcW w:w="4860" w:type="dxa"/>
            <w:vAlign w:val="bottom"/>
            <w:gridSpan w:val="2"/>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$(24), $23 and $(127) of tax (benefit) expense,</w:t>
            </w: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43"/>
        </w:trPr>
        <w:tc>
          <w:tcPr>
            <w:tcW w:w="4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175"/>
        </w:trPr>
        <w:tc>
          <w:tcPr>
            <w:tcW w:w="48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gain (loss) on derivative instruments, net of $56,</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486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8"/>
                <w:szCs w:val="18"/>
                <w:color w:val="auto"/>
              </w:rPr>
              <w:t>$277, $1 and $(1,192) of tax expense (benefit),</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3"/>
        </w:trPr>
        <w:tc>
          <w:tcPr>
            <w:tcW w:w="4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w:t>
            </w:r>
          </w:p>
        </w:tc>
      </w:tr>
      <w:tr>
        <w:trPr>
          <w:trHeight w:val="229"/>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r>
      <w:tr>
        <w:trPr>
          <w:trHeight w:val="223"/>
        </w:trPr>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(6,721)</w:t>
            </w: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earnings</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November 25, 2023</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26, 2022</w:t>
            </w:r>
          </w:p>
        </w:tc>
        <w:tc>
          <w:tcPr>
            <w:tcW w:w="0" w:type="dxa"/>
            <w:vAlign w:val="bottom"/>
          </w:tcPr>
          <w:p>
            <w:pPr>
              <w:spacing w:after="0"/>
              <w:rPr>
                <w:sz w:val="1"/>
                <w:szCs w:val="1"/>
                <w:color w:val="auto"/>
              </w:rPr>
            </w:pPr>
          </w:p>
        </w:tc>
      </w:tr>
      <w:tr>
        <w:trPr>
          <w:trHeight w:val="225"/>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83,877</w:t>
            </w:r>
          </w:p>
        </w:tc>
        <w:tc>
          <w:tcPr>
            <w:tcW w:w="12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83,885</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31,925</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New Markets Tax Credit transaction, net of deferred costs</w:t>
            </w:r>
          </w:p>
        </w:tc>
        <w:tc>
          <w:tcPr>
            <w:tcW w:w="4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 of New Markets Tax Credit transaction</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(55,791)</w:t>
            </w: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(19,780)</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Refundable and accrued income taxes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129,252</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51,112</w:t>
            </w:r>
          </w:p>
        </w:tc>
        <w:tc>
          <w:tcPr>
            <w:tcW w:w="0" w:type="dxa"/>
            <w:vAlign w:val="bottom"/>
          </w:tcPr>
          <w:p>
            <w:pPr>
              <w:spacing w:after="0"/>
              <w:rPr>
                <w:sz w:val="1"/>
                <w:szCs w:val="1"/>
                <w:color w:val="auto"/>
              </w:rPr>
            </w:pPr>
          </w:p>
        </w:tc>
      </w:tr>
      <w:tr>
        <w:trPr>
          <w:trHeight w:val="20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(18,119)</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Sales/maturities of marketable securities</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(26,308)</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0" w:type="dxa"/>
            <w:vAlign w:val="bottom"/>
          </w:tcPr>
          <w:p>
            <w:pPr>
              <w:spacing w:after="0"/>
              <w:rPr>
                <w:sz w:val="1"/>
                <w:szCs w:val="1"/>
                <w:color w:val="auto"/>
              </w:rPr>
            </w:pPr>
          </w:p>
        </w:tc>
      </w:tr>
      <w:tr>
        <w:trPr>
          <w:trHeight w:val="20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195,851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430,879</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on debt</w:t>
            </w: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(239,000)</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debt issuance costs</w:t>
            </w: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(74,312)</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(100,441)</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(51,597)</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21,473</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8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(Unaudited)</w:t>
      </w:r>
    </w:p>
    <w:p>
      <w:pPr>
        <w:spacing w:after="0" w:line="116"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000" w:type="dxa"/>
            <w:vAlign w:val="bottom"/>
            <w:vMerge w:val="restart"/>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Stock at</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1"/>
                <w:szCs w:val="11"/>
                <w:color w:val="auto"/>
              </w:rPr>
            </w:pPr>
          </w:p>
        </w:tc>
        <w:tc>
          <w:tcPr>
            <w:tcW w:w="10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3620" w:type="dxa"/>
            <w:vAlign w:val="bottom"/>
            <w:gridSpan w:val="2"/>
            <w:vMerge w:val="continue"/>
          </w:tcPr>
          <w:p>
            <w:pPr>
              <w:spacing w:after="0"/>
              <w:rPr>
                <w:sz w:val="15"/>
                <w:szCs w:val="15"/>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0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20" w:type="dxa"/>
            <w:vAlign w:val="bottom"/>
          </w:tcPr>
          <w:p>
            <w:pPr>
              <w:spacing w:after="0"/>
              <w:rPr>
                <w:sz w:val="15"/>
                <w:szCs w:val="15"/>
                <w:color w:val="auto"/>
              </w:rPr>
            </w:pPr>
          </w:p>
        </w:tc>
        <w:tc>
          <w:tcPr>
            <w:tcW w:w="100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25, 2023</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22,224</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7,408</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146,816</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273,740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(31,556)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396,408</w:t>
            </w:r>
          </w:p>
        </w:tc>
        <w:tc>
          <w:tcPr>
            <w:tcW w:w="0" w:type="dxa"/>
            <w:vAlign w:val="bottom"/>
          </w:tcPr>
          <w:p>
            <w:pPr>
              <w:spacing w:after="0"/>
              <w:rPr>
                <w:sz w:val="1"/>
                <w:szCs w:val="1"/>
                <w:color w:val="auto"/>
              </w:rPr>
            </w:pPr>
          </w:p>
        </w:tc>
      </w:tr>
      <w:tr>
        <w:trPr>
          <w:trHeight w:val="18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23,576</w:t>
            </w:r>
          </w:p>
        </w:tc>
        <w:tc>
          <w:tcPr>
            <w:tcW w:w="0" w:type="dxa"/>
            <w:vAlign w:val="bottom"/>
          </w:tcPr>
          <w:p>
            <w:pPr>
              <w:spacing w:after="0"/>
              <w:rPr>
                <w:sz w:val="1"/>
                <w:szCs w:val="1"/>
                <w:color w:val="auto"/>
              </w:rPr>
            </w:pPr>
          </w:p>
        </w:tc>
      </w:tr>
      <w:tr>
        <w:trPr>
          <w:trHeight w:val="196"/>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8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6"/>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0" w:type="dxa"/>
            <w:vAlign w:val="bottom"/>
          </w:tcPr>
          <w:p>
            <w:pPr>
              <w:spacing w:after="0"/>
              <w:rPr>
                <w:sz w:val="1"/>
                <w:szCs w:val="1"/>
                <w:color w:val="auto"/>
              </w:rPr>
            </w:pPr>
          </w:p>
        </w:tc>
      </w:tr>
      <w:tr>
        <w:trPr>
          <w:trHeight w:val="18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0" w:type="dxa"/>
            <w:vAlign w:val="bottom"/>
          </w:tcPr>
          <w:p>
            <w:pPr>
              <w:spacing w:after="0"/>
              <w:rPr>
                <w:sz w:val="1"/>
                <w:szCs w:val="1"/>
                <w:color w:val="auto"/>
              </w:rPr>
            </w:pPr>
          </w:p>
        </w:tc>
      </w:tr>
      <w:tr>
        <w:trPr>
          <w:trHeight w:val="196"/>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0" w:type="dxa"/>
            <w:vAlign w:val="bottom"/>
          </w:tcPr>
          <w:p>
            <w:pPr>
              <w:spacing w:after="0"/>
              <w:rPr>
                <w:sz w:val="1"/>
                <w:szCs w:val="1"/>
                <w:color w:val="auto"/>
              </w:rPr>
            </w:pPr>
          </w:p>
        </w:tc>
      </w:tr>
      <w:tr>
        <w:trPr>
          <w:trHeight w:val="18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(5,245)</w:t>
            </w:r>
          </w:p>
        </w:tc>
        <w:tc>
          <w:tcPr>
            <w:tcW w:w="0" w:type="dxa"/>
            <w:vAlign w:val="bottom"/>
          </w:tcPr>
          <w:p>
            <w:pPr>
              <w:spacing w:after="0"/>
              <w:rPr>
                <w:sz w:val="1"/>
                <w:szCs w:val="1"/>
                <w:color w:val="auto"/>
              </w:rPr>
            </w:pPr>
          </w:p>
        </w:tc>
      </w:tr>
      <w:tr>
        <w:trPr>
          <w:trHeight w:val="189"/>
        </w:trPr>
        <w:tc>
          <w:tcPr>
            <w:tcW w:w="3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May 27, 2023</w:t>
            </w:r>
          </w:p>
        </w:tc>
        <w:tc>
          <w:tcPr>
            <w:tcW w:w="1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22,219</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7,406</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147,897</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286,300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(31,397)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410,206</w:t>
            </w:r>
          </w:p>
        </w:tc>
        <w:tc>
          <w:tcPr>
            <w:tcW w:w="0" w:type="dxa"/>
            <w:vAlign w:val="bottom"/>
          </w:tcPr>
          <w:p>
            <w:pPr>
              <w:spacing w:after="0"/>
              <w:rPr>
                <w:sz w:val="1"/>
                <w:szCs w:val="1"/>
                <w:color w:val="auto"/>
              </w:rPr>
            </w:pPr>
          </w:p>
        </w:tc>
      </w:tr>
      <w:tr>
        <w:trPr>
          <w:trHeight w:val="178"/>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33,327</w:t>
            </w:r>
          </w:p>
        </w:tc>
        <w:tc>
          <w:tcPr>
            <w:tcW w:w="0" w:type="dxa"/>
            <w:vAlign w:val="bottom"/>
          </w:tcPr>
          <w:p>
            <w:pPr>
              <w:spacing w:after="0"/>
              <w:rPr>
                <w:sz w:val="1"/>
                <w:szCs w:val="1"/>
                <w:color w:val="auto"/>
              </w:rPr>
            </w:pPr>
          </w:p>
        </w:tc>
      </w:tr>
      <w:tr>
        <w:trPr>
          <w:trHeight w:val="194"/>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8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96"/>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0" w:type="dxa"/>
            <w:vAlign w:val="bottom"/>
          </w:tcPr>
          <w:p>
            <w:pPr>
              <w:spacing w:after="0"/>
              <w:rPr>
                <w:sz w:val="1"/>
                <w:szCs w:val="1"/>
                <w:color w:val="auto"/>
              </w:rPr>
            </w:pPr>
          </w:p>
        </w:tc>
      </w:tr>
      <w:tr>
        <w:trPr>
          <w:trHeight w:val="18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196"/>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(6,628)</w:t>
            </w:r>
          </w:p>
        </w:tc>
        <w:tc>
          <w:tcPr>
            <w:tcW w:w="0" w:type="dxa"/>
            <w:vAlign w:val="bottom"/>
          </w:tcPr>
          <w:p>
            <w:pPr>
              <w:spacing w:after="0"/>
              <w:rPr>
                <w:sz w:val="1"/>
                <w:szCs w:val="1"/>
                <w:color w:val="auto"/>
              </w:rPr>
            </w:pPr>
          </w:p>
        </w:tc>
      </w:tr>
      <w:tr>
        <w:trPr>
          <w:trHeight w:val="18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0" w:type="dxa"/>
            <w:vAlign w:val="bottom"/>
          </w:tcPr>
          <w:p>
            <w:pPr>
              <w:spacing w:after="0"/>
              <w:rPr>
                <w:sz w:val="1"/>
                <w:szCs w:val="1"/>
                <w:color w:val="auto"/>
              </w:rPr>
            </w:pPr>
          </w:p>
        </w:tc>
      </w:tr>
      <w:tr>
        <w:trPr>
          <w:trHeight w:val="196"/>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0" w:type="dxa"/>
            <w:vAlign w:val="bottom"/>
          </w:tcPr>
          <w:p>
            <w:pPr>
              <w:spacing w:after="0"/>
              <w:rPr>
                <w:sz w:val="1"/>
                <w:szCs w:val="1"/>
                <w:color w:val="auto"/>
              </w:rPr>
            </w:pPr>
          </w:p>
        </w:tc>
      </w:tr>
      <w:tr>
        <w:trPr>
          <w:trHeight w:val="178"/>
        </w:trPr>
        <w:tc>
          <w:tcPr>
            <w:tcW w:w="3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August 26, 2023</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22,072</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7,357</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147,413</w:t>
            </w:r>
          </w:p>
        </w:tc>
        <w:tc>
          <w:tcPr>
            <w:tcW w:w="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308,248</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(30,700)</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432,318</w:t>
            </w:r>
          </w:p>
        </w:tc>
        <w:tc>
          <w:tcPr>
            <w:tcW w:w="0" w:type="dxa"/>
            <w:vAlign w:val="bottom"/>
          </w:tcPr>
          <w:p>
            <w:pPr>
              <w:spacing w:after="0"/>
              <w:rPr>
                <w:sz w:val="1"/>
                <w:szCs w:val="1"/>
                <w:color w:val="auto"/>
              </w:rPr>
            </w:pPr>
          </w:p>
        </w:tc>
      </w:tr>
      <w:tr>
        <w:trPr>
          <w:trHeight w:val="18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26,974</w:t>
            </w:r>
          </w:p>
        </w:tc>
        <w:tc>
          <w:tcPr>
            <w:tcW w:w="0" w:type="dxa"/>
            <w:vAlign w:val="bottom"/>
          </w:tcPr>
          <w:p>
            <w:pPr>
              <w:spacing w:after="0"/>
              <w:rPr>
                <w:sz w:val="1"/>
                <w:szCs w:val="1"/>
                <w:color w:val="auto"/>
              </w:rPr>
            </w:pPr>
          </w:p>
        </w:tc>
      </w:tr>
      <w:tr>
        <w:trPr>
          <w:trHeight w:val="18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96"/>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0" w:type="dxa"/>
            <w:vAlign w:val="bottom"/>
          </w:tcPr>
          <w:p>
            <w:pPr>
              <w:spacing w:after="0"/>
              <w:rPr>
                <w:sz w:val="1"/>
                <w:szCs w:val="1"/>
                <w:color w:val="auto"/>
              </w:rPr>
            </w:pPr>
          </w:p>
        </w:tc>
      </w:tr>
      <w:tr>
        <w:trPr>
          <w:trHeight w:val="196"/>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0" w:type="dxa"/>
            <w:vAlign w:val="bottom"/>
          </w:tcPr>
          <w:p>
            <w:pPr>
              <w:spacing w:after="0"/>
              <w:rPr>
                <w:sz w:val="1"/>
                <w:szCs w:val="1"/>
                <w:color w:val="auto"/>
              </w:rPr>
            </w:pPr>
          </w:p>
        </w:tc>
      </w:tr>
      <w:tr>
        <w:trPr>
          <w:trHeight w:val="214"/>
        </w:trPr>
        <w:tc>
          <w:tcPr>
            <w:tcW w:w="3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November 25, 2023</w:t>
            </w:r>
          </w:p>
        </w:tc>
        <w:tc>
          <w:tcPr>
            <w:tcW w:w="1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22,085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149,557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329,936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(31,124)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455,731</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(Unaudited)</w:t>
      </w:r>
    </w:p>
    <w:p>
      <w:pPr>
        <w:spacing w:after="0" w:line="346"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000" w:type="dxa"/>
            <w:vAlign w:val="bottom"/>
            <w:vMerge w:val="restart"/>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Stock at</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2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1"/>
                <w:szCs w:val="11"/>
                <w:color w:val="auto"/>
              </w:rPr>
            </w:pPr>
          </w:p>
        </w:tc>
        <w:tc>
          <w:tcPr>
            <w:tcW w:w="10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3600" w:type="dxa"/>
            <w:vAlign w:val="bottom"/>
            <w:gridSpan w:val="2"/>
            <w:vMerge w:val="continue"/>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0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20" w:type="dxa"/>
            <w:vAlign w:val="bottom"/>
          </w:tcPr>
          <w:p>
            <w:pPr>
              <w:spacing w:after="0"/>
              <w:rPr>
                <w:sz w:val="15"/>
                <w:szCs w:val="15"/>
                <w:color w:val="auto"/>
              </w:rPr>
            </w:pPr>
          </w:p>
        </w:tc>
        <w:tc>
          <w:tcPr>
            <w:tcW w:w="100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February 26, 2022</w:t>
            </w:r>
          </w:p>
        </w:tc>
        <w:tc>
          <w:tcPr>
            <w:tcW w:w="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23,701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7,901</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149,713</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254,825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(26,240)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386,199</w:t>
            </w:r>
          </w:p>
        </w:tc>
        <w:tc>
          <w:tcPr>
            <w:tcW w:w="0" w:type="dxa"/>
            <w:vAlign w:val="bottom"/>
          </w:tcPr>
          <w:p>
            <w:pPr>
              <w:spacing w:after="0"/>
              <w:rPr>
                <w:sz w:val="1"/>
                <w:szCs w:val="1"/>
                <w:color w:val="auto"/>
              </w:rPr>
            </w:pPr>
          </w:p>
        </w:tc>
      </w:tr>
      <w:tr>
        <w:trPr>
          <w:trHeight w:val="182"/>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22,731</w:t>
            </w:r>
          </w:p>
        </w:tc>
        <w:tc>
          <w:tcPr>
            <w:tcW w:w="0" w:type="dxa"/>
            <w:vAlign w:val="bottom"/>
          </w:tcPr>
          <w:p>
            <w:pPr>
              <w:spacing w:after="0"/>
              <w:rPr>
                <w:sz w:val="1"/>
                <w:szCs w:val="1"/>
                <w:color w:val="auto"/>
              </w:rPr>
            </w:pPr>
          </w:p>
        </w:tc>
      </w:tr>
      <w:tr>
        <w:trPr>
          <w:trHeight w:val="19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0" w:type="dxa"/>
            <w:vAlign w:val="bottom"/>
          </w:tcPr>
          <w:p>
            <w:pPr>
              <w:spacing w:after="0"/>
              <w:rPr>
                <w:sz w:val="1"/>
                <w:szCs w:val="1"/>
                <w:color w:val="auto"/>
              </w:rPr>
            </w:pPr>
          </w:p>
        </w:tc>
      </w:tr>
      <w:tr>
        <w:trPr>
          <w:trHeight w:val="182"/>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0" w:type="dxa"/>
            <w:vAlign w:val="bottom"/>
          </w:tcPr>
          <w:p>
            <w:pPr>
              <w:spacing w:after="0"/>
              <w:rPr>
                <w:sz w:val="1"/>
                <w:szCs w:val="1"/>
                <w:color w:val="auto"/>
              </w:rPr>
            </w:pPr>
          </w:p>
        </w:tc>
      </w:tr>
      <w:tr>
        <w:trPr>
          <w:trHeight w:val="182"/>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 repurchases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(74,312)</w:t>
            </w:r>
          </w:p>
        </w:tc>
        <w:tc>
          <w:tcPr>
            <w:tcW w:w="0" w:type="dxa"/>
            <w:vAlign w:val="bottom"/>
          </w:tcPr>
          <w:p>
            <w:pPr>
              <w:spacing w:after="0"/>
              <w:rPr>
                <w:sz w:val="1"/>
                <w:szCs w:val="1"/>
                <w:color w:val="auto"/>
              </w:rPr>
            </w:pPr>
          </w:p>
        </w:tc>
      </w:tr>
      <w:tr>
        <w:trPr>
          <w:trHeight w:val="19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share retirements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0" w:type="dxa"/>
            <w:vAlign w:val="bottom"/>
          </w:tcPr>
          <w:p>
            <w:pPr>
              <w:spacing w:after="0"/>
              <w:rPr>
                <w:sz w:val="1"/>
                <w:szCs w:val="1"/>
                <w:color w:val="auto"/>
              </w:rPr>
            </w:pPr>
          </w:p>
        </w:tc>
      </w:tr>
      <w:tr>
        <w:trPr>
          <w:trHeight w:val="183"/>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(4,793)</w:t>
            </w:r>
          </w:p>
        </w:tc>
        <w:tc>
          <w:tcPr>
            <w:tcW w:w="0" w:type="dxa"/>
            <w:vAlign w:val="bottom"/>
          </w:tcPr>
          <w:p>
            <w:pPr>
              <w:spacing w:after="0"/>
              <w:rPr>
                <w:sz w:val="1"/>
                <w:szCs w:val="1"/>
                <w:color w:val="auto"/>
              </w:rPr>
            </w:pPr>
          </w:p>
        </w:tc>
      </w:tr>
      <w:tr>
        <w:trPr>
          <w:trHeight w:val="214"/>
        </w:trPr>
        <w:tc>
          <w:tcPr>
            <w:tcW w:w="3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May 28,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7,400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140,785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208,205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(29,100)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327,290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0" w:type="dxa"/>
            <w:vAlign w:val="bottom"/>
            <w:tcBorders>
              <w:top w:val="single" w:sz="8" w:color="CCEEFF"/>
            </w:tcBorders>
            <w:gridSpan w:val="2"/>
            <w:vMerge w:val="continue"/>
          </w:tcPr>
          <w:p>
            <w:pPr>
              <w:spacing w:after="0"/>
              <w:rPr>
                <w:sz w:val="13"/>
                <w:szCs w:val="13"/>
                <w:color w:val="auto"/>
              </w:rPr>
            </w:pPr>
          </w:p>
        </w:tc>
        <w:tc>
          <w:tcPr>
            <w:tcW w:w="11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2"/>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37,389</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ind w:left="820"/>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37,389</w:t>
            </w:r>
          </w:p>
        </w:tc>
        <w:tc>
          <w:tcPr>
            <w:tcW w:w="0" w:type="dxa"/>
            <w:vAlign w:val="bottom"/>
          </w:tcPr>
          <w:p>
            <w:pPr>
              <w:spacing w:after="0"/>
              <w:rPr>
                <w:sz w:val="1"/>
                <w:szCs w:val="1"/>
                <w:color w:val="auto"/>
              </w:rPr>
            </w:pPr>
          </w:p>
        </w:tc>
      </w:tr>
      <w:tr>
        <w:trPr>
          <w:trHeight w:val="19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(3,383)</w:t>
            </w:r>
          </w:p>
        </w:tc>
        <w:tc>
          <w:tcPr>
            <w:tcW w:w="0" w:type="dxa"/>
            <w:vAlign w:val="bottom"/>
          </w:tcPr>
          <w:p>
            <w:pPr>
              <w:spacing w:after="0"/>
              <w:rPr>
                <w:sz w:val="1"/>
                <w:szCs w:val="1"/>
                <w:color w:val="auto"/>
              </w:rPr>
            </w:pPr>
          </w:p>
        </w:tc>
      </w:tr>
      <w:tr>
        <w:trPr>
          <w:trHeight w:val="182"/>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0" w:type="dxa"/>
            <w:vAlign w:val="bottom"/>
          </w:tcPr>
          <w:p>
            <w:pPr>
              <w:spacing w:after="0"/>
              <w:rPr>
                <w:sz w:val="1"/>
                <w:szCs w:val="1"/>
                <w:color w:val="auto"/>
              </w:rPr>
            </w:pPr>
          </w:p>
        </w:tc>
      </w:tr>
      <w:tr>
        <w:trPr>
          <w:trHeight w:val="182"/>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0" w:type="dxa"/>
            <w:vAlign w:val="bottom"/>
          </w:tcPr>
          <w:p>
            <w:pPr>
              <w:spacing w:after="0"/>
              <w:rPr>
                <w:sz w:val="1"/>
                <w:szCs w:val="1"/>
                <w:color w:val="auto"/>
              </w:rPr>
            </w:pPr>
          </w:p>
        </w:tc>
      </w:tr>
      <w:tr>
        <w:trPr>
          <w:trHeight w:val="19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share retirements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0" w:type="dxa"/>
            <w:vAlign w:val="bottom"/>
          </w:tcPr>
          <w:p>
            <w:pPr>
              <w:spacing w:after="0"/>
              <w:rPr>
                <w:sz w:val="1"/>
                <w:szCs w:val="1"/>
                <w:color w:val="auto"/>
              </w:rPr>
            </w:pPr>
          </w:p>
        </w:tc>
      </w:tr>
      <w:tr>
        <w:trPr>
          <w:trHeight w:val="183"/>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(4,809)</w:t>
            </w:r>
          </w:p>
        </w:tc>
        <w:tc>
          <w:tcPr>
            <w:tcW w:w="0" w:type="dxa"/>
            <w:vAlign w:val="bottom"/>
          </w:tcPr>
          <w:p>
            <w:pPr>
              <w:spacing w:after="0"/>
              <w:rPr>
                <w:sz w:val="1"/>
                <w:szCs w:val="1"/>
                <w:color w:val="auto"/>
              </w:rPr>
            </w:pPr>
          </w:p>
        </w:tc>
      </w:tr>
      <w:tr>
        <w:trPr>
          <w:trHeight w:val="189"/>
        </w:trPr>
        <w:tc>
          <w:tcPr>
            <w:tcW w:w="3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August 27,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22,209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7,403</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141,575</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240,245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(32,483)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356,740</w:t>
            </w:r>
          </w:p>
        </w:tc>
        <w:tc>
          <w:tcPr>
            <w:tcW w:w="0" w:type="dxa"/>
            <w:vAlign w:val="bottom"/>
          </w:tcPr>
          <w:p>
            <w:pPr>
              <w:spacing w:after="0"/>
              <w:rPr>
                <w:sz w:val="1"/>
                <w:szCs w:val="1"/>
                <w:color w:val="auto"/>
              </w:rPr>
            </w:pPr>
          </w:p>
        </w:tc>
      </w:tr>
      <w:tr>
        <w:trPr>
          <w:trHeight w:val="176"/>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earnings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23,765</w:t>
            </w:r>
          </w:p>
        </w:tc>
        <w:tc>
          <w:tcPr>
            <w:tcW w:w="0" w:type="dxa"/>
            <w:vAlign w:val="bottom"/>
          </w:tcPr>
          <w:p>
            <w:pPr>
              <w:spacing w:after="0"/>
              <w:rPr>
                <w:sz w:val="1"/>
                <w:szCs w:val="1"/>
                <w:color w:val="auto"/>
              </w:rPr>
            </w:pPr>
          </w:p>
        </w:tc>
      </w:tr>
      <w:tr>
        <w:trPr>
          <w:trHeight w:val="19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182"/>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0" w:type="dxa"/>
            <w:vAlign w:val="bottom"/>
          </w:tcPr>
          <w:p>
            <w:pPr>
              <w:spacing w:after="0"/>
              <w:rPr>
                <w:sz w:val="1"/>
                <w:szCs w:val="1"/>
                <w:color w:val="auto"/>
              </w:rPr>
            </w:pPr>
          </w:p>
        </w:tc>
      </w:tr>
      <w:tr>
        <w:trPr>
          <w:trHeight w:val="182"/>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share retirements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89"/>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w:t>
            </w:r>
          </w:p>
        </w:tc>
        <w:tc>
          <w:tcPr>
            <w:tcW w:w="0" w:type="dxa"/>
            <w:vAlign w:val="bottom"/>
          </w:tcPr>
          <w:p>
            <w:pPr>
              <w:spacing w:after="0"/>
              <w:rPr>
                <w:sz w:val="1"/>
                <w:szCs w:val="1"/>
                <w:color w:val="auto"/>
              </w:rPr>
            </w:pPr>
          </w:p>
        </w:tc>
      </w:tr>
      <w:tr>
        <w:trPr>
          <w:trHeight w:val="189"/>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November 26, 2022</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22,214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7,405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144,358</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258,836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(32,961)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377,638</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February 25, 2023. We use the same accounting policies in preparing quarterly and annual financial statements. All adjustments necessary for a fair presentation of quarterly and year to date operating results are reflected herein and are of a normal, recurring nature. The results of operations for the three- and nine-month periods ended November 25, 2023 are not necessarily indicative of the results to be expected for the full year.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reclassifications of amounts previously reported have been made to the accompanying consolidated balance sheets, consolidated statements of cash flows and notes to consolidated financial statements to conform to current year presentation of contract assets and liabilities. These reclassifications had no impact on reported cash flows or total assets and liabilities.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standards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the first quarter, we adopted the guidance in ASU 2022-04, </w:t>
      </w:r>
      <w:r>
        <w:rPr>
          <w:rFonts w:ascii="Times New Roman" w:cs="Times New Roman" w:eastAsia="Times New Roman" w:hAnsi="Times New Roman"/>
          <w:sz w:val="18"/>
          <w:szCs w:val="18"/>
          <w:i w:val="1"/>
          <w:iCs w:val="1"/>
          <w:color w:val="auto"/>
        </w:rPr>
        <w:t>Liabilities – Supplier Finance Programs, Disclosure of Supplier Finance Program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The guidance requires that entities that use supplier finance programs disclose information about the nature and potential magnitude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activity during the period, and changes from period to period. Beginning in the first quarter, we implemented a supplier financing arrangement with U.S. Bank that enables our suppliers, at their sole discretion, to sell the Company's receivables (i.e., our payment obligations to the suppliers) to U.S. Bank on a non-recourse basis in order to be paid earlier than our payment terms provide. Our suppliers’ voluntary inclusion of invoices in the supplier financing arrangement has no bearing on our payment terms, the amounts we pay, or our liquidity. We have no economic interest in a supplier’s decision to participate in the supplier financing program, and we do not provide any guarantees in connection with it. As of November 25, 2023, $7.8 million of obligations remained outstanding that we have confirmed as valid to the administrators of our program with U.S. Bank. These balances are reflected in accounts payable in the consolidated balance sheets and are reflected in net cash provided (used by) operating activities in our consolidated statements of cash flows when settled.</w:t>
      </w:r>
    </w:p>
    <w:p>
      <w:pPr>
        <w:spacing w:after="0" w:line="216"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Receivables and Contract Assets and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total revenue by timing of recognition (see Note 11 for disclosure of revenue by segment):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0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0"/>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November 26, 2022</w:t>
            </w:r>
          </w:p>
        </w:tc>
      </w:tr>
      <w:tr>
        <w:trPr>
          <w:trHeight w:val="229"/>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at shipment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504,450</w:t>
            </w:r>
          </w:p>
        </w:tc>
      </w:tr>
      <w:tr>
        <w:trPr>
          <w:trHeight w:val="229"/>
        </w:trPr>
        <w:tc>
          <w:tcPr>
            <w:tcW w:w="4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194,804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592,141</w:t>
            </w:r>
          </w:p>
        </w:tc>
      </w:tr>
      <w:tr>
        <w:trPr>
          <w:trHeight w:val="248"/>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1,096,591</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 economic conditions and other relevant factors. Upon billing, aging of receivables is monitored until collection. An account is considered current when it is within agreed upon payment terms. An account is written off when it is determined that the asset is no longer collectible.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60" w:type="dxa"/>
            <w:vAlign w:val="bottom"/>
          </w:tcPr>
          <w:p>
            <w:pPr>
              <w:spacing w:after="0"/>
              <w:rPr>
                <w:sz w:val="18"/>
                <w:szCs w:val="18"/>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February 25, 2023</w:t>
            </w:r>
          </w:p>
        </w:tc>
        <w:tc>
          <w:tcPr>
            <w:tcW w:w="0" w:type="dxa"/>
            <w:vAlign w:val="bottom"/>
          </w:tcPr>
          <w:p>
            <w:pPr>
              <w:spacing w:after="0"/>
              <w:rPr>
                <w:sz w:val="1"/>
                <w:szCs w:val="1"/>
                <w:color w:val="auto"/>
              </w:rPr>
            </w:pPr>
          </w:p>
        </w:tc>
      </w:tr>
      <w:tr>
        <w:trPr>
          <w:trHeight w:val="230"/>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w:t>
            </w:r>
          </w:p>
        </w:tc>
        <w:tc>
          <w:tcPr>
            <w:tcW w:w="3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140,732</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contracts</w:t>
            </w:r>
          </w:p>
        </w:tc>
        <w:tc>
          <w:tcPr>
            <w:tcW w:w="3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58,331</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3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199,063</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3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197,267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9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for the nine-month period ended: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Pr>
          <w:p>
            <w:pPr>
              <w:spacing w:after="0"/>
              <w:rPr>
                <w:sz w:val="18"/>
                <w:szCs w:val="18"/>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November 25, 2023</w:t>
            </w:r>
          </w:p>
        </w:tc>
      </w:tr>
      <w:tr>
        <w:trPr>
          <w:trHeight w:val="230"/>
        </w:trPr>
        <w:tc>
          <w:tcPr>
            <w:tcW w:w="9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29"/>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30"/>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allowance, net of recoveries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9"/>
        </w:trPr>
        <w:tc>
          <w:tcPr>
            <w:tcW w:w="9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effects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assets consist of retainage, costs and earnings in excess of billings and other unbilled amounts typically generated when revenue recognized exceeds the amount billed to the customer. Retainage on construction contracts represents amounts withheld by our customers on long-term projects until the project reaches a level of completion where amounts are released to us from the customer. Contract liabilities consist of billings in excess of costs and earnings and other deferred revenue on contracts.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time period between when performance obligations are complete and payment is due is not significant. In certain parts of our business that recognize revenue over time, progress billings follow an agreed-upon schedule of values.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contract assets and contract liabilities were mainly due to timing of project activity within our businesses that operate under long-term contracts.</w:t>
      </w:r>
    </w:p>
    <w:p>
      <w:pPr>
        <w:sectPr>
          <w:pgSz w:w="11900" w:h="16838" w:orient="portrait"/>
          <w:cols w:equalWidth="0" w:num="1">
            <w:col w:w="11240"/>
          </w:cols>
          <w:pgMar w:left="320" w:top="121" w:right="339" w:bottom="1440" w:gutter="0" w:footer="0" w:header="0"/>
        </w:sectPr>
      </w:pP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contract-related disclosures</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Revenue recognized related to contract liabilities from prior year-end</w:t>
      </w:r>
    </w:p>
    <w:p>
      <w:pPr>
        <w:spacing w:after="0" w:line="10" w:lineRule="exact"/>
        <w:rPr>
          <w:sz w:val="20"/>
          <w:szCs w:val="20"/>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Revenue recognized related to prior satisfaction of performance obligations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32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08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0"/>
        </w:trPr>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November 26, 2022</w:t>
            </w:r>
          </w:p>
        </w:tc>
      </w:tr>
      <w:tr>
        <w:trPr>
          <w:trHeight w:val="418"/>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25,147</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36,630</w:t>
            </w:r>
          </w:p>
        </w:tc>
      </w:tr>
      <w:tr>
        <w:trPr>
          <w:trHeight w:val="418"/>
        </w:trPr>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-539750</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320"/>
            <w:col w:w="6580"/>
          </w:cols>
          <w:pgMar w:left="320" w:top="121" w:right="339" w:bottom="1440" w:gutter="0" w:footer="0" w:header="0"/>
          <w:type w:val="continuous"/>
        </w:sectPr>
      </w:pP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have an expected duration of longer than a year, with performance obligations extending over that time frame. Generally, these contracts are found in our businesses that typically operate with long-term contracts, which recognize revenue over time. The transaction prices associated with unsatisfied performance obligations at November 25, 2023 are expected to be satisfied, and the corresponding revenue to be recognized, over the following estimated time periods:</w:t>
      </w:r>
    </w:p>
    <w:p>
      <w:pPr>
        <w:sectPr>
          <w:pgSz w:w="11900" w:h="16838" w:orient="portrait"/>
          <w:cols w:equalWidth="0" w:num="1">
            <w:col w:w="11240"/>
          </w:cols>
          <w:pgMar w:left="320" w:top="121" w:right="339" w:bottom="1440" w:gutter="0" w:footer="0" w:header="0"/>
          <w:type w:val="continuous"/>
        </w:sectPr>
      </w:pP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Within one year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Between one and two years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Beyond two years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Work-in-process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Finished goods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November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33655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456,880</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315,667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14605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75,170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14605</wp:posOffset>
            </wp:positionV>
            <wp:extent cx="10033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11"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847,717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17145</wp:posOffset>
            </wp:positionV>
            <wp:extent cx="10033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43180</wp:posOffset>
            </wp:positionV>
            <wp:extent cx="10033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6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February 25, 2023</w:t>
            </w:r>
          </w:p>
        </w:tc>
      </w:tr>
      <w:tr>
        <w:trPr>
          <w:trHeight w:val="23"/>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36,869</w:t>
            </w:r>
          </w:p>
        </w:tc>
      </w:tr>
      <w:tr>
        <w:trPr>
          <w:trHeight w:val="229"/>
        </w:trPr>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18,024</w:t>
            </w:r>
          </w:p>
        </w:tc>
      </w:tr>
      <w:tr>
        <w:trPr>
          <w:trHeight w:val="234"/>
        </w:trPr>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23,548</w:t>
            </w: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78,441</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-333375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-633730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Through our wholly-owned insurance subsidiary, Prism Assurance, Ltd. (Prism), we hold the following available-for-sale marketable securities, made up of fixed-maturity investments: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3"/>
                <w:szCs w:val="13"/>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25, 2023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0" w:type="dxa"/>
            <w:vAlign w:val="bottom"/>
          </w:tcPr>
          <w:p>
            <w:pPr>
              <w:spacing w:after="0"/>
              <w:rPr>
                <w:sz w:val="1"/>
                <w:szCs w:val="1"/>
                <w:color w:val="auto"/>
              </w:rPr>
            </w:pPr>
          </w:p>
        </w:tc>
      </w:tr>
      <w:tr>
        <w:trPr>
          <w:trHeight w:val="23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25, 2023</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values of these investments at November 25, 2023, by contractual maturity, are shown below. Expected maturities may differ from contractual maturities, as borrowers may have the right to call or prepay obligations with or without penalty.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8"/>
                <w:szCs w:val="18"/>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interest rate swaps, foreign exchange contracts, commodity swaps and forward purchase contracts to manage risks generally associated with foreign exchange rate, interest rate and commodity price fluctuations. The information that follows explains the various types of derivatives and financial instruments we use, how such instruments are accounted for, and how such instruments impact our financial position and performance.</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2020, we entered into an interest rate swap to hedge exposure to variability in cash flows from interest payments on our floating-rate revolving credit facility. As of November 25, 2023, the interest rate swap contract had a notional value of $30.0 million and has a maturity date of February 5, 2026.</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periodically enter into forward purchase contracts and/or fixed/floating swaps to manage the risk associated with fluctuations in aluminum prices and fluctuations in foreign exchange rates. These contracts generally have an original maturity date of less than one year. As of November 25, 2023, we held aluminum fixed/floating swaps and foreign exchange contracts with U.S. dollar notional values of $14.9 million and $0.8 million,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derivative instruments are recorded within our consolidated balance sheets within other current assets and liabilities. Gains or losses associated with these instruments are recorded as a component of accumulated other comprehensive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25, 2023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option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Aluminum hedging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currency option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hedging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Goodwill represents the excess of the cost over the value of net tangible and identified intangible assets of acquired businesses. We evaluate goodwill for impairment annually as of the first day of our fiscal fourth quarter, or more frequently if events or changes in circumstances indicate that the carrying value of goodwill may not be recoverable.</w:t>
      </w:r>
    </w:p>
    <w:p>
      <w:pPr>
        <w:spacing w:after="0" w:line="1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At the beginning of the first quarter of fiscal 2023, we began management of the Sotawall and Harmon businesses under the Architectural Services segment in order to create a single, unified offering for larger custom curtainwall projects, which resulted in the combination of the Sotawall and Harmon reporting units into a single reporting unit. We evaluated goodwill on a qualitative basis prior to and subsequent to this change for these reporting units and concluded that no adjustment to the carrying value of goodwill was necessary. Concurrent with the move of Sotawall from the Architectural Framing Systems segment to the Architectural Services segment effective at the start of our first quarter of fiscal 2023, goodwill was reallocated to the affected reporting units within each segment, using a relative fair value approach as outlined in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2024, we did not identify any qualitative indicators of impairment at any of our reporting units, and therefore, no interim quantitative goodwill impairment evaluation was performed.</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carrying amount of goodwill attributable to each reporting segment including the amount of goodwill that was reallocated from the Architectural Framing Systems segment to the Architectural Services segment using the relative fair value approach during the first quarter of fiscal 2023: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Framing</w:t>
            </w:r>
          </w:p>
        </w:tc>
        <w:tc>
          <w:tcPr>
            <w:tcW w:w="120" w:type="dxa"/>
            <w:vAlign w:val="bottom"/>
          </w:tcPr>
          <w:p>
            <w:pPr>
              <w:spacing w:after="0"/>
              <w:rPr>
                <w:sz w:val="13"/>
                <w:szCs w:val="13"/>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Architectural Services</w:t>
            </w:r>
          </w:p>
        </w:tc>
        <w:tc>
          <w:tcPr>
            <w:tcW w:w="24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Large-Scale</w:t>
            </w:r>
          </w:p>
        </w:tc>
        <w:tc>
          <w:tcPr>
            <w:tcW w:w="340" w:type="dxa"/>
            <w:vAlign w:val="bottom"/>
          </w:tcPr>
          <w:p>
            <w:pPr>
              <w:spacing w:after="0"/>
              <w:rPr>
                <w:sz w:val="13"/>
                <w:szCs w:val="13"/>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8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Optical</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26, 2022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25,244</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130,102</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Reallocation among reporting units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2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25, 2023</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25,301</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129,026</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November 25, 2023</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90,109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25,360</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129,053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 w:right="220" w:firstLine="6"/>
        <w:spacing w:after="0" w:line="234" w:lineRule="auto"/>
        <w:tabs>
          <w:tab w:leader="none" w:pos="165"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reallocation of goodwill as a result of transitioning Sotawall from the Architectural Framing Systems segment to the Architectural Services segment as of the start of the first quarter of fiscal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During the third quarter of fiscal 2024, we did not identify any qualitative indicators of impairment at any of our reporting units, and therefore, no interim quantitative intangible impairment evaluation was performed.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Long-lived assets or asset groups, including intangible assets subject to amortization and property and equipment, are reviewed for impairment whenever events or changes in circumstances indicate that the carrying value of those assets may not be recoverable. We use undiscounted cash flows to determine whether impairment exists and measure any impairment loss using discounted cash flows to determine the fair value of long-lived assets.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of other intangible assets and related accumulated amortization was: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40" w:type="dxa"/>
            <w:vAlign w:val="bottom"/>
          </w:tcPr>
          <w:p>
            <w:pPr>
              <w:spacing w:after="0"/>
              <w:rPr>
                <w:sz w:val="12"/>
                <w:szCs w:val="12"/>
                <w:color w:val="auto"/>
              </w:rPr>
            </w:pPr>
          </w:p>
        </w:tc>
        <w:tc>
          <w:tcPr>
            <w:tcW w:w="10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8"/>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25, 2023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34,653</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23"/>
        </w:trPr>
        <w:tc>
          <w:tcPr>
            <w:tcW w:w="5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37,332</w:t>
            </w:r>
          </w:p>
        </w:tc>
        <w:tc>
          <w:tcPr>
            <w:tcW w:w="0" w:type="dxa"/>
            <w:vAlign w:val="bottom"/>
          </w:tcPr>
          <w:p>
            <w:pPr>
              <w:spacing w:after="0"/>
              <w:rPr>
                <w:sz w:val="1"/>
                <w:szCs w:val="1"/>
                <w:color w:val="auto"/>
              </w:rPr>
            </w:pPr>
          </w:p>
        </w:tc>
      </w:tr>
      <w:tr>
        <w:trPr>
          <w:trHeight w:val="22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w:t>
            </w:r>
          </w:p>
        </w:tc>
        <w:tc>
          <w:tcPr>
            <w:tcW w:w="0" w:type="dxa"/>
            <w:vAlign w:val="bottom"/>
          </w:tcPr>
          <w:p>
            <w:pPr>
              <w:spacing w:after="0"/>
              <w:rPr>
                <w:sz w:val="1"/>
                <w:szCs w:val="1"/>
                <w:color w:val="auto"/>
              </w:rPr>
            </w:pPr>
          </w:p>
        </w:tc>
      </w:tr>
      <w:tr>
        <w:trPr>
          <w:trHeight w:val="223"/>
        </w:trPr>
        <w:tc>
          <w:tcPr>
            <w:tcW w:w="5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(87,836)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64,174</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February 25, 2023</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37,394</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23"/>
        </w:trPr>
        <w:tc>
          <w:tcPr>
            <w:tcW w:w="5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40,524</w:t>
            </w:r>
          </w:p>
        </w:tc>
        <w:tc>
          <w:tcPr>
            <w:tcW w:w="0" w:type="dxa"/>
            <w:vAlign w:val="bottom"/>
          </w:tcPr>
          <w:p>
            <w:pPr>
              <w:spacing w:after="0"/>
              <w:rPr>
                <w:sz w:val="1"/>
                <w:szCs w:val="1"/>
                <w:color w:val="auto"/>
              </w:rPr>
            </w:pPr>
          </w:p>
        </w:tc>
      </w:tr>
      <w:tr>
        <w:trPr>
          <w:trHeight w:val="23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26,851</w:t>
            </w:r>
          </w:p>
        </w:tc>
        <w:tc>
          <w:tcPr>
            <w:tcW w:w="0" w:type="dxa"/>
            <w:vAlign w:val="bottom"/>
          </w:tcPr>
          <w:p>
            <w:pPr>
              <w:spacing w:after="0"/>
              <w:rPr>
                <w:sz w:val="1"/>
                <w:szCs w:val="1"/>
                <w:color w:val="auto"/>
              </w:rPr>
            </w:pPr>
          </w:p>
        </w:tc>
      </w:tr>
      <w:tr>
        <w:trPr>
          <w:trHeight w:val="223"/>
        </w:trPr>
        <w:tc>
          <w:tcPr>
            <w:tcW w:w="5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156,028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67,375</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on definite-lived intangible assets was $3.0 million and $3.1 million for the nine-month periods ended November 25, 2023 and November 26, 2022, respectively. Amortization expense of other identifiable intangible assets is included in selling, general and administrative expenses. At November 25, 2023, the estimated future amortization expense for definite-lived intangible assets was: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Remainder of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2028</w:t>
            </w:r>
          </w:p>
        </w:tc>
      </w:tr>
      <w:tr>
        <w:trPr>
          <w:trHeight w:val="229"/>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r>
    </w:tbl>
    <w:p>
      <w:pPr>
        <w:spacing w:after="0" w:line="31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November 25, 2023, we had a committed revolving credit facility with Wells Fargo Bank, N.A. as administrative agent, and other lenders (U.S. credit facility) with maximum borrowings of up to $385 million and a maturity date of August 5, 2027. Outstanding borrowings under the revolving credit facility were $85.0 million and $156.0 million as of November 25, 2023 and February 25, 2023, respectively.</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maintain two Canadian committed, revolving credit facilities with the Bank of Montreal totaling $25.0 million USD (Canadian facilities). The Canadian facilities expire annually in February, but can be renewed each year solely at our discretion until August 2027. Therefore, we have classified all outstanding amounts under these facilities as long-term debt within our consolidated balance sheets. At November 25, 2023 and February 25, 2023, outstanding borrowings under these Canadian facilities were $3.7 million and $1.8 million, respectively.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revolving credit facilities contain two maintenance financial covenants that require us to stay below a maximum debt-to-EBITDA ratio of 3.25 and maintain a minimum ratio of EBITDA-to-interest expense of 3.00. Both ratios are computed quarterly, with EBITDA calculated on a rolling four-quarter basis. At November 25, 2023, we were in compliance with both financial covenants.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revolving credit facilities also contain an acquisition holiday. In the event we make an acquisition for which the purchase price is greater than $75 million, we can elect to increase the maximum debt-to-EBITDA ratio to 3.75 for a period of four consecutive fiscal quarters, commencing with the fiscal quarter in which a qualifying acquisition occurs. No more than two acquisition "holidays" can occur during the term of the facility, and at least two fiscal quarters must separate qualifying acquisitions.</w:t>
      </w:r>
    </w:p>
    <w:p>
      <w:pPr>
        <w:spacing w:after="0" w:line="19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Borrowings under the credit facilities bear floating interest at either the Base Rate or Term SOFR, plus a margin based on the Leverage Ratio (as defined in the Credit Agreements). For Base Rate borrowings, the margin ranges from 0.125% to 0.75%. For Term SOFR borrowings, the margin ranges from 1.125% to 1.75% and an incremental Term SOFR adjustment of 0.10%.</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credit facility also contains an "accordion" provision. Under this provision, we can request that the facility be increased by as much as $200.0 million. Any Lender may elect or decline to participate in the requested increase at the Lender’s sole discretion.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November 25, 2023, we had a total of $15.0 million of ongoing letters of credit related to industrial revenue bonds, construction contracts and insurance collateral that expire in fiscal year 2025 and reduce borrowing capacity under the revolving credit facility. As of November 25, 2023, the amount available for revolving borrowings was $285.0 million and $21.3 million under the U.S. credit facility and Canadian facilities,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November 25, 2023, debt included $12.0 million of industrial revenue bonds that mature in fiscal years 2036 through 2043.</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our U.S. credit facility, Canadian credit facilities and industrial revenue bonds approximated carrying value at November 25, 2023, and would be classified as Level 2 within the fair value hierarchy described in Note 4, due to the variable interest rates on these instruments..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payments under the U.S. and Canadian credit facilities were $7.5 million and $5.3 million for the nine months ended November 25, 2023 and November 26, 2022, respectively.</w:t>
      </w:r>
    </w:p>
    <w:p>
      <w:pPr>
        <w:spacing w:after="0" w:line="19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 commitments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predominantly in our Architectural Services and Architectural Framing Systems segments, we are required to provide surety or performance bonds that commit payments to our customers for any non-performance. At November 25, 2023, $1.3 billion of these types of bonds were outstanding, of which $398.4 million is in our backlog. These bonds do not have stated expiration dates. We have never been required to make payments under surety or performance bonds with respect to our existing businesses.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and project-related contingencies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these accruals in any given period include the following: changes in manufacturing quality, changes in product mix, and any significant changes in sales volume.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0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40" w:type="dxa"/>
            <w:vAlign w:val="bottom"/>
          </w:tcPr>
          <w:p>
            <w:pPr>
              <w:spacing w:after="0"/>
              <w:rPr>
                <w:sz w:val="16"/>
                <w:szCs w:val="16"/>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26, 2022</w:t>
            </w: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17,893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13,923</w:t>
            </w:r>
          </w:p>
        </w:tc>
      </w:tr>
      <w:tr>
        <w:trPr>
          <w:trHeight w:val="230"/>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accruals</w:t>
            </w:r>
          </w:p>
        </w:tc>
        <w:tc>
          <w:tcPr>
            <w:tcW w:w="160" w:type="dxa"/>
            <w:vAlign w:val="bottom"/>
          </w:tcPr>
          <w:p>
            <w:pPr>
              <w:spacing w:after="0"/>
              <w:rPr>
                <w:sz w:val="19"/>
                <w:szCs w:val="19"/>
                <w:color w:val="auto"/>
              </w:rPr>
            </w:pPr>
          </w:p>
        </w:tc>
        <w:tc>
          <w:tcPr>
            <w:tcW w:w="1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12,743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11,201</w:t>
            </w:r>
          </w:p>
        </w:tc>
      </w:tr>
      <w:tr>
        <w:trPr>
          <w:trHeight w:val="22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paid</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8"/>
              </w:rPr>
              <w:t>(7,644)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(7,755)</w:t>
            </w:r>
          </w:p>
        </w:tc>
      </w:tr>
      <w:tr>
        <w:trPr>
          <w:trHeight w:val="223"/>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22,992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17,369</w:t>
            </w:r>
          </w:p>
        </w:tc>
      </w:tr>
      <w:tr>
        <w:trPr>
          <w:trHeight w:val="20"/>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are subject to project management and installation-related contingencies as a result of our fixed-price material supply and installation service contracts, primarily in our Architectural Services segment and in certain parts of our Architectural Framing Systems businesses. We manage the risk of these exposures through contract negotiations, proactive project management and insurance coverages.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November 25, 2023, we had $15.0 million of ongoing letters of credit, all of which have been issued under our committed revolving credit facility, as discussed in Note 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for raw material commitments and capital expenditures totaled $45.0 million as of November 25,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Markets Tax Credit (NMTC) transactions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two outstanding NMTC arrangements which help to support operational expansion. Proceeds received from investors on these transactions are included within other non-current liabilities in our consolidated balance sheets. The NMTC arrangements are subject to 100 percent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non-current assets in our consolidated balance sheets. These costs will be recognized in conjunction with the recognition of the related proceeds on each arrangement. During the construction phase or for working capital purposes for each project, we are required to hold cash dedicated to fund each project which is classified as restricted cash in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fiscal 2024, one NMTC transaction was settled as expected and as a result, a $4.7 million benefit was recorded in other (income) expense, net.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estimated benefits related to our outstanding NMTC transactions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Inception date</w:t>
            </w:r>
          </w:p>
        </w:tc>
        <w:tc>
          <w:tcPr>
            <w:tcW w:w="3720" w:type="dxa"/>
            <w:vAlign w:val="bottom"/>
          </w:tcPr>
          <w:p>
            <w:pPr>
              <w:ind w:left="840"/>
              <w:spacing w:after="0"/>
              <w:rPr>
                <w:sz w:val="20"/>
                <w:szCs w:val="20"/>
                <w:color w:val="auto"/>
              </w:rPr>
            </w:pPr>
            <w:r>
              <w:rPr>
                <w:rFonts w:ascii="Times New Roman" w:cs="Times New Roman" w:eastAsia="Times New Roman" w:hAnsi="Times New Roman"/>
                <w:sz w:val="16"/>
                <w:szCs w:val="16"/>
                <w:b w:val="1"/>
                <w:bCs w:val="1"/>
                <w:color w:val="auto"/>
              </w:rPr>
              <w:t>Termination date</w:t>
            </w:r>
          </w:p>
        </w:tc>
        <w:tc>
          <w:tcPr>
            <w:tcW w:w="20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Deferred Benefit</w:t>
            </w:r>
          </w:p>
        </w:tc>
        <w:tc>
          <w:tcPr>
            <w:tcW w:w="24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Deferred costs</w:t>
            </w:r>
          </w:p>
        </w:tc>
        <w:tc>
          <w:tcPr>
            <w:tcW w:w="30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Net benefit</w:t>
            </w:r>
          </w:p>
        </w:tc>
      </w:tr>
      <w:tr>
        <w:trPr>
          <w:trHeight w:val="226"/>
        </w:trPr>
        <w:tc>
          <w:tcPr>
            <w:tcW w:w="206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May 2022</w:t>
            </w:r>
            <w:r>
              <w:rPr>
                <w:rFonts w:ascii="Times New Roman" w:cs="Times New Roman" w:eastAsia="Times New Roman" w:hAnsi="Times New Roman"/>
                <w:sz w:val="23"/>
                <w:szCs w:val="23"/>
                <w:color w:val="auto"/>
                <w:vertAlign w:val="superscript"/>
              </w:rPr>
              <w:t>(1)</w:t>
            </w:r>
          </w:p>
        </w:tc>
        <w:tc>
          <w:tcPr>
            <w:tcW w:w="3720" w:type="dxa"/>
            <w:vAlign w:val="bottom"/>
            <w:tcBorders>
              <w:top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August 2025</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r>
      <w:tr>
        <w:trPr>
          <w:trHeight w:val="229"/>
        </w:trPr>
        <w:tc>
          <w:tcPr>
            <w:tcW w:w="2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September 2018</w:t>
            </w:r>
          </w:p>
        </w:tc>
        <w:tc>
          <w:tcPr>
            <w:tcW w:w="372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8"/>
                <w:szCs w:val="18"/>
                <w:color w:val="auto"/>
              </w:rPr>
              <w:t>September 2025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r>
      <w:tr>
        <w:trPr>
          <w:trHeight w:val="248"/>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Continuation of the August 2018 NMTC financing transaction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has appealed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16"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part of our compensation structure, we grant stock-based compensation awards to certain employees and non-employee directors during the fiscal year. These awards may be in the form of incentive stock options (to employees only), nonstatutory options, or nonvested share awards and units, all of which are granted at a price or with an exercise price equal to the fair market value of the Company’s stock at the date of award unless the date of the award is 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day the Nasdaq Global Select market is not open for trading, then the exercise price shall equal the fair market value on the most recent preceding date when such market is open. Refer to our Form 10-K for further information on our share-based compensation plans.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stock-based compensation awards granted during the nine-months ended November 25, 2023, along with the weighted average grant date fair value: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60" w:type="dxa"/>
            <w:vAlign w:val="bottom"/>
          </w:tcPr>
          <w:p>
            <w:pPr>
              <w:spacing w:after="0"/>
              <w:rPr>
                <w:sz w:val="13"/>
                <w:szCs w:val="13"/>
                <w:color w:val="auto"/>
              </w:rPr>
            </w:pPr>
          </w:p>
        </w:tc>
        <w:tc>
          <w:tcPr>
            <w:tcW w:w="14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7"/>
        </w:trPr>
        <w:tc>
          <w:tcPr>
            <w:tcW w:w="8000" w:type="dxa"/>
            <w:vAlign w:val="bottom"/>
            <w:gridSpan w:val="2"/>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6"/>
        </w:trPr>
        <w:tc>
          <w:tcPr>
            <w:tcW w:w="790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Restricted stock awards and restricted stock units</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195,013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306"/>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share units ("PSUs")</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80" w:hanging="154"/>
        <w:spacing w:after="0"/>
        <w:tabs>
          <w:tab w:leader="none" w:pos="1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 service condition awards which generally vest over a two- or three-year period.</w:t>
      </w:r>
    </w:p>
    <w:p>
      <w:pPr>
        <w:spacing w:after="0" w:line="23" w:lineRule="exact"/>
        <w:rPr>
          <w:rFonts w:ascii="Times New Roman" w:cs="Times New Roman" w:eastAsia="Times New Roman" w:hAnsi="Times New Roman"/>
          <w:sz w:val="19"/>
          <w:szCs w:val="19"/>
          <w:color w:val="auto"/>
          <w:vertAlign w:val="superscript"/>
        </w:rPr>
      </w:pPr>
    </w:p>
    <w:p>
      <w:pPr>
        <w:ind w:left="180" w:right="20" w:hanging="154"/>
        <w:spacing w:after="0" w:line="219" w:lineRule="auto"/>
        <w:tabs>
          <w:tab w:leader="none" w:pos="181"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 performance condition awards with the grant equal to the target number of performance shares based on the share price at grant date. These grants allow for the right to receive a variable number of shares, between 0% and 200% of target, dependent on achieving a defined performance goal of return on invested capital and being employed at the end of the performance period.</w:t>
      </w: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 included in the results of operations was $6.6 million for the nine-month period ended November 25, 2023, and $6.0 million for the nine-month period ended November 26,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November 25, 2023, there was $11.6 million of total unrecognized compensation cost related to nonvested share and nonvested share unit awards, which is expected to be recognized over a weighted average period of approximately 21 months. The total fair value of shares vested during the nine months ended November 25, 2023 was $5.8 million.</w:t>
      </w:r>
    </w:p>
    <w:p>
      <w:pPr>
        <w:spacing w:after="0" w:line="199"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file income tax returns in the U.S. federal jurisdiction, various U.S. state and local jurisdictions, Canada, Brazil and other international jurisdictions. We are no longer subject to U.S. federal tax examinations for years prior to fiscal 2020, or state and local income tax examinations for years prior to fiscal 2015. We are not currently under U.S. federal examination for years subsequent to fiscal year 2019, and there is very limited examination activity of our income tax returns in U.S. state jurisdictions or international jurisdictions.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liability for unrecognized tax benefits was $5.3 million at November 25, 2023 and February 25, 2023, respectively. Penalties and interest related to unrecognized tax benefits are recorded in income tax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share amounts used in the computation of basic and diluted earnings per share (diluted EPS):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980" w:type="dxa"/>
            <w:vAlign w:val="bottom"/>
            <w:gridSpan w:val="3"/>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22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5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4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00" w:type="dxa"/>
            <w:vAlign w:val="bottom"/>
          </w:tcPr>
          <w:p>
            <w:pPr>
              <w:spacing w:after="0"/>
              <w:rPr>
                <w:sz w:val="16"/>
                <w:szCs w:val="16"/>
                <w:color w:val="auto"/>
              </w:rPr>
            </w:pPr>
          </w:p>
        </w:tc>
        <w:tc>
          <w:tcPr>
            <w:tcW w:w="15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4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0" w:type="dxa"/>
            <w:vAlign w:val="bottom"/>
          </w:tcPr>
          <w:p>
            <w:pPr>
              <w:spacing w:after="0"/>
              <w:rPr>
                <w:sz w:val="1"/>
                <w:szCs w:val="1"/>
                <w:color w:val="auto"/>
              </w:rPr>
            </w:pPr>
          </w:p>
        </w:tc>
      </w:tr>
      <w:tr>
        <w:trPr>
          <w:trHeight w:val="175"/>
        </w:trPr>
        <w:tc>
          <w:tcPr>
            <w:tcW w:w="512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earnings  per  share  –  weighted  average  common  shares</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21,889</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22,043</w:t>
            </w:r>
          </w:p>
        </w:tc>
        <w:tc>
          <w:tcPr>
            <w:tcW w:w="0" w:type="dxa"/>
            <w:vAlign w:val="bottom"/>
          </w:tcPr>
          <w:p>
            <w:pPr>
              <w:spacing w:after="0"/>
              <w:rPr>
                <w:sz w:val="1"/>
                <w:szCs w:val="1"/>
                <w:color w:val="auto"/>
              </w:rPr>
            </w:pPr>
          </w:p>
        </w:tc>
      </w:tr>
      <w:tr>
        <w:trPr>
          <w:trHeight w:val="175"/>
        </w:trPr>
        <w:tc>
          <w:tcPr>
            <w:tcW w:w="5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effect of nonvested share grants and assumed</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155"/>
        </w:trPr>
        <w:tc>
          <w:tcPr>
            <w:tcW w:w="522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Diluted earnings per share – weighted average common shares and</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22,013</w:t>
            </w:r>
          </w:p>
        </w:tc>
        <w:tc>
          <w:tcPr>
            <w:tcW w:w="10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10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22,093</w:t>
            </w:r>
          </w:p>
        </w:tc>
        <w:tc>
          <w:tcPr>
            <w:tcW w:w="10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22,456</w:t>
            </w: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potential common shares outstanding</w:t>
            </w: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Stock awards excluded from the calculation of earnings per share</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20" w:type="dxa"/>
            <w:vAlign w:val="bottom"/>
            <w:gridSpan w:val="2"/>
            <w:vMerge w:val="continue"/>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22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because the effect was anti-dilutive (award price greater than</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average market price of the shares)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Business Segment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four reporting segments:</w:t>
      </w:r>
    </w:p>
    <w:p>
      <w:pPr>
        <w:spacing w:after="0" w:line="27" w:lineRule="exact"/>
        <w:rPr>
          <w:sz w:val="20"/>
          <w:szCs w:val="20"/>
          <w:color w:val="auto"/>
        </w:rPr>
      </w:pPr>
    </w:p>
    <w:p>
      <w:pPr>
        <w:ind w:left="660" w:right="20" w:hanging="328"/>
        <w:spacing w:after="0" w:line="23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Framing Systems</w:t>
      </w:r>
      <w:r>
        <w:rPr>
          <w:rFonts w:ascii="Times New Roman" w:cs="Times New Roman" w:eastAsia="Times New Roman" w:hAnsi="Times New Roman"/>
          <w:sz w:val="18"/>
          <w:szCs w:val="18"/>
          <w:color w:val="auto"/>
        </w:rPr>
        <w:t xml:space="preserve"> segment designs, engineers, fabricates and finishes aluminum window, curtainwall, storefront and entrance systems for the exterior of buildings.</w:t>
      </w:r>
    </w:p>
    <w:p>
      <w:pPr>
        <w:spacing w:after="0" w:line="1" w:lineRule="exact"/>
        <w:rPr>
          <w:rFonts w:ascii="Times New Roman" w:cs="Times New Roman" w:eastAsia="Times New Roman" w:hAnsi="Times New Roman"/>
          <w:sz w:val="18"/>
          <w:szCs w:val="18"/>
          <w:color w:val="auto"/>
        </w:rPr>
      </w:pPr>
    </w:p>
    <w:p>
      <w:pPr>
        <w:ind w:left="660" w:right="20" w:hanging="328"/>
        <w:spacing w:after="0" w:line="24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w:t>
      </w:r>
      <w:r>
        <w:rPr>
          <w:rFonts w:ascii="Times New Roman" w:cs="Times New Roman" w:eastAsia="Times New Roman" w:hAnsi="Times New Roman"/>
          <w:sz w:val="18"/>
          <w:szCs w:val="18"/>
          <w:color w:val="auto"/>
        </w:rPr>
        <w:t xml:space="preserve"> segment coats and fabricates, high-performance glass used in custom window and wall systems on commercial buildings.</w:t>
      </w:r>
    </w:p>
    <w:p>
      <w:pPr>
        <w:spacing w:after="0" w:line="1" w:lineRule="exact"/>
        <w:rPr>
          <w:rFonts w:ascii="Times New Roman" w:cs="Times New Roman" w:eastAsia="Times New Roman" w:hAnsi="Times New Roman"/>
          <w:sz w:val="18"/>
          <w:szCs w:val="18"/>
          <w:color w:val="auto"/>
        </w:rPr>
      </w:pPr>
    </w:p>
    <w:p>
      <w:pPr>
        <w:ind w:left="660" w:hanging="328"/>
        <w:spacing w:after="0" w:line="24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w:t>
      </w:r>
      <w:r>
        <w:rPr>
          <w:rFonts w:ascii="Times New Roman" w:cs="Times New Roman" w:eastAsia="Times New Roman" w:hAnsi="Times New Roman"/>
          <w:sz w:val="18"/>
          <w:szCs w:val="18"/>
          <w:color w:val="auto"/>
        </w:rPr>
        <w:t xml:space="preserve"> segment integrates technical services, project management, and field installation services to design, engineer, fabricate, and install building glass and curtainwall systems.</w:t>
      </w: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Large-Scale Optical (LSO)</w:t>
      </w:r>
      <w:r>
        <w:rPr>
          <w:rFonts w:ascii="Times New Roman" w:cs="Times New Roman" w:eastAsia="Times New Roman" w:hAnsi="Times New Roman"/>
          <w:sz w:val="18"/>
          <w:szCs w:val="18"/>
          <w:color w:val="auto"/>
        </w:rPr>
        <w:t xml:space="preserve"> segment manufactures high-performance glass and acrylic products for custom framing, museum, and technical glass markets.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2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40" w:type="dxa"/>
            <w:vAlign w:val="bottom"/>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0" w:type="dxa"/>
            <w:vAlign w:val="bottom"/>
          </w:tcPr>
          <w:p>
            <w:pPr>
              <w:spacing w:after="0"/>
              <w:rPr>
                <w:sz w:val="1"/>
                <w:szCs w:val="1"/>
                <w:color w:val="auto"/>
              </w:rPr>
            </w:pPr>
          </w:p>
        </w:tc>
      </w:tr>
      <w:tr>
        <w:trPr>
          <w:trHeight w:val="229"/>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sales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501,172</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235,158</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312,151</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76,988</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(28,878)</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1,096,591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66,266</w:t>
            </w:r>
          </w:p>
        </w:tc>
        <w:tc>
          <w:tcPr>
            <w:tcW w:w="0" w:type="dxa"/>
            <w:vAlign w:val="bottom"/>
          </w:tcPr>
          <w:p>
            <w:pPr>
              <w:spacing w:after="0"/>
              <w:rPr>
                <w:sz w:val="1"/>
                <w:szCs w:val="1"/>
                <w:color w:val="auto"/>
              </w:rPr>
            </w:pPr>
          </w:p>
        </w:tc>
      </w:tr>
      <w:tr>
        <w:trPr>
          <w:trHeight w:val="229"/>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19,087</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14,449</w:t>
            </w:r>
          </w:p>
        </w:tc>
        <w:tc>
          <w:tcPr>
            <w:tcW w:w="0" w:type="dxa"/>
            <w:vAlign w:val="bottom"/>
          </w:tcPr>
          <w:p>
            <w:pPr>
              <w:spacing w:after="0"/>
              <w:rPr>
                <w:sz w:val="1"/>
                <w:szCs w:val="1"/>
                <w:color w:val="auto"/>
              </w:rPr>
            </w:pPr>
          </w:p>
        </w:tc>
      </w:tr>
      <w:tr>
        <w:trPr>
          <w:trHeight w:val="229"/>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19,598</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(19,351)</w:t>
            </w:r>
          </w:p>
        </w:tc>
        <w:tc>
          <w:tcPr>
            <w:tcW w:w="0" w:type="dxa"/>
            <w:vAlign w:val="bottom"/>
          </w:tcPr>
          <w:p>
            <w:pPr>
              <w:spacing w:after="0"/>
              <w:rPr>
                <w:sz w:val="1"/>
                <w:szCs w:val="1"/>
                <w:color w:val="auto"/>
              </w:rPr>
            </w:pPr>
          </w:p>
        </w:tc>
      </w:tr>
      <w:tr>
        <w:trPr>
          <w:trHeight w:val="223"/>
        </w:trPr>
        <w:tc>
          <w:tcPr>
            <w:tcW w:w="4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111,967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100,049</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other includes certain corporate expenses that are not allocated at a segment level.</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Quarterly Report on Form 10-Q, including the section, Management’s Discussion and Analysis of Financial Condition and Results of Operations,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"will," "continue"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Information about factors that could materially affect our results can be found in the “Risk Factors” section of our Annual Report on Form 10-K for the year ended February 25, 2023 and in subsequent filings with the U.S. Securities and Exchange Commission, including this Quarterly Report on Form 10-Q.</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have included in this report measures of financial performance that are not defined by GAAP. We believe that these measures provide useful information to investors, and include these measures in other communications to investors. For each of these non-GAAP financial measures, we are providing a reconciliation of the differences between the non-GAAP measure and the most directly comparable GAAP measure, an explanation of why we believe the non-GAAP measure provides useful information to investors, and any additional material purposes for which our management or Board of Directors uses the non-GAAP measure. These non-GAAP measures should be viewed in addition to, and not in lieu of, the comparable GAAP measure. Adjusted net earnings and adjusted earnings per diluted share (adjusted diluted EPS) are supplemental non-GAAP financial measures provided by the Company to assess performance on a more comparable basis from period-to-period by excluding amounts that management does not consider part of core operating results. Management uses these non-GAAP</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measures to evaluate the Company’s historical and prospective financial performance, measure operational profitability on a consistent basis, as a factor in determining executive compensation, and to provide enhanced transparency to the investment community.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are a leader in the design and development of value-added glass and metal products and services. Our four reporting segments are: Architectural Framing Systems, Architectural Glass, Architectural Services and Large-Scale Optical (LSO).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key elements of our enterprise strategy are discussed below:</w:t>
      </w:r>
    </w:p>
    <w:p>
      <w:pPr>
        <w:spacing w:after="0" w:line="27" w:lineRule="exact"/>
        <w:rPr>
          <w:sz w:val="20"/>
          <w:szCs w:val="20"/>
          <w:color w:val="auto"/>
        </w:rPr>
      </w:pPr>
    </w:p>
    <w:p>
      <w:pPr>
        <w:jc w:val="both"/>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Become the economic leader in our target markets. </w:t>
      </w:r>
      <w:r>
        <w:rPr>
          <w:rFonts w:ascii="Times New Roman" w:cs="Times New Roman" w:eastAsia="Times New Roman" w:hAnsi="Times New Roman"/>
          <w:sz w:val="18"/>
          <w:szCs w:val="18"/>
          <w:color w:val="auto"/>
        </w:rPr>
        <w:t>We will attempt to achieve this by developing a deep understanding of our target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aligning our businesses with clear go-to-market strategies to drive value for our customers through differentiated product and service offerings. We will also strive to build a relentless focus on operational execution, driving productivity improvements, and maintaining a competitive cost structure, so that we may bring more value to our customers and improve our own profitability.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Actively manage our portfolio to drive higher margins and returns. </w:t>
      </w:r>
      <w:r>
        <w:rPr>
          <w:rFonts w:ascii="Times New Roman" w:cs="Times New Roman" w:eastAsia="Times New Roman" w:hAnsi="Times New Roman"/>
          <w:sz w:val="18"/>
          <w:szCs w:val="18"/>
          <w:color w:val="auto"/>
        </w:rPr>
        <w:t>We intend to shift our business mix toward higher operating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offerings and improve our return on invested capital performance. We plan to accomplish this by allocating resources to grow our top performing businesses, actively addressing underperforming businesses, and investing to add new differentiated product and service offerings to accelerate our growth.</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our core capabilities. </w:t>
      </w:r>
      <w:r>
        <w:rPr>
          <w:rFonts w:ascii="Times New Roman" w:cs="Times New Roman" w:eastAsia="Times New Roman" w:hAnsi="Times New Roman"/>
          <w:sz w:val="18"/>
          <w:szCs w:val="18"/>
          <w:color w:val="auto"/>
        </w:rPr>
        <w:t>We are working to shift from our historical, decentralized operating model, to one with center-led functional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that enables us to leverage the scale of the enterprise to better support the needs of the business. We are establishing a Company-wide operating system with common tools and processes that are based on the foundation of Lean and Continuous Improvement, which we are calling "Apogee Management System" or "AMS". We plan to support this through a robust talent management program and a commitment to strong governance to ensure compliance and drive sustainable performance.</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made significant progress toward executing our enterprise strategy and underlying financial targets. We advanced our AMS initiatives, which have resulted in meaningful productivity improvements, particularly in Architectural Glass. We increased our focus on differentiated products and services, and effectively managed pricing to share in the value we delivered for our customers. We have focused on sustainable cost improvements and improvements to quality, service and delivery, while shifting mix toward more differentiated offerings. We integrated the Sotawall business into the Architectural Services segment, in order to create a single, unified offering for larger custom curtainwall projects. We advanced several initiatives to strengthen our core capabilities, driving the standardization of key business processes and systems. We also relaunched our talent development and leadership training programs and added key talent across the organization.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Company’s Form 10-K for the year ended February 25, 2023 and the consolidated financial statements, including the notes to consolidated financial statements, included therein.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various components of operations as year over year U.S. dollar and percentage change, as well as a percentage of net sales.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3"/>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0" w:type="dxa"/>
            <w:vAlign w:val="bottom"/>
          </w:tcPr>
          <w:p>
            <w:pPr>
              <w:spacing w:after="0"/>
              <w:rPr>
                <w:sz w:val="1"/>
                <w:szCs w:val="1"/>
                <w:color w:val="auto"/>
              </w:rPr>
            </w:pPr>
          </w:p>
        </w:tc>
      </w:tr>
      <w:tr>
        <w:trPr>
          <w:trHeight w:val="23"/>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0" w:type="dxa"/>
            <w:vAlign w:val="bottom"/>
          </w:tcPr>
          <w:p>
            <w:pPr>
              <w:spacing w:after="0"/>
              <w:rPr>
                <w:sz w:val="1"/>
                <w:szCs w:val="1"/>
                <w:color w:val="auto"/>
              </w:rPr>
            </w:pPr>
          </w:p>
        </w:tc>
      </w:tr>
      <w:tr>
        <w:trPr>
          <w:trHeight w:val="229"/>
        </w:trPr>
        <w:tc>
          <w:tcPr>
            <w:tcW w:w="25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339,714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367,847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(28,133)</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249,409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281,239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23"/>
        </w:trPr>
        <w:tc>
          <w:tcPr>
            <w:tcW w:w="2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90,305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86,608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175"/>
        </w:trPr>
        <w:tc>
          <w:tcPr>
            <w:tcW w:w="2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52,658</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51,847</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2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37,647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34,761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2,590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552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2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35,303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31,619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8,329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7,854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2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26,974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23,765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30"/>
        </w:trPr>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0" w:type="dxa"/>
            <w:vAlign w:val="bottom"/>
          </w:tcPr>
          <w:p>
            <w:pPr>
              <w:spacing w:after="0"/>
              <w:rPr>
                <w:sz w:val="1"/>
                <w:szCs w:val="1"/>
                <w:color w:val="auto"/>
              </w:rPr>
            </w:pPr>
          </w:p>
        </w:tc>
      </w:tr>
      <w:tr>
        <w:trPr>
          <w:trHeight w:val="23"/>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gridSpan w:val="4"/>
          </w:tcPr>
          <w:p>
            <w:pPr>
              <w:spacing w:after="0"/>
              <w:rPr>
                <w:sz w:val="2"/>
                <w:szCs w:val="2"/>
                <w:color w:val="auto"/>
              </w:rPr>
            </w:pPr>
          </w:p>
        </w:tc>
        <w:tc>
          <w:tcPr>
            <w:tcW w:w="150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380" w:type="dxa"/>
            <w:vAlign w:val="bottom"/>
            <w:tcBorders>
              <w:top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20" w:type="dxa"/>
            <w:vAlign w:val="bottom"/>
            <w:gridSpan w:val="2"/>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0" w:type="dxa"/>
            <w:vAlign w:val="bottom"/>
          </w:tcPr>
          <w:p>
            <w:pPr>
              <w:spacing w:after="0"/>
              <w:rPr>
                <w:sz w:val="1"/>
                <w:szCs w:val="1"/>
                <w:color w:val="auto"/>
              </w:rPr>
            </w:pPr>
          </w:p>
        </w:tc>
      </w:tr>
      <w:tr>
        <w:trPr>
          <w:trHeight w:val="229"/>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1,055,102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1,096,591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776,440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839,430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23"/>
        </w:trPr>
        <w:tc>
          <w:tcPr>
            <w:tcW w:w="2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278,662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257,161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184"/>
        </w:trPr>
        <w:tc>
          <w:tcPr>
            <w:tcW w:w="25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and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166,695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157,112</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2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111,967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100,049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(3,722)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N/M</w:t>
            </w:r>
          </w:p>
        </w:tc>
        <w:tc>
          <w:tcPr>
            <w:tcW w:w="13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2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109,969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92,520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26,092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2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83,877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83,885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2024 to Third Quarter Fiscal 2023</w:t>
      </w:r>
    </w:p>
    <w:p>
      <w:pPr>
        <w:spacing w:after="0" w:line="18" w:lineRule="exact"/>
        <w:rPr>
          <w:sz w:val="20"/>
          <w:szCs w:val="20"/>
          <w:color w:val="auto"/>
        </w:rPr>
      </w:pPr>
    </w:p>
    <w:p>
      <w:pPr>
        <w:ind w:left="660" w:hanging="328"/>
        <w:spacing w:after="0" w:line="228" w:lineRule="auto"/>
        <w:tabs>
          <w:tab w:leader="none" w:pos="653" w:val="left"/>
        </w:tabs>
        <w:numPr>
          <w:ilvl w:val="0"/>
          <w:numId w:val="16"/>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Consolidated net sales decreased 7.6%, or $28.1 million, to $339.7 million, primarily reflecting lower volumes, partially offset by improved mix and pricing.</w:t>
      </w:r>
    </w:p>
    <w:p>
      <w:pPr>
        <w:spacing w:after="0" w:line="212" w:lineRule="exact"/>
        <w:rPr>
          <w:rFonts w:ascii="Calibri" w:cs="Calibri" w:eastAsia="Calibri" w:hAnsi="Calibri"/>
          <w:sz w:val="20"/>
          <w:szCs w:val="20"/>
          <w:b w:val="1"/>
          <w:bCs w:val="1"/>
          <w:color w:val="auto"/>
        </w:rPr>
      </w:pPr>
    </w:p>
    <w:p>
      <w:pPr>
        <w:jc w:val="both"/>
        <w:ind w:left="660" w:hanging="328"/>
        <w:spacing w:after="0" w:line="244" w:lineRule="auto"/>
        <w:tabs>
          <w:tab w:leader="none" w:pos="653" w:val="left"/>
        </w:tabs>
        <w:numPr>
          <w:ilvl w:val="0"/>
          <w:numId w:val="16"/>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Gross profit increased 4.3%, or $3.7 million, and gross margin increased to 26.6%, compared to 23.5%. The improvement in gross margin was primarily driven by higher pricing, improved product mix, lower short-term incentive compensation expense, and lower insurance-related expense, partially offset by the impact of lower volume and a less favorable mix of projects in Architectural Services.</w:t>
      </w:r>
    </w:p>
    <w:p>
      <w:pPr>
        <w:spacing w:after="0" w:line="208" w:lineRule="exact"/>
        <w:rPr>
          <w:rFonts w:ascii="Calibri" w:cs="Calibri" w:eastAsia="Calibri" w:hAnsi="Calibri"/>
          <w:sz w:val="20"/>
          <w:szCs w:val="20"/>
          <w:b w:val="1"/>
          <w:bCs w:val="1"/>
          <w:color w:val="auto"/>
        </w:rPr>
      </w:pPr>
    </w:p>
    <w:p>
      <w:pPr>
        <w:ind w:left="660" w:right="20" w:hanging="328"/>
        <w:spacing w:after="0" w:line="239" w:lineRule="auto"/>
        <w:tabs>
          <w:tab w:leader="none" w:pos="653" w:val="left"/>
        </w:tabs>
        <w:numPr>
          <w:ilvl w:val="0"/>
          <w:numId w:val="16"/>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Selling, general and administrative expenses increased $0.8 million to 15.5% of net sales, compared to 14.1%, primarily due to higher salaries and benefits costs, partially offset by lower short-term incentive compensation expense.</w:t>
      </w:r>
    </w:p>
    <w:p>
      <w:pPr>
        <w:spacing w:after="0" w:line="212" w:lineRule="exact"/>
        <w:rPr>
          <w:rFonts w:ascii="Calibri" w:cs="Calibri" w:eastAsia="Calibri" w:hAnsi="Calibri"/>
          <w:sz w:val="20"/>
          <w:szCs w:val="20"/>
          <w:b w:val="1"/>
          <w:bCs w:val="1"/>
          <w:color w:val="auto"/>
        </w:rPr>
      </w:pPr>
    </w:p>
    <w:p>
      <w:pPr>
        <w:jc w:val="both"/>
        <w:ind w:left="660" w:hanging="328"/>
        <w:spacing w:after="0" w:line="238" w:lineRule="auto"/>
        <w:tabs>
          <w:tab w:leader="none" w:pos="653" w:val="left"/>
        </w:tabs>
        <w:numPr>
          <w:ilvl w:val="0"/>
          <w:numId w:val="16"/>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grew 8.3% to $37.6 million, and operating margin increased 170 basis points to 11.1%, primarily driven by improved segment operating margin in Architectural Glass as well as the Architectural Glass segment comprising a higher mix of the consolidated results, partially offset by lower segment operating margin in Architectural Framing Systems.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line="239" w:lineRule="auto"/>
        <w:tabs>
          <w:tab w:leader="none" w:pos="653" w:val="left"/>
        </w:tabs>
        <w:numPr>
          <w:ilvl w:val="0"/>
          <w:numId w:val="1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Interest expense, net was $1.5 million, compared to $2.6 million, reflecting a lower average debt level, partially offset by higher average interest rates.</w:t>
      </w:r>
    </w:p>
    <w:p>
      <w:pPr>
        <w:spacing w:after="0" w:line="202" w:lineRule="exact"/>
        <w:rPr>
          <w:rFonts w:ascii="Calibri" w:cs="Calibri" w:eastAsia="Calibri" w:hAnsi="Calibri"/>
          <w:sz w:val="20"/>
          <w:szCs w:val="20"/>
          <w:b w:val="1"/>
          <w:bCs w:val="1"/>
          <w:color w:val="auto"/>
        </w:rPr>
      </w:pPr>
    </w:p>
    <w:p>
      <w:pPr>
        <w:ind w:left="640" w:hanging="308"/>
        <w:spacing w:after="0"/>
        <w:tabs>
          <w:tab w:leader="none" w:pos="640" w:val="left"/>
        </w:tabs>
        <w:numPr>
          <w:ilvl w:val="0"/>
          <w:numId w:val="1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Income tax expense was $8.3 million, compared to $7.9 million.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2024 to First Nine Months of Fiscal 2023</w:t>
      </w:r>
    </w:p>
    <w:p>
      <w:pPr>
        <w:spacing w:after="0" w:line="18" w:lineRule="exact"/>
        <w:rPr>
          <w:sz w:val="20"/>
          <w:szCs w:val="20"/>
          <w:color w:val="auto"/>
        </w:rPr>
      </w:pPr>
    </w:p>
    <w:p>
      <w:pPr>
        <w:jc w:val="both"/>
        <w:ind w:left="660" w:hanging="328"/>
        <w:spacing w:after="0" w:line="230" w:lineRule="auto"/>
        <w:tabs>
          <w:tab w:leader="none" w:pos="653" w:val="left"/>
        </w:tabs>
        <w:numPr>
          <w:ilvl w:val="0"/>
          <w:numId w:val="18"/>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Consolidated net sales decreased 3.8%, or $41.5 million, to $1.1 billion, primarily reflecting lower volumes in Architectural Framing Systems, Architectural Services and Large-Scale Optical, partially offset by improved mix in the Architectural Glass and Architectural Framing Systems segments, as well as improved pricing in the Architectural Glass segment.</w:t>
      </w:r>
    </w:p>
    <w:p>
      <w:pPr>
        <w:spacing w:after="0" w:line="213" w:lineRule="exact"/>
        <w:rPr>
          <w:rFonts w:ascii="Calibri" w:cs="Calibri" w:eastAsia="Calibri" w:hAnsi="Calibri"/>
          <w:sz w:val="20"/>
          <w:szCs w:val="20"/>
          <w:b w:val="1"/>
          <w:bCs w:val="1"/>
          <w:color w:val="auto"/>
        </w:rPr>
      </w:pPr>
    </w:p>
    <w:p>
      <w:pPr>
        <w:jc w:val="both"/>
        <w:ind w:left="660" w:hanging="328"/>
        <w:spacing w:after="0" w:line="237" w:lineRule="auto"/>
        <w:tabs>
          <w:tab w:leader="none" w:pos="653" w:val="left"/>
        </w:tabs>
        <w:numPr>
          <w:ilvl w:val="0"/>
          <w:numId w:val="18"/>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Gross profit increased 8.4%, or $21.5 million, to 26.4% of net sales, compared to 23.5%. The gross margin improvement was primarily driven by higher margins in Architectural Glass, due to increased pricing and mix, as well as lower short-term incentive compensation expense, primarily in Architectural Framing and Architectural Services, and lower insurance-related expense. This was partially offset by the impact of lower volume and a less favorable mix of projects in Architectural Services.</w:t>
      </w:r>
    </w:p>
    <w:p>
      <w:pPr>
        <w:spacing w:after="0" w:line="212" w:lineRule="exact"/>
        <w:rPr>
          <w:rFonts w:ascii="Calibri" w:cs="Calibri" w:eastAsia="Calibri" w:hAnsi="Calibri"/>
          <w:sz w:val="20"/>
          <w:szCs w:val="20"/>
          <w:b w:val="1"/>
          <w:bCs w:val="1"/>
          <w:color w:val="auto"/>
        </w:rPr>
      </w:pPr>
    </w:p>
    <w:p>
      <w:pPr>
        <w:ind w:left="660" w:hanging="328"/>
        <w:spacing w:after="0" w:line="254" w:lineRule="auto"/>
        <w:tabs>
          <w:tab w:leader="none" w:pos="653" w:val="left"/>
        </w:tabs>
        <w:numPr>
          <w:ilvl w:val="0"/>
          <w:numId w:val="18"/>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Selling, general and administrative expenses increased $9.6 million to 15.8% of net sales, compared to 14.3%. The increase in expenses was primarily due to increased salaries and benefits and consulting costs, partially offset by lower short-term incentive compensation expense.</w:t>
      </w:r>
    </w:p>
    <w:p>
      <w:pPr>
        <w:spacing w:after="0" w:line="184" w:lineRule="exact"/>
        <w:rPr>
          <w:rFonts w:ascii="Calibri" w:cs="Calibri" w:eastAsia="Calibri" w:hAnsi="Calibri"/>
          <w:sz w:val="20"/>
          <w:szCs w:val="20"/>
          <w:b w:val="1"/>
          <w:bCs w:val="1"/>
          <w:color w:val="auto"/>
        </w:rPr>
      </w:pPr>
    </w:p>
    <w:p>
      <w:pPr>
        <w:ind w:left="660" w:right="20" w:hanging="328"/>
        <w:spacing w:after="0" w:line="254" w:lineRule="auto"/>
        <w:tabs>
          <w:tab w:leader="none" w:pos="653" w:val="left"/>
        </w:tabs>
        <w:numPr>
          <w:ilvl w:val="0"/>
          <w:numId w:val="18"/>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grew 11.9% to $112.0 million, and operating margin increased 150 basis points to 10.6%, primarily driven by improved operating margin in Architectural Glass as well as the Architectural Glass segment comprising a higher mix of the consolidated results.</w:t>
      </w:r>
    </w:p>
    <w:p>
      <w:pPr>
        <w:spacing w:after="0" w:line="197" w:lineRule="exact"/>
        <w:rPr>
          <w:rFonts w:ascii="Calibri" w:cs="Calibri" w:eastAsia="Calibri" w:hAnsi="Calibri"/>
          <w:sz w:val="20"/>
          <w:szCs w:val="20"/>
          <w:b w:val="1"/>
          <w:bCs w:val="1"/>
          <w:color w:val="auto"/>
        </w:rPr>
      </w:pPr>
    </w:p>
    <w:p>
      <w:pPr>
        <w:ind w:left="660" w:hanging="328"/>
        <w:spacing w:after="0" w:line="239" w:lineRule="auto"/>
        <w:tabs>
          <w:tab w:leader="none" w:pos="653" w:val="left"/>
        </w:tabs>
        <w:numPr>
          <w:ilvl w:val="0"/>
          <w:numId w:val="18"/>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Interest expense, net was $5.7 million, compared to $5.5 million, reflecting a higher average interest rate, partially offset by a lower average debt level.</w:t>
      </w:r>
    </w:p>
    <w:p>
      <w:pPr>
        <w:spacing w:after="0" w:line="212" w:lineRule="exact"/>
        <w:rPr>
          <w:rFonts w:ascii="Calibri" w:cs="Calibri" w:eastAsia="Calibri" w:hAnsi="Calibri"/>
          <w:sz w:val="20"/>
          <w:szCs w:val="20"/>
          <w:b w:val="1"/>
          <w:bCs w:val="1"/>
          <w:color w:val="auto"/>
        </w:rPr>
      </w:pPr>
    </w:p>
    <w:p>
      <w:pPr>
        <w:ind w:left="660" w:hanging="328"/>
        <w:spacing w:after="0" w:line="254" w:lineRule="auto"/>
        <w:tabs>
          <w:tab w:leader="none" w:pos="653" w:val="left"/>
        </w:tabs>
        <w:numPr>
          <w:ilvl w:val="0"/>
          <w:numId w:val="18"/>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Other (income) expense, net included a $4.7 million pre-tax gain related to finalization of a New Markets Tax Credit transaction realized during the second quarter of fiscal 2024.</w:t>
      </w:r>
    </w:p>
    <w:p>
      <w:pPr>
        <w:spacing w:after="0" w:line="197" w:lineRule="exact"/>
        <w:rPr>
          <w:rFonts w:ascii="Calibri" w:cs="Calibri" w:eastAsia="Calibri" w:hAnsi="Calibri"/>
          <w:sz w:val="20"/>
          <w:szCs w:val="20"/>
          <w:b w:val="1"/>
          <w:bCs w:val="1"/>
          <w:color w:val="auto"/>
        </w:rPr>
      </w:pPr>
    </w:p>
    <w:p>
      <w:pPr>
        <w:ind w:left="660" w:hanging="328"/>
        <w:spacing w:after="0" w:line="239" w:lineRule="auto"/>
        <w:tabs>
          <w:tab w:leader="none" w:pos="653" w:val="left"/>
        </w:tabs>
        <w:numPr>
          <w:ilvl w:val="0"/>
          <w:numId w:val="18"/>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Income tax expense was $26.1 million, compared to $8.6 million. The prior year period included a $13.7 million tax deduction for a worthless stock loss and related discrete tax benefits.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operating income (loss) and operating margin by segment and consolidated total.</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60" w:type="dxa"/>
            <w:vAlign w:val="bottom"/>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80" w:type="dxa"/>
            <w:vAlign w:val="bottom"/>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percentages)</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sales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139,585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165,013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462,548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501,172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90,964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81,541</w:t>
            </w:r>
          </w:p>
        </w:tc>
        <w:tc>
          <w:tcPr>
            <w:tcW w:w="11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282,262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235,158</w:t>
            </w:r>
          </w:p>
        </w:tc>
        <w:tc>
          <w:tcPr>
            <w:tcW w:w="11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2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2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94,662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102,031</w:t>
            </w:r>
          </w:p>
        </w:tc>
        <w:tc>
          <w:tcPr>
            <w:tcW w:w="11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272,144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312,151</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26,009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26,660</w:t>
            </w:r>
          </w:p>
        </w:tc>
        <w:tc>
          <w:tcPr>
            <w:tcW w:w="11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72,110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76,988</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(11,506)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(7,398)</w:t>
            </w:r>
          </w:p>
        </w:tc>
        <w:tc>
          <w:tcPr>
            <w:tcW w:w="1160" w:type="dxa"/>
            <w:vAlign w:val="bottom"/>
            <w:tcBorders>
              <w:bottom w:val="single" w:sz="8" w:color="CCEEFF"/>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(33,962)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(28,878)</w:t>
            </w:r>
          </w:p>
        </w:tc>
        <w:tc>
          <w:tcPr>
            <w:tcW w:w="1140" w:type="dxa"/>
            <w:vAlign w:val="bottom"/>
            <w:tcBorders>
              <w:bottom w:val="single" w:sz="8" w:color="CCEEFF"/>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339,714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367,847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1,055,102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1,096,591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16,981</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22,089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57,986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66,266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2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2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15,164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7,461</w:t>
            </w: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49,119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19,087</w:t>
            </w: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5,288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6,032</w:t>
            </w:r>
          </w:p>
        </w:tc>
        <w:tc>
          <w:tcPr>
            <w:tcW w:w="11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14,449</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29"/>
        </w:trPr>
        <w:tc>
          <w:tcPr>
            <w:tcW w:w="2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2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7,100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7,109</w:t>
            </w:r>
          </w:p>
        </w:tc>
        <w:tc>
          <w:tcPr>
            <w:tcW w:w="11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17,288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19,598</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(6,886)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(7,930)</w:t>
            </w:r>
          </w:p>
        </w:tc>
        <w:tc>
          <w:tcPr>
            <w:tcW w:w="11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(20,637)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(19,351)</w:t>
            </w:r>
          </w:p>
        </w:tc>
        <w:tc>
          <w:tcPr>
            <w:tcW w:w="11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2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37,647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34,761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111,967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100,049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operating margin</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2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N/M Indicates calculation not meaningful.</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Framing Systems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2024 to Third Quarter Fiscal 2023</w:t>
      </w:r>
    </w:p>
    <w:p>
      <w:pPr>
        <w:spacing w:after="0" w:line="11" w:lineRule="exact"/>
        <w:rPr>
          <w:sz w:val="20"/>
          <w:szCs w:val="20"/>
          <w:color w:val="auto"/>
        </w:rPr>
      </w:pPr>
    </w:p>
    <w:p>
      <w:pPr>
        <w:ind w:left="660" w:hanging="328"/>
        <w:spacing w:after="0" w:line="228" w:lineRule="auto"/>
        <w:tabs>
          <w:tab w:leader="none" w:pos="653" w:val="left"/>
        </w:tabs>
        <w:numPr>
          <w:ilvl w:val="0"/>
          <w:numId w:val="19"/>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Net sales were $139.6 million, compared to $165.0 million, primarily reflecting lower volume due to slowing demand in our short-cycle business, partially offset by a more favorable sales mix.</w:t>
      </w:r>
    </w:p>
    <w:p>
      <w:pPr>
        <w:spacing w:after="0" w:line="239" w:lineRule="exact"/>
        <w:rPr>
          <w:rFonts w:ascii="Calibri" w:cs="Calibri" w:eastAsia="Calibri" w:hAnsi="Calibri"/>
          <w:sz w:val="20"/>
          <w:szCs w:val="20"/>
          <w:b w:val="1"/>
          <w:bCs w:val="1"/>
          <w:color w:val="auto"/>
        </w:rPr>
      </w:pPr>
    </w:p>
    <w:p>
      <w:pPr>
        <w:jc w:val="both"/>
        <w:ind w:left="660" w:hanging="328"/>
        <w:spacing w:after="0" w:line="238" w:lineRule="auto"/>
        <w:tabs>
          <w:tab w:leader="none" w:pos="653" w:val="left"/>
        </w:tabs>
        <w:numPr>
          <w:ilvl w:val="0"/>
          <w:numId w:val="19"/>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was $17.0 million, or 12.2% of net sales, compared to $22.1 million, or 13.4% of net sales, primarily reflecting the impact of lower volume. This result was partially offset by improved sales mix, improved productivity, and lower short-term incentive compensation-related expenses.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2024 to First Nine Months of Fiscal 2023</w:t>
      </w:r>
    </w:p>
    <w:p>
      <w:pPr>
        <w:spacing w:after="0" w:line="18" w:lineRule="exact"/>
        <w:rPr>
          <w:sz w:val="20"/>
          <w:szCs w:val="20"/>
          <w:color w:val="auto"/>
        </w:rPr>
      </w:pPr>
    </w:p>
    <w:p>
      <w:pPr>
        <w:ind w:left="660" w:hanging="328"/>
        <w:spacing w:after="0" w:line="228" w:lineRule="auto"/>
        <w:tabs>
          <w:tab w:leader="none" w:pos="653" w:val="left"/>
        </w:tabs>
        <w:numPr>
          <w:ilvl w:val="0"/>
          <w:numId w:val="20"/>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Net sales were $462.5 million, compared to $501.2 million, primarily reflecting lower volume, partially offset by more favorable sales mix and improved pricing.</w:t>
      </w:r>
    </w:p>
    <w:p>
      <w:pPr>
        <w:spacing w:after="0" w:line="226" w:lineRule="exact"/>
        <w:rPr>
          <w:rFonts w:ascii="Calibri" w:cs="Calibri" w:eastAsia="Calibri" w:hAnsi="Calibri"/>
          <w:sz w:val="20"/>
          <w:szCs w:val="20"/>
          <w:b w:val="1"/>
          <w:bCs w:val="1"/>
          <w:color w:val="auto"/>
        </w:rPr>
      </w:pPr>
    </w:p>
    <w:p>
      <w:pPr>
        <w:ind w:left="660" w:right="20" w:hanging="328"/>
        <w:spacing w:after="0" w:line="254" w:lineRule="auto"/>
        <w:tabs>
          <w:tab w:leader="none" w:pos="653" w:val="left"/>
        </w:tabs>
        <w:numPr>
          <w:ilvl w:val="0"/>
          <w:numId w:val="20"/>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was $58.0 million, or 12.5% of net sales, compared to $66.3 million, or 13.2% of net sales, primarily driven by the impact of lower volume. This result was partially offset by improved sales mix and lower short-term incentive compensation-related expenses.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Glass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2024 to Third Quarter Fiscal 2023</w:t>
      </w:r>
    </w:p>
    <w:p>
      <w:pPr>
        <w:spacing w:after="0" w:line="11" w:lineRule="exact"/>
        <w:rPr>
          <w:sz w:val="20"/>
          <w:szCs w:val="20"/>
          <w:color w:val="auto"/>
        </w:rPr>
      </w:pPr>
    </w:p>
    <w:p>
      <w:pPr>
        <w:ind w:left="660" w:hanging="328"/>
        <w:spacing w:after="0" w:line="228" w:lineRule="auto"/>
        <w:tabs>
          <w:tab w:leader="none" w:pos="653" w:val="left"/>
        </w:tabs>
        <w:numPr>
          <w:ilvl w:val="0"/>
          <w:numId w:val="21"/>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Net sales increased $9.4 million, or 11.6%, primarily driven by improved mix and pricing, reflecting the strategic shift to emphasize premium, high performance products, partially offset by lower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line="239" w:lineRule="auto"/>
        <w:tabs>
          <w:tab w:leader="none" w:pos="653" w:val="left"/>
        </w:tabs>
        <w:numPr>
          <w:ilvl w:val="0"/>
          <w:numId w:val="22"/>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increased to $15.2 million, or 16.7% of net sales, compared to $7.5 million, or 9.1% of net sales. The higher operating margin improvement was primarily driven by the impact of improved mix and pricing, partially offset by the impact of lower volume and cost inflation.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2024 to First Nine Months of Fiscal 2023</w:t>
      </w:r>
    </w:p>
    <w:p>
      <w:pPr>
        <w:spacing w:after="0" w:line="18" w:lineRule="exact"/>
        <w:rPr>
          <w:sz w:val="20"/>
          <w:szCs w:val="20"/>
          <w:color w:val="auto"/>
        </w:rPr>
      </w:pPr>
    </w:p>
    <w:p>
      <w:pPr>
        <w:ind w:left="660" w:hanging="328"/>
        <w:spacing w:after="0" w:line="228" w:lineRule="auto"/>
        <w:tabs>
          <w:tab w:leader="none" w:pos="653" w:val="left"/>
        </w:tabs>
        <w:numPr>
          <w:ilvl w:val="0"/>
          <w:numId w:val="23"/>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Net sales increased $47.1 million, or 20.0%, driven by improved pricing, a more favorable sales mix, and higher volume, reflecting the segment's strategic shift to emphasize premium, high-performance products.</w:t>
      </w:r>
    </w:p>
    <w:p>
      <w:pPr>
        <w:spacing w:after="0" w:line="226" w:lineRule="exact"/>
        <w:rPr>
          <w:rFonts w:ascii="Calibri" w:cs="Calibri" w:eastAsia="Calibri" w:hAnsi="Calibri"/>
          <w:sz w:val="20"/>
          <w:szCs w:val="20"/>
          <w:b w:val="1"/>
          <w:bCs w:val="1"/>
          <w:color w:val="auto"/>
        </w:rPr>
      </w:pPr>
    </w:p>
    <w:p>
      <w:pPr>
        <w:ind w:left="660" w:hanging="328"/>
        <w:spacing w:after="0" w:line="254" w:lineRule="auto"/>
        <w:tabs>
          <w:tab w:leader="none" w:pos="653" w:val="left"/>
        </w:tabs>
        <w:numPr>
          <w:ilvl w:val="0"/>
          <w:numId w:val="23"/>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increased to $49.1 million, or 17.4% of net sales, compared to $19.1 million, or 8.1% of net sales. The operating margin improvement was primarily driven by improved pricing and mix, partially offset by cost inflation.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Services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2024 to Third Quarter Fiscal 2023</w:t>
      </w:r>
    </w:p>
    <w:p>
      <w:pPr>
        <w:ind w:left="640" w:hanging="308"/>
        <w:spacing w:after="0" w:line="210" w:lineRule="auto"/>
        <w:tabs>
          <w:tab w:leader="none" w:pos="640" w:val="left"/>
        </w:tabs>
        <w:numPr>
          <w:ilvl w:val="0"/>
          <w:numId w:val="24"/>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Net sales were $94.7 million, compared to $102.0 million, primarily reflecting a less favorable mix of projects in the quarter.</w:t>
      </w:r>
    </w:p>
    <w:p>
      <w:pPr>
        <w:spacing w:after="0" w:line="238" w:lineRule="exact"/>
        <w:rPr>
          <w:rFonts w:ascii="Calibri" w:cs="Calibri" w:eastAsia="Calibri" w:hAnsi="Calibri"/>
          <w:sz w:val="20"/>
          <w:szCs w:val="20"/>
          <w:b w:val="1"/>
          <w:bCs w:val="1"/>
          <w:color w:val="auto"/>
        </w:rPr>
      </w:pPr>
    </w:p>
    <w:p>
      <w:pPr>
        <w:ind w:left="660" w:hanging="328"/>
        <w:spacing w:after="0" w:line="239" w:lineRule="auto"/>
        <w:tabs>
          <w:tab w:leader="none" w:pos="653" w:val="left"/>
        </w:tabs>
        <w:numPr>
          <w:ilvl w:val="0"/>
          <w:numId w:val="24"/>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was $5.3 million, or 5.6% of net sales, compared to $6.0 million, or 5.9% of net sales. The change in operating margin was primarily driven by a less favorable mix of projects, partially offset by lower short-term incentive compensation expense.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2024 to First Nine Months of Fiscal 2023</w:t>
      </w:r>
    </w:p>
    <w:p>
      <w:pPr>
        <w:spacing w:after="0" w:line="18" w:lineRule="exact"/>
        <w:rPr>
          <w:sz w:val="20"/>
          <w:szCs w:val="20"/>
          <w:color w:val="auto"/>
        </w:rPr>
      </w:pPr>
    </w:p>
    <w:p>
      <w:pPr>
        <w:ind w:left="660" w:hanging="328"/>
        <w:spacing w:after="0" w:line="236" w:lineRule="auto"/>
        <w:tabs>
          <w:tab w:leader="none" w:pos="653" w:val="left"/>
        </w:tabs>
        <w:numPr>
          <w:ilvl w:val="0"/>
          <w:numId w:val="25"/>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Net sales were $272.1 million, compared to $312.2 million, primarily reflecting lower project volume due to a higher mix of projects in earlier stages of completion and a less favorable mix of projects.</w:t>
      </w:r>
    </w:p>
    <w:p>
      <w:pPr>
        <w:spacing w:after="0" w:line="211" w:lineRule="exact"/>
        <w:rPr>
          <w:rFonts w:ascii="Calibri" w:cs="Calibri" w:eastAsia="Calibri" w:hAnsi="Calibri"/>
          <w:sz w:val="20"/>
          <w:szCs w:val="20"/>
          <w:b w:val="1"/>
          <w:bCs w:val="1"/>
          <w:color w:val="auto"/>
        </w:rPr>
      </w:pPr>
    </w:p>
    <w:p>
      <w:pPr>
        <w:jc w:val="both"/>
        <w:ind w:left="660" w:hanging="328"/>
        <w:spacing w:after="0" w:line="238" w:lineRule="auto"/>
        <w:tabs>
          <w:tab w:leader="none" w:pos="653" w:val="left"/>
        </w:tabs>
        <w:numPr>
          <w:ilvl w:val="0"/>
          <w:numId w:val="25"/>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was $8.2 million, or 3.0% of net sales, compared to $14.4 million, or 4.6% of net sales. The decline in operating margin was primarily driven by lower project volume due to a higher mix of projects in earlier stages of completion and a less favorable mix of project, partially offset by lower short-term incentive compensation expense .</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Large-Scale Optical (LSO)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2024 to Third Quarter Fiscal 2023</w:t>
      </w:r>
    </w:p>
    <w:p>
      <w:pPr>
        <w:spacing w:after="0" w:line="11" w:lineRule="exact"/>
        <w:rPr>
          <w:sz w:val="20"/>
          <w:szCs w:val="20"/>
          <w:color w:val="auto"/>
        </w:rPr>
      </w:pPr>
    </w:p>
    <w:p>
      <w:pPr>
        <w:ind w:left="660" w:hanging="328"/>
        <w:spacing w:after="0" w:line="228" w:lineRule="auto"/>
        <w:tabs>
          <w:tab w:leader="none" w:pos="653" w:val="left"/>
        </w:tabs>
        <w:numPr>
          <w:ilvl w:val="0"/>
          <w:numId w:val="26"/>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LSO net sales were $26.0 million, compared to $26.7 million, primarily reflecting lower volume from slower retail demand, partially offset by a more favorable mix and pricing.</w:t>
      </w:r>
    </w:p>
    <w:p>
      <w:pPr>
        <w:spacing w:after="0" w:line="203" w:lineRule="exact"/>
        <w:rPr>
          <w:rFonts w:ascii="Calibri" w:cs="Calibri" w:eastAsia="Calibri" w:hAnsi="Calibri"/>
          <w:sz w:val="20"/>
          <w:szCs w:val="20"/>
          <w:b w:val="1"/>
          <w:bCs w:val="1"/>
          <w:color w:val="auto"/>
        </w:rPr>
      </w:pPr>
    </w:p>
    <w:p>
      <w:pPr>
        <w:ind w:left="640" w:hanging="308"/>
        <w:spacing w:after="0"/>
        <w:tabs>
          <w:tab w:leader="none" w:pos="640" w:val="left"/>
        </w:tabs>
        <w:numPr>
          <w:ilvl w:val="0"/>
          <w:numId w:val="26"/>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was $7.1 million, with operating margin improving to 27.3% of net sales, compared to 26.7% due to favorable mix and pricing.</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2024 to First Nine Months of Fiscal 2023</w:t>
      </w:r>
    </w:p>
    <w:p>
      <w:pPr>
        <w:spacing w:after="0" w:line="18" w:lineRule="exact"/>
        <w:rPr>
          <w:sz w:val="20"/>
          <w:szCs w:val="20"/>
          <w:color w:val="auto"/>
        </w:rPr>
      </w:pPr>
    </w:p>
    <w:p>
      <w:pPr>
        <w:ind w:left="660" w:right="20" w:hanging="328"/>
        <w:spacing w:after="0" w:line="228" w:lineRule="auto"/>
        <w:tabs>
          <w:tab w:leader="none" w:pos="653" w:val="left"/>
        </w:tabs>
        <w:numPr>
          <w:ilvl w:val="0"/>
          <w:numId w:val="2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LSO net sales were $72.1 million, compared to $77.0 million, primarily reflecting lower volume due to customer destocking and slower demand in the retail markets, partially offset by a more favorable mix and pricing.</w:t>
      </w:r>
    </w:p>
    <w:p>
      <w:pPr>
        <w:spacing w:after="0" w:line="212" w:lineRule="exact"/>
        <w:rPr>
          <w:rFonts w:ascii="Calibri" w:cs="Calibri" w:eastAsia="Calibri" w:hAnsi="Calibri"/>
          <w:sz w:val="20"/>
          <w:szCs w:val="20"/>
          <w:b w:val="1"/>
          <w:bCs w:val="1"/>
          <w:color w:val="auto"/>
        </w:rPr>
      </w:pPr>
    </w:p>
    <w:p>
      <w:pPr>
        <w:ind w:left="660" w:right="20" w:hanging="328"/>
        <w:spacing w:after="0" w:line="254" w:lineRule="auto"/>
        <w:tabs>
          <w:tab w:leader="none" w:pos="653" w:val="left"/>
        </w:tabs>
        <w:numPr>
          <w:ilvl w:val="0"/>
          <w:numId w:val="2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was $17.3 million, or 24.0% of net sales, compared to $19.6 million, or 25.5% of net sales, primarily driven by the impact of lower volume, partially offset by more favorable mix and pricing.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2024 to Third Quarter Fiscal 2023</w:t>
      </w:r>
    </w:p>
    <w:p>
      <w:pPr>
        <w:ind w:left="640" w:hanging="308"/>
        <w:spacing w:after="0" w:line="210" w:lineRule="auto"/>
        <w:tabs>
          <w:tab w:leader="none" w:pos="640" w:val="left"/>
        </w:tabs>
        <w:numPr>
          <w:ilvl w:val="0"/>
          <w:numId w:val="28"/>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Corporate and other expense was $6.9 million, compared to $7.9 million, primarily reflecting lower insurance-related costs.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2024 to First Nine Months of Fiscal 2023</w:t>
      </w:r>
    </w:p>
    <w:p>
      <w:pPr>
        <w:spacing w:after="0" w:line="18" w:lineRule="exact"/>
        <w:rPr>
          <w:sz w:val="20"/>
          <w:szCs w:val="20"/>
          <w:color w:val="auto"/>
        </w:rPr>
      </w:pPr>
    </w:p>
    <w:p>
      <w:pPr>
        <w:ind w:left="660" w:hanging="328"/>
        <w:spacing w:after="0" w:line="228" w:lineRule="auto"/>
        <w:tabs>
          <w:tab w:leader="none" w:pos="653" w:val="left"/>
        </w:tabs>
        <w:numPr>
          <w:ilvl w:val="0"/>
          <w:numId w:val="29"/>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Corporate and other expense was $20.6 million, compared to $19.4 million primarily due to an increase in compensation expense and higher consulting costs, partially offset by lower insurance-related costs.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Backlog represents the dollar amount of signed contracts or firm orders, generally as a result of a competitive bidding process, which may be expected to be recognized as revenue in the future. Backlog is not a term defined under U.S. GAAP and is not a measure of contract profitability. We view backlog as one indicator of future revenues, particularly in our longer-lead time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businesses. In addition to backlog, we have a substantial amount of projects with short lead times that book-and-bill within the same reporting period and are not included in backlog.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Framing Systems</w:t>
      </w:r>
    </w:p>
    <w:p>
      <w:pPr>
        <w:spacing w:after="0" w:line="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As of November 25, 2023, segment backlog was approximately $183.9 million, compared to approximately $197.5 million at the end of the prior quarter, and to approximately $246.2 million at the end of the third quarter of fiscal 2023. The reduction in backlog compared to both periods was primarily driven by a decline in our longer-cycle business, reflecting delays in award activity, and a continued strategic shift in this business toward projects that allow for more attractive margins.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Services</w:t>
      </w:r>
    </w:p>
    <w:p>
      <w:pPr>
        <w:spacing w:after="0" w:line="2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As of November 25, 2023, segment backlog was approximately $776.5 million, compared to approximately $674.4 million at the end of the prior quarter, and to approximately $740.9 million at the end of the third quarter of fiscal 2023. The increase in backlog compared to the prior quarter was primarily driven by several large project awards in the current quarter.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 diluted EPS, adjusted net earnings (non-GAAP), and adjusted diluted EPS (non-GAAP)</w:t>
      </w:r>
    </w:p>
    <w:p>
      <w:pPr>
        <w:spacing w:after="0" w:line="2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order to provide a better understanding of the impact of certain items on our net earnings and diluted EPS, the tables that follow report the comparative impact of certain items on net earnings and diluted EPS for the periods presented below. Adjusted net earnings and adjusted diluted EPS are considered non-GAAP financial measures as contemplated by SEC Regulation G. For additional information regarding management’s decision to present this non-GAAP financial information, see the introduction to this Item 2., “Management’s Discussion and Analysis of Financial Condition and Results of Operations.”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3560" w:type="dxa"/>
            <w:vAlign w:val="bottom"/>
            <w:gridSpan w:val="2"/>
            <w:vMerge w:val="continue"/>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26,974</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23,765</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83,877</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83,885</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NMTC settlement gain</w:t>
            </w:r>
            <w:r>
              <w:rPr>
                <w:rFonts w:ascii="Times New Roman" w:cs="Times New Roman" w:eastAsia="Times New Roman" w:hAnsi="Times New Roman"/>
                <w:sz w:val="21"/>
                <w:szCs w:val="21"/>
                <w:color w:val="auto"/>
                <w:vertAlign w:val="superscript"/>
              </w:rPr>
              <w:t>(1)</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Worthless stock deduction and related discrete tax</w:t>
            </w:r>
          </w:p>
        </w:tc>
        <w:tc>
          <w:tcPr>
            <w:tcW w:w="3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(13,702)</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benefits</w:t>
            </w:r>
            <w:r>
              <w:rPr>
                <w:rFonts w:ascii="Times New Roman" w:cs="Times New Roman" w:eastAsia="Times New Roman" w:hAnsi="Times New Roman"/>
                <w:sz w:val="21"/>
                <w:szCs w:val="21"/>
                <w:color w:val="auto"/>
                <w:vertAlign w:val="superscript"/>
              </w:rPr>
              <w:t>(2)</w:t>
            </w:r>
          </w:p>
        </w:tc>
        <w:tc>
          <w:tcPr>
            <w:tcW w:w="3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impact on above adjustments</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earnings</w:t>
            </w:r>
          </w:p>
        </w:tc>
        <w:tc>
          <w:tcPr>
            <w:tcW w:w="38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23,765</w:t>
            </w:r>
          </w:p>
        </w:tc>
        <w:tc>
          <w:tcPr>
            <w:tcW w:w="1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70,183</w:t>
            </w:r>
          </w:p>
        </w:tc>
        <w:tc>
          <w:tcPr>
            <w:tcW w:w="1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25, 2023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26, 2022</w:t>
            </w: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EPS</w:t>
            </w: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NMTC settlement gain</w:t>
            </w:r>
            <w:r>
              <w:rPr>
                <w:rFonts w:ascii="Times New Roman" w:cs="Times New Roman" w:eastAsia="Times New Roman" w:hAnsi="Times New Roman"/>
                <w:sz w:val="21"/>
                <w:szCs w:val="21"/>
                <w:color w:val="auto"/>
                <w:vertAlign w:val="superscript"/>
              </w:rPr>
              <w:t>(1)</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Worthless stock deduction and related discrete tax</w:t>
            </w:r>
          </w:p>
        </w:tc>
        <w:tc>
          <w:tcPr>
            <w:tcW w:w="3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benefits</w:t>
            </w:r>
            <w:r>
              <w:rPr>
                <w:rFonts w:ascii="Times New Roman" w:cs="Times New Roman" w:eastAsia="Times New Roman" w:hAnsi="Times New Roman"/>
                <w:sz w:val="21"/>
                <w:szCs w:val="21"/>
                <w:color w:val="auto"/>
                <w:vertAlign w:val="superscript"/>
              </w:rPr>
              <w:t>(2)</w:t>
            </w:r>
          </w:p>
        </w:tc>
        <w:tc>
          <w:tcPr>
            <w:tcW w:w="3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impact on above adjustments</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EPS</w:t>
            </w:r>
          </w:p>
        </w:tc>
        <w:tc>
          <w:tcPr>
            <w:tcW w:w="38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 outstanding</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22,013</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22,456</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60" w:hanging="267"/>
        <w:spacing w:after="0"/>
        <w:tabs>
          <w:tab w:leader="none" w:pos="3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Realization of a New Market Tax Credit (NMTC) benefit during the second quarter of fiscal 2024, which was recorded in other (income) expense, net.</w:t>
      </w:r>
    </w:p>
    <w:p>
      <w:pPr>
        <w:spacing w:after="0" w:line="41" w:lineRule="exact"/>
        <w:rPr>
          <w:rFonts w:ascii="Times New Roman" w:cs="Times New Roman" w:eastAsia="Times New Roman" w:hAnsi="Times New Roman"/>
          <w:sz w:val="14"/>
          <w:szCs w:val="14"/>
          <w:color w:val="auto"/>
        </w:rPr>
      </w:pPr>
    </w:p>
    <w:p>
      <w:pPr>
        <w:ind w:left="360" w:hanging="267"/>
        <w:spacing w:after="0"/>
        <w:tabs>
          <w:tab w:leader="none" w:pos="3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Worthless stock deduction and related discrete income tax benefits from the impairment of the Sotawall business in fiscal 2023, which were recorded in income tax expense (benefit).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Third Quarter Fiscal 2024 to Third Quarter Fiscal 2023</w:t>
      </w:r>
    </w:p>
    <w:p>
      <w:pPr>
        <w:spacing w:after="0" w:line="18" w:lineRule="exact"/>
        <w:rPr>
          <w:sz w:val="20"/>
          <w:szCs w:val="20"/>
          <w:color w:val="auto"/>
        </w:rPr>
      </w:pPr>
    </w:p>
    <w:p>
      <w:pPr>
        <w:ind w:left="660" w:hanging="328"/>
        <w:spacing w:after="0" w:line="229" w:lineRule="auto"/>
        <w:tabs>
          <w:tab w:leader="none" w:pos="653" w:val="left"/>
        </w:tabs>
        <w:numPr>
          <w:ilvl w:val="0"/>
          <w:numId w:val="31"/>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Net earnings were $27.0 million, compared to $23.8 million, driven by higher operating income, lower interest expense and a lower effective tax rate.</w:t>
      </w:r>
    </w:p>
    <w:p>
      <w:pPr>
        <w:spacing w:after="0" w:line="1" w:lineRule="exact"/>
        <w:rPr>
          <w:rFonts w:ascii="Calibri" w:cs="Calibri" w:eastAsia="Calibri" w:hAnsi="Calibri"/>
          <w:sz w:val="20"/>
          <w:szCs w:val="20"/>
          <w:b w:val="1"/>
          <w:bCs w:val="1"/>
          <w:color w:val="auto"/>
        </w:rPr>
      </w:pPr>
    </w:p>
    <w:p>
      <w:pPr>
        <w:ind w:left="640" w:hanging="308"/>
        <w:spacing w:after="0" w:line="210" w:lineRule="auto"/>
        <w:tabs>
          <w:tab w:leader="none" w:pos="640" w:val="left"/>
        </w:tabs>
        <w:numPr>
          <w:ilvl w:val="0"/>
          <w:numId w:val="31"/>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Diluted EPS was $1.23, compared to $1.07, due to higher net earnings and lower weighted average diluted shares outstanding.</w:t>
      </w:r>
    </w:p>
    <w:p>
      <w:pPr>
        <w:ind w:left="660" w:hanging="328"/>
        <w:spacing w:after="0" w:line="229" w:lineRule="auto"/>
        <w:tabs>
          <w:tab w:leader="none" w:pos="653" w:val="left"/>
        </w:tabs>
        <w:numPr>
          <w:ilvl w:val="0"/>
          <w:numId w:val="31"/>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Adjusted net earnings increased 13.5% to $27.0 million, compared to $23.8 million. Adjusted diluted EPS increased 15.0% to $1.23, compared to $1.07.</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Nine Months of Fiscal 2024 to First Nine Months of Fiscal 2023</w:t>
      </w:r>
    </w:p>
    <w:p>
      <w:pPr>
        <w:spacing w:after="0" w:line="1" w:lineRule="exact"/>
        <w:rPr>
          <w:sz w:val="20"/>
          <w:szCs w:val="20"/>
          <w:color w:val="auto"/>
        </w:rPr>
      </w:pPr>
    </w:p>
    <w:p>
      <w:pPr>
        <w:ind w:left="640" w:hanging="308"/>
        <w:spacing w:after="0"/>
        <w:tabs>
          <w:tab w:leader="none" w:pos="640" w:val="left"/>
        </w:tabs>
        <w:numPr>
          <w:ilvl w:val="0"/>
          <w:numId w:val="32"/>
        </w:numPr>
        <w:rPr>
          <w:rFonts w:ascii="Calibri" w:cs="Calibri" w:eastAsia="Calibri" w:hAnsi="Calibri"/>
          <w:sz w:val="20"/>
          <w:szCs w:val="20"/>
          <w:b w:val="1"/>
          <w:bCs w:val="1"/>
          <w:i w:val="1"/>
          <w:iCs w:val="1"/>
          <w:color w:val="auto"/>
        </w:rPr>
      </w:pPr>
      <w:r>
        <w:rPr>
          <w:rFonts w:ascii="Times New Roman" w:cs="Times New Roman" w:eastAsia="Times New Roman" w:hAnsi="Times New Roman"/>
          <w:sz w:val="18"/>
          <w:szCs w:val="18"/>
          <w:color w:val="auto"/>
        </w:rPr>
        <w:t>Net earnings were essentially flat at $83.9 million for both periods driven by higher earnings before taxes, offset by a higher effective tax rate.</w:t>
      </w:r>
    </w:p>
    <w:p>
      <w:pPr>
        <w:ind w:left="640" w:hanging="308"/>
        <w:spacing w:after="0" w:line="212" w:lineRule="auto"/>
        <w:tabs>
          <w:tab w:leader="none" w:pos="640" w:val="left"/>
        </w:tabs>
        <w:numPr>
          <w:ilvl w:val="0"/>
          <w:numId w:val="32"/>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Diluted EPS was $3.80, compared to $3.74, due to lower weighted average diluted shares outstanding.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line="254" w:lineRule="auto"/>
        <w:tabs>
          <w:tab w:leader="none" w:pos="653" w:val="left"/>
        </w:tabs>
        <w:numPr>
          <w:ilvl w:val="0"/>
          <w:numId w:val="33"/>
        </w:numPr>
        <w:rPr>
          <w:rFonts w:ascii="Calibri" w:cs="Calibri" w:eastAsia="Calibri" w:hAnsi="Calibri"/>
          <w:sz w:val="20"/>
          <w:szCs w:val="20"/>
          <w:b w:val="1"/>
          <w:bCs w:val="1"/>
          <w:i w:val="1"/>
          <w:iCs w:val="1"/>
          <w:color w:val="auto"/>
        </w:rPr>
      </w:pPr>
      <w:r>
        <w:rPr>
          <w:rFonts w:ascii="Times New Roman" w:cs="Times New Roman" w:eastAsia="Times New Roman" w:hAnsi="Times New Roman"/>
          <w:sz w:val="18"/>
          <w:szCs w:val="18"/>
          <w:color w:val="auto"/>
        </w:rPr>
        <w:t>Adjusted net earnings increased 14.5% to $80.3 million, compared to $70.2 million. Adjusted diluted EPS increased 16.3% to $3.64, compared to $3.13.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cash provided by operations for our material cash requirements, including working capital needs, capital expenditures, satisfaction of contractual commitments (including principal and interest payments on our outstanding indebtedness) and shareholder return through dividend payments and share repurchases.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$129.3 million for the first nine months of fiscal 2024, compared to $51.1 million of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by operating activities in the prior year period, primarily driven by favorable working capital changes compared to the prior year.</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by investing activities was $26.3 million for the first nine months of fiscal 2024, compared to $12.0 million in the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driven primarily by increased capital expenditures primarily to fund strategic investments.</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by financing activities was $100.4 million for the first nine months of fiscal 2024, compared to net cash used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activities of $51.6 million in the prior year period. The increase in cash used for financing activities was primarily driven by higher net debt payments in the current year period.</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paid dividends totaling $15.7 million ($0.72 per share) in the first nine months of fiscal 2024, compared to $14.4 million ($0.66 per share) in the comparable prior year period. During the first nine months of fiscal 2024, we repurchased 279,916 shares under our authorized share repurchase program, for a total cost of $11.8 million. In the first nine months of fiscal 2023, we repurchased 1,571,139 shares under the share repurchase program, for a total cost of $74.3 million. The repurchase program does not have an expiration date. Since the inception of the share repurchase program in 2004, we have purchased a total of 11,276,517 shares, at a total cost of $393.5 million. As of November 25, 2023, we had remaining authority to repurchase 2,973,483 shares under this program. We may also elect to repurchase additional shares of common stock under our authorization, subject to limitations contained in our debt agreements and based upon our assessment of a number of factors, including share price, trading volume and general market conditions, working capital requirements, general business conditions, financial conditions, any applicable contractual limitations, and other factors, including alternative investment opportunities. We may finance share repurchases with available cash, additional debt or other sources of financing.</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Liquidity Considerations. </w:t>
      </w:r>
      <w:r>
        <w:rPr>
          <w:rFonts w:ascii="Times New Roman" w:cs="Times New Roman" w:eastAsia="Times New Roman" w:hAnsi="Times New Roman"/>
          <w:sz w:val="18"/>
          <w:szCs w:val="18"/>
          <w:color w:val="auto"/>
        </w:rPr>
        <w:t>We periodically evaluate our liquidity requirements, cash needs and availability of debt resources relative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plans, significant capital plans, and other working capital needs.</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of the end of the third quarter of fiscal 2024, we had a committed revolving credit facility in the U.S. with maximum borrowings of up to $385 million, with a maturity date of August 5, 2027, and two Canadian committed, revolving credit facilities totaling $25 million (USD). At November 25, 2023, we had outstanding borrowings under our committed, revolving credit facility of $85.0 million, and $3.7 million outstanding under the Canadian committed, revolving credit facilities. We are required to make periodic interest payments on our outstanding indebtedness, and future interest payments will be determined based on the amount of outstanding borrowings and prevailing interest rates during that time.</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revolving credit facilities contain two maintenance financial covenants that require us to stay below a maximum debt-to-EBITDA ratio of 3.25 and maintain a minimum ratio of EBITDA-to-interest expense of 3.00. Both ratios are computed quarterly, with EBITDA calculated on a rolling four-quarter basis. At November 25, 2023, we were in compliance with both financial covenants (which are identical in all three of our revolving credit facilities).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revolving credit facilities also contain an acquisition holiday. In the event we make an acquisition for which the purchase price is greater than $75 million, we can elect to increase the maximum debt-to-EBITDA ratio to 3.75 for a period of four consecutive fiscal quarters, commencing with the fiscal quarter in which a qualifying acquisition occurs. No more than two acquisition "holidays" can occur during the term of the facility, and at least two fiscal quarters must separate qualifying acquisitions.</w:t>
      </w:r>
    </w:p>
    <w:p>
      <w:pPr>
        <w:spacing w:after="0" w:line="208"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Borrowings under the credit facilities bear floating interest at either the Base Rate or Term SOFR, plus a margin based on the Leverage Ratio (as defined in the Credit Agreements). For Base Rate borrowings, the margin ranges from 0.125% to 0.75%. For Term SOFR borrowings, the margin ranges from 1.125% to 1.75% and an incremental Term SOFR adjustment of 0.10%.</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facility also contains an "accordion" provision. Under this provision, we can request that the facility be increased by as much $200.0 million. Any Lender may elect or decline to participate in the requested increase at the Lender’s sole discretion.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Additionally, at November 25, 2023, we had a total of $15.0 million of ongoing letters of credit related to industrial revenue bonds, construction contracts and insurance collateral that expire in fiscal year 2025 and reduce borrowing capacity under the U.S. revolving credit facility. As of November 25, 2023, the amount available for revolving borrowings under the U.S credit facility was $285.0 million.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acquire the use of certain assets through operating leases, such as property, manufacturing equipment, vehicles and other equipment. Future payments for such leases, excluding leases with initial terms of one year or less, were $42.7 million at November 25, 2023, with $3.5 million payable during the remainder of fiscal 2024.</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25, 2023, we had $45.0 million of open purchase obligations, of which payments totaling $12.2 million are expected to become due during the remainder of fiscal 2024. These purchase obligations primarily relate to raw material commitments and capital expenditures and are not expected to impact future liquidity, as amounts should be recovered through customer billings.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make contributions of $0.7 million to our defined-benefit pension plans in fiscal 2024, which will equal or exceed our minimum funding requirements.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25, 2023, we had reserves of $5.3 million for unrecognized tax benefits. We are unable to reasonably estimate in which future periods the remaining unrecognized tax benefits will ultimately be settled.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in the ordinary course of business, to provide surety or performance bonds that commit payments to our customers for any non-performance. At November 25, 2023, $1.3 billion of these types of bonds were outstanding, of which $398.4 million is in our backlog. These bonds do not have stated expiration dates. We have never been required to make payments under surety or performance bonds with respect to our existing businesses.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evaluate acquisition opportunities on a regular basis. We may finance acquisition activity with available cash, the issuance of shares of common stock, additional debt, or other sources of financing, depending upon the size and nature of any such transaction and the status of the capital markets at the time of such acquisition.</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Due to our ability to generate strong cash from operations and our borrowing capability under our committed revolving credit facilities, we believe that our sources of liquidity will be adequate to meet our short-term and long-term liquidity and capital expenditure needs. In addition, we believe that we have the ability currently to obtain both short-term and long-term debt to meet our financing needs for the foreseeable future. We also believe that we will be able to operate our business so as to continue to be in compliance with our existing debt covenants over the next fiscal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 material changes have occurred in the disclosure with respect to our related party transactions set forth in our Annual Report on Form 10-K for the fiscal year ended February 25,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our Annual Report on Form 10-K for the fiscal year ended February 25, 2023.</w:t>
      </w:r>
    </w:p>
    <w:p>
      <w:pPr>
        <w:spacing w:after="0" w:line="2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Refer to the Company’s Annual Report on Form 10-K for the fiscal year ended February 25, 2023 for a discussion of the Company’s market risk. There have been no material changes in market risk since February 25, 2023.</w:t>
      </w:r>
    </w:p>
    <w:p>
      <w:pPr>
        <w:spacing w:after="0" w:line="19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left="1300" w:hanging="644"/>
        <w:spacing w:after="0" w:line="255" w:lineRule="auto"/>
        <w:tabs>
          <w:tab w:leader="none" w:pos="129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w:t>
      </w:r>
    </w:p>
    <w:p>
      <w:pPr>
        <w:spacing w:after="0" w:line="80"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communicated to our management, including our Chief Executive Officer and Chief Financial Officer, to allow timely decisions regarding required disclosure.</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 There was no change in the Company’s internal control over financial reporting that occurred during the fiscal quarter ended November 25, 2023, that has materially affected, or is reasonably likely to materially affect, the Company’s internal control over financial reporting.</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has appealed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to litigation arising out of areas such as employment practices, workers compensation and general liability matters. Although it is very difficult to accurately predict the outcome of any such proceedings, facts currently</w:t>
      </w:r>
    </w:p>
    <w:p>
      <w:pPr>
        <w:sectPr>
          <w:pgSz w:w="11900" w:h="16838" w:orient="portrait"/>
          <w:cols w:equalWidth="0" w:num="1">
            <w:col w:w="11240"/>
          </w:cols>
          <w:pgMar w:left="320" w:top="121" w:right="339" w:bottom="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t>available indicate that no matters will result in losses that would have a material adverse effect on the results of operations, cash flows or financial condition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There have been no material changes or additions to our risk factors discussed in our Annual Report on Form 10-K for the fiscal year ended February 25, 2023.</w:t>
      </w:r>
    </w:p>
    <w:p>
      <w:pPr>
        <w:spacing w:after="0" w:line="2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the Company of its own stock during the third quarter of fiscal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37"/>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60"/>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 (a)</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27, 2023 to September 23, 2023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973,483</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24, 2023 to October 21,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00" w:type="dxa"/>
            <w:vAlign w:val="bottom"/>
          </w:tcPr>
          <w:p>
            <w:pPr>
              <w:spacing w:after="0"/>
              <w:rPr>
                <w:sz w:val="19"/>
                <w:szCs w:val="19"/>
                <w:color w:val="auto"/>
              </w:rPr>
            </w:pP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2,973,483</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22, 2023 to November 25, 2023</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2,973,483</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2,973,483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0" w:hanging="332"/>
        <w:spacing w:after="0" w:line="271" w:lineRule="auto"/>
        <w:tabs>
          <w:tab w:leader="none" w:pos="33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in this column represent the total number of shares that were surrendered to us by plan participants to satisfy withholding tax obligations related to share-based compensation. We did not purchase any shares pursuant to our publicly announce repurchase program during the fiscal quarter.</w:t>
      </w:r>
    </w:p>
    <w:p>
      <w:pPr>
        <w:jc w:val="both"/>
        <w:ind w:left="340" w:hanging="332"/>
        <w:spacing w:after="0" w:line="264" w:lineRule="auto"/>
        <w:tabs>
          <w:tab w:leader="none" w:pos="33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on each of the announcement dates of October 3, 2018, January 14, 2022 and October 6, 2023. The repurchase program does not have an expiration date.</w:t>
      </w:r>
    </w:p>
    <w:p>
      <w:pPr>
        <w:spacing w:after="0" w:line="3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Adoption or Termination of Trading Arrangements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ending November 25, 2023, none of our directors or officers (as defined in Rule 16a-1(f) of the Exchange Act) adopted or terminated any "Rule 10b5-1 trading arrangement" or any "non-Rule 10b5-1 trading arrangement", as each term is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40" w:type="dxa"/>
            <w:vAlign w:val="bottom"/>
            <w:gridSpan w:val="13"/>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700" w:type="dxa"/>
            <w:vAlign w:val="bottom"/>
            <w:tcBorders>
              <w:right w:val="single" w:sz="8" w:color="CCEEFF"/>
            </w:tcBorders>
            <w:gridSpan w:val="11"/>
            <w:shd w:val="clear" w:color="auto" w:fill="CCEEFF"/>
          </w:tcPr>
          <w:p>
            <w:pPr>
              <w:ind w:left="20"/>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Restated Articles of Incorporation. (Incorporated by reference to Exhibit 3.1 to Registrant's Annual Report on Form 10-K for the</w:t>
              </w:r>
            </w:hyperlink>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2280" w:type="dxa"/>
            <w:vAlign w:val="bottom"/>
            <w:tcBorders>
              <w:top w:val="single" w:sz="8" w:color="0000FF"/>
              <w:bottom w:val="single" w:sz="8" w:color="0000FF"/>
            </w:tcBorders>
            <w:gridSpan w:val="2"/>
            <w:shd w:val="clear" w:color="auto" w:fill="CCEEFF"/>
          </w:tcPr>
          <w:p>
            <w:pPr>
              <w:ind w:left="20"/>
              <w:spacing w:after="0" w:line="156" w:lineRule="exact"/>
              <w:rPr>
                <w:rFonts w:ascii="Times New Roman" w:cs="Times New Roman" w:eastAsia="Times New Roman" w:hAnsi="Times New Roman"/>
                <w:sz w:val="18"/>
                <w:szCs w:val="18"/>
                <w:color w:val="0000FF"/>
                <w:w w:val="98"/>
              </w:rPr>
            </w:pPr>
            <w:hyperlink r:id="rId48">
              <w:r>
                <w:rPr>
                  <w:rFonts w:ascii="Times New Roman" w:cs="Times New Roman" w:eastAsia="Times New Roman" w:hAnsi="Times New Roman"/>
                  <w:sz w:val="18"/>
                  <w:szCs w:val="18"/>
                  <w:color w:val="0000FF"/>
                  <w:w w:val="98"/>
                </w:rPr>
                <w:t>year-ended February 28, 2004.)</w:t>
              </w:r>
            </w:hyperlink>
          </w:p>
        </w:tc>
        <w:tc>
          <w:tcPr>
            <w:tcW w:w="732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700" w:type="dxa"/>
            <w:vAlign w:val="bottom"/>
            <w:gridSpan w:val="11"/>
          </w:tcPr>
          <w:p>
            <w:pPr>
              <w:ind w:left="20"/>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Articles of Amendment to Restated Articles of Incorporation. (Incorporated by reference to Exhibit 3.1 to Registrant's Current</w:t>
              </w:r>
            </w:hyperlink>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60" w:type="dxa"/>
            <w:vAlign w:val="bottom"/>
            <w:tcBorders>
              <w:top w:val="single" w:sz="8" w:color="0000FF"/>
            </w:tcBorders>
            <w:gridSpan w:val="10"/>
          </w:tcPr>
          <w:p>
            <w:pPr>
              <w:ind w:left="20"/>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Report on Form 8-K filed on January 16, 2020.)</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700" w:type="dxa"/>
            <w:vAlign w:val="bottom"/>
            <w:tcBorders>
              <w:right w:val="single" w:sz="8" w:color="CCEEFF"/>
            </w:tcBorders>
            <w:gridSpan w:val="11"/>
            <w:shd w:val="clear" w:color="auto" w:fill="CCEEFF"/>
          </w:tcPr>
          <w:p>
            <w:pPr>
              <w:ind w:left="2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Amended and Restated Bylaws of Apogee Enterprises, Inc. (Incorporated by reference to Exhibit 3.3 to the Registrant’s Quarterly</w:t>
              </w:r>
            </w:hyperlink>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8"/>
            <w:shd w:val="clear" w:color="auto" w:fill="CCEEFF"/>
          </w:tcPr>
          <w:p>
            <w:pPr>
              <w:ind w:left="20"/>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Report on Form 10-Q for the quarter-ended May 29, 2021).</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3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20" w:type="dxa"/>
            <w:vAlign w:val="bottom"/>
          </w:tcPr>
          <w:p>
            <w:pPr>
              <w:spacing w:after="0"/>
              <w:rPr>
                <w:sz w:val="16"/>
                <w:szCs w:val="16"/>
                <w:color w:val="auto"/>
              </w:rPr>
            </w:pPr>
          </w:p>
        </w:tc>
        <w:tc>
          <w:tcPr>
            <w:tcW w:w="970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under the Securities Exchange Act of 1934.</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00" w:type="dxa"/>
            <w:vAlign w:val="bottom"/>
            <w:tcBorders>
              <w:bottom w:val="single" w:sz="8" w:color="0000FF"/>
            </w:tcBorders>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under the Securities Exchange Act of 1934.</w:t>
            </w:r>
          </w:p>
        </w:tc>
        <w:tc>
          <w:tcPr>
            <w:tcW w:w="1700" w:type="dxa"/>
            <w:vAlign w:val="bottom"/>
            <w:tcBorders>
              <w:bottom w:val="single" w:sz="8" w:color="CCEEFF"/>
              <w:right w:val="single" w:sz="8" w:color="CCEEFF"/>
            </w:tcBorders>
            <w:gridSpan w:val="6"/>
            <w:shd w:val="clear" w:color="auto" w:fill="CCEEFF"/>
          </w:tcPr>
          <w:p>
            <w:pPr>
              <w:spacing w:after="0"/>
              <w:rPr>
                <w:sz w:val="18"/>
                <w:szCs w:val="18"/>
                <w:color w:val="auto"/>
              </w:rPr>
            </w:pP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720" w:type="dxa"/>
            <w:vAlign w:val="bottom"/>
          </w:tcPr>
          <w:p>
            <w:pPr>
              <w:spacing w:after="0"/>
              <w:rPr>
                <w:sz w:val="16"/>
                <w:szCs w:val="16"/>
                <w:color w:val="auto"/>
              </w:rPr>
            </w:pPr>
          </w:p>
        </w:tc>
        <w:tc>
          <w:tcPr>
            <w:tcW w:w="970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40" w:type="dxa"/>
            <w:vAlign w:val="bottom"/>
            <w:tcBorders>
              <w:top w:val="single" w:sz="8" w:color="0000FF"/>
            </w:tcBorders>
            <w:gridSpan w:val="9"/>
          </w:tcPr>
          <w:p>
            <w:pPr>
              <w:ind w:left="20"/>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720" w:type="dxa"/>
            <w:vAlign w:val="bottom"/>
            <w:shd w:val="clear" w:color="auto" w:fill="CCEEFF"/>
          </w:tcPr>
          <w:p>
            <w:pPr>
              <w:spacing w:after="0"/>
              <w:rPr>
                <w:sz w:val="16"/>
                <w:szCs w:val="16"/>
                <w:color w:val="auto"/>
              </w:rPr>
            </w:pPr>
          </w:p>
        </w:tc>
        <w:tc>
          <w:tcPr>
            <w:tcW w:w="9700" w:type="dxa"/>
            <w:vAlign w:val="bottom"/>
            <w:tcBorders>
              <w:right w:val="single" w:sz="8" w:color="CCEEFF"/>
            </w:tcBorders>
            <w:gridSpan w:val="1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1400" w:type="dxa"/>
            <w:vAlign w:val="bottom"/>
            <w:tcBorders>
              <w:top w:val="single" w:sz="8" w:color="0000FF"/>
              <w:bottom w:val="single" w:sz="8" w:color="0000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300" w:type="dxa"/>
            <w:vAlign w:val="bottom"/>
            <w:tcBorders>
              <w:top w:val="single" w:sz="8" w:color="0000FF"/>
              <w:bottom w:val="single" w:sz="8" w:color="CCEEFF"/>
              <w:right w:val="single" w:sz="8" w:color="CCEEFF"/>
            </w:tcBorders>
            <w:gridSpan w:val="10"/>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00" w:type="dxa"/>
            <w:vAlign w:val="bottom"/>
            <w:gridSpan w:val="11"/>
          </w:tcPr>
          <w:p>
            <w:pPr>
              <w:ind w:left="20"/>
              <w:spacing w:after="0" w:line="198" w:lineRule="exact"/>
              <w:rPr>
                <w:sz w:val="20"/>
                <w:szCs w:val="20"/>
                <w:color w:val="auto"/>
              </w:rPr>
            </w:pPr>
            <w:r>
              <w:rPr>
                <w:rFonts w:ascii="Times New Roman" w:cs="Times New Roman" w:eastAsia="Times New Roman" w:hAnsi="Times New Roman"/>
                <w:sz w:val="18"/>
                <w:szCs w:val="18"/>
                <w:color w:val="auto"/>
              </w:rPr>
              <w:t>The following materials from Apogee Enterprises, Inc.’s Quarterly Report on Form 10-Q for the quarter ended November 25, 2023,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12"/>
          </w:tcPr>
          <w:p>
            <w:pPr>
              <w:ind w:left="20"/>
              <w:spacing w:after="0" w:line="202" w:lineRule="exact"/>
              <w:rPr>
                <w:sz w:val="20"/>
                <w:szCs w:val="20"/>
                <w:color w:val="auto"/>
              </w:rPr>
            </w:pPr>
            <w:r>
              <w:rPr>
                <w:rFonts w:ascii="Times New Roman" w:cs="Times New Roman" w:eastAsia="Times New Roman" w:hAnsi="Times New Roman"/>
                <w:sz w:val="18"/>
                <w:szCs w:val="18"/>
                <w:color w:val="auto"/>
              </w:rPr>
              <w:t>formatted in iXBRL (Inline Extensible Business Reporting Language): (i) the Consolidated Balance Sheets as of November 25, 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12"/>
          </w:tcPr>
          <w:p>
            <w:pPr>
              <w:ind w:left="20"/>
              <w:spacing w:after="0" w:line="202" w:lineRule="exact"/>
              <w:rPr>
                <w:sz w:val="20"/>
                <w:szCs w:val="20"/>
                <w:color w:val="auto"/>
              </w:rPr>
            </w:pPr>
            <w:r>
              <w:rPr>
                <w:rFonts w:ascii="Times New Roman" w:cs="Times New Roman" w:eastAsia="Times New Roman" w:hAnsi="Times New Roman"/>
                <w:sz w:val="18"/>
                <w:szCs w:val="18"/>
                <w:color w:val="auto"/>
              </w:rPr>
              <w:t>and February 25, 2023, (ii) the Consolidated Results of Operations for the three- and nine-months ended November 25, 2023 and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12"/>
          </w:tcPr>
          <w:p>
            <w:pPr>
              <w:ind w:left="20"/>
              <w:spacing w:after="0" w:line="202" w:lineRule="exact"/>
              <w:rPr>
                <w:sz w:val="20"/>
                <w:szCs w:val="20"/>
                <w:color w:val="auto"/>
              </w:rPr>
            </w:pPr>
            <w:r>
              <w:rPr>
                <w:rFonts w:ascii="Times New Roman" w:cs="Times New Roman" w:eastAsia="Times New Roman" w:hAnsi="Times New Roman"/>
                <w:sz w:val="18"/>
                <w:szCs w:val="18"/>
                <w:color w:val="auto"/>
              </w:rPr>
              <w:t>November 26, 2022, (iii) the Consolidated Statements of Comprehensive Earnings for the three- and nine-months ended November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12"/>
          </w:tcPr>
          <w:p>
            <w:pPr>
              <w:ind w:left="20"/>
              <w:spacing w:after="0" w:line="202" w:lineRule="exact"/>
              <w:rPr>
                <w:sz w:val="20"/>
                <w:szCs w:val="20"/>
                <w:color w:val="auto"/>
              </w:rPr>
            </w:pPr>
            <w:r>
              <w:rPr>
                <w:rFonts w:ascii="Times New Roman" w:cs="Times New Roman" w:eastAsia="Times New Roman" w:hAnsi="Times New Roman"/>
                <w:sz w:val="18"/>
                <w:szCs w:val="18"/>
                <w:color w:val="auto"/>
              </w:rPr>
              <w:t>25, 2023 and November 26, 2022, (iv) the Consolidated Statements of Cash Flows for the nine-months ended November 25, 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12"/>
          </w:tcPr>
          <w:p>
            <w:pPr>
              <w:ind w:left="20"/>
              <w:spacing w:after="0" w:line="202" w:lineRule="exact"/>
              <w:rPr>
                <w:sz w:val="20"/>
                <w:szCs w:val="20"/>
                <w:color w:val="auto"/>
              </w:rPr>
            </w:pPr>
            <w:r>
              <w:rPr>
                <w:rFonts w:ascii="Times New Roman" w:cs="Times New Roman" w:eastAsia="Times New Roman" w:hAnsi="Times New Roman"/>
                <w:sz w:val="18"/>
                <w:szCs w:val="18"/>
                <w:color w:val="auto"/>
              </w:rPr>
              <w:t>and November 26, 2022, (v) the Consolidated Statements of Shareholders' Equity for the three- and nine-months ended November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25, 2023 and November 26, 2022, and (vi) Notes to Consolidated Financial Statements.</w:t>
            </w:r>
          </w:p>
        </w:tc>
        <w:tc>
          <w:tcPr>
            <w:tcW w:w="0" w:type="dxa"/>
            <w:vAlign w:val="bottom"/>
          </w:tcPr>
          <w:p>
            <w:pPr>
              <w:spacing w:after="0"/>
              <w:rPr>
                <w:sz w:val="1"/>
                <w:szCs w:val="1"/>
                <w:color w:val="auto"/>
              </w:rPr>
            </w:pPr>
          </w:p>
        </w:tc>
      </w:tr>
      <w:tr>
        <w:trPr>
          <w:trHeight w:val="243"/>
        </w:trPr>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700" w:type="dxa"/>
            <w:vAlign w:val="bottom"/>
            <w:tcBorders>
              <w:right w:val="single" w:sz="8" w:color="CCEEFF"/>
            </w:tcBorders>
            <w:gridSpan w:val="11"/>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iXBRL and contained in Exhibit 101)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Exhibits marked with a (#) sign are filed herewith.</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20" w:type="dxa"/>
            <w:vAlign w:val="bottom"/>
            <w:gridSpan w:val="6"/>
          </w:tcPr>
          <w:p>
            <w:pPr>
              <w:jc w:val="right"/>
              <w:ind w:right="370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93"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color w:val="auto"/>
        </w:rPr>
        <w:t>Date: January 3, 2024</w:t>
      </w:r>
      <w:r>
        <w:rPr>
          <w:sz w:val="20"/>
          <w:szCs w:val="20"/>
          <w:color w:val="auto"/>
        </w:rPr>
        <w:tab/>
      </w:r>
      <w:r>
        <w:rPr>
          <w:rFonts w:ascii="Times New Roman" w:cs="Times New Roman" w:eastAsia="Times New Roman" w:hAnsi="Times New Roman"/>
          <w:sz w:val="17"/>
          <w:szCs w:val="17"/>
          <w:color w:val="auto"/>
        </w:rPr>
        <w:t>By: /s/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36087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Ty R. Silberhorn</w:t>
      </w:r>
    </w:p>
    <w:p>
      <w:pPr>
        <w:ind w:left="604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5540" w:val="left"/>
        </w:tabs>
        <w:rPr>
          <w:sz w:val="20"/>
          <w:szCs w:val="20"/>
          <w:color w:val="auto"/>
        </w:rPr>
      </w:pPr>
      <w:r>
        <w:rPr>
          <w:rFonts w:ascii="Times New Roman" w:cs="Times New Roman" w:eastAsia="Times New Roman" w:hAnsi="Times New Roman"/>
          <w:sz w:val="18"/>
          <w:szCs w:val="18"/>
          <w:color w:val="auto"/>
        </w:rPr>
        <w:t>Date: January 3, 2024</w:t>
      </w:r>
      <w:r>
        <w:rPr>
          <w:sz w:val="20"/>
          <w:szCs w:val="20"/>
          <w:color w:val="auto"/>
        </w:rPr>
        <w:tab/>
      </w:r>
      <w:r>
        <w:rPr>
          <w:rFonts w:ascii="Times New Roman" w:cs="Times New Roman" w:eastAsia="Times New Roman" w:hAnsi="Times New Roman"/>
          <w:sz w:val="17"/>
          <w:szCs w:val="17"/>
          <w:color w:val="auto"/>
        </w:rPr>
        <w:t>By: /s/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17145</wp:posOffset>
            </wp:positionV>
            <wp:extent cx="36175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Matthew J. Osberg</w:t>
      </w:r>
    </w:p>
    <w:p>
      <w:pPr>
        <w:ind w:left="602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60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20" w:top="121" w:right="3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 R. Silberhorn, certify that:</w:t>
      </w:r>
    </w:p>
    <w:p>
      <w:pPr>
        <w:spacing w:after="0" w:line="117"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20" w:hanging="652"/>
        <w:spacing w:after="0" w:line="266" w:lineRule="auto"/>
        <w:tabs>
          <w:tab w:leader="none" w:pos="195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6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5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hanging="652"/>
        <w:spacing w:after="0" w:line="266" w:lineRule="auto"/>
        <w:tabs>
          <w:tab w:leader="none" w:pos="196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80" w:right="120" w:hanging="652"/>
        <w:spacing w:after="0" w:line="266" w:lineRule="auto"/>
        <w:tabs>
          <w:tab w:leader="none" w:pos="195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140" w:hanging="652"/>
        <w:spacing w:after="0" w:line="282" w:lineRule="auto"/>
        <w:tabs>
          <w:tab w:leader="none" w:pos="196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 2024</w:t>
      </w:r>
    </w:p>
    <w:p>
      <w:pPr>
        <w:spacing w:after="0" w:line="7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43180</wp:posOffset>
            </wp:positionV>
            <wp:extent cx="27863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8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Ty R. Silberhorn</w:t>
      </w:r>
    </w:p>
    <w:p>
      <w:pPr>
        <w:spacing w:after="0" w:line="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91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Osberg, certify that:</w:t>
      </w:r>
    </w:p>
    <w:p>
      <w:pPr>
        <w:spacing w:after="0" w:line="117"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68"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20" w:hanging="652"/>
        <w:spacing w:after="0" w:line="266" w:lineRule="auto"/>
        <w:tabs>
          <w:tab w:leader="none" w:pos="226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280" w:hanging="652"/>
        <w:spacing w:after="0" w:line="266" w:lineRule="auto"/>
        <w:tabs>
          <w:tab w:leader="none" w:pos="227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80" w:hanging="652"/>
        <w:spacing w:after="0" w:line="282" w:lineRule="auto"/>
        <w:tabs>
          <w:tab w:leader="none" w:pos="226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 2024</w:t>
      </w:r>
    </w:p>
    <w:p>
      <w:pPr>
        <w:spacing w:after="0" w:line="33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30861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Matthew J. Osberg</w:t>
      </w:r>
    </w:p>
    <w:p>
      <w:pPr>
        <w:ind w:left="64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November 25, 2023 as filed with the Securities and Exchange Commission (the “Report”), I, Ty R. Silberhorn, President and Chief Executive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Ty R. Silberhorn</w:t>
      </w: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3, 2024</w:t>
      </w:r>
    </w:p>
    <w:p>
      <w:pPr>
        <w:sectPr>
          <w:pgSz w:w="11900" w:h="16838" w:orient="portrait"/>
          <w:cols w:equalWidth="0" w:num="1">
            <w:col w:w="11240"/>
          </w:cols>
          <w:pgMar w:left="320" w:top="88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November 25, 2023 as filed with the Securities and Exchange Commission (the “Report”), I, Matthew J. Osberg, Executive Vice President and Chief Financial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54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Matthew J. Osberg</w:t>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3,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5"/>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6"/>
    </w:lvl>
  </w:abstractNum>
  <w:abstractNum w:abstractNumId="9">
    <w:nsid w:val="8EDBDAB"/>
    <w:multiLevelType w:val="hybridMultilevel"/>
    <w:lvl w:ilvl="0">
      <w:lvlJc w:val="left"/>
      <w:lvlText w:val="%1."/>
      <w:numFmt w:val="decimal"/>
      <w:start w:val="7"/>
    </w:lvl>
  </w:abstractNum>
  <w:abstractNum w:abstractNumId="10">
    <w:nsid w:val="79838CB2"/>
    <w:multiLevelType w:val="hybridMultilevel"/>
    <w:lvl w:ilvl="0">
      <w:lvlJc w:val="left"/>
      <w:lvlText w:val="%1."/>
      <w:numFmt w:val="decimal"/>
      <w:start w:val="8"/>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9"/>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48" Type="http://schemas.openxmlformats.org/officeDocument/2006/relationships/hyperlink" Target="http://www.sec.gov/Archives/edgar/data/6845/000119312504079352/dex31.htm" TargetMode="External"/><Relationship Id="rId49" Type="http://schemas.openxmlformats.org/officeDocument/2006/relationships/hyperlink" Target="http://www.sec.gov/Archives/edgar/data/6845/000119312520008887/d874518dex31.htm" TargetMode="External"/><Relationship Id="rId50" Type="http://schemas.openxmlformats.org/officeDocument/2006/relationships/hyperlink" Target="http://www.sec.gov/Archives/edgar/data/0000006845/000000684521000020/apog-ex33arbylawsfinalapr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2024-01-03T13:43:36Z</dcterms:created>
  <dcterms:modified xsi:type="dcterms:W3CDTF">2024-01-03T13:43:36Z</dcterms:modified>
</cp:coreProperties>
</file>