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ind w:left="720" w:right="3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1, 2018</w:t>
      </w:r>
    </w:p>
    <w:p>
      <w:pPr>
        <w:spacing w:after="0" w:line="270" w:lineRule="exact"/>
        <w:rPr>
          <w:sz w:val="24"/>
          <w:szCs w:val="24"/>
          <w:color w:val="auto"/>
        </w:rPr>
      </w:pPr>
    </w:p>
    <w:p>
      <w:pPr>
        <w:ind w:left="720" w:right="30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90"/>
              </w:rPr>
              <w:t>Commission File Number: 0-6365</w:t>
            </w:r>
          </w:p>
        </w:tc>
        <w:tc>
          <w:tcPr>
            <w:tcW w:w="1300" w:type="dxa"/>
            <w:vAlign w:val="bottom"/>
          </w:tcPr>
          <w:p>
            <w:pPr>
              <w:spacing w:after="0"/>
              <w:rPr>
                <w:sz w:val="20"/>
                <w:szCs w:val="20"/>
                <w:color w:val="auto"/>
              </w:rPr>
            </w:pPr>
          </w:p>
        </w:tc>
      </w:tr>
      <w:tr>
        <w:trPr>
          <w:trHeight w:val="270"/>
        </w:trPr>
        <w:tc>
          <w:tcPr>
            <w:tcW w:w="6440" w:type="dxa"/>
            <w:vAlign w:val="bottom"/>
          </w:tcPr>
          <w:p>
            <w:pPr>
              <w:jc w:val="center"/>
              <w:ind w:left="188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3"/>
                <w:szCs w:val="23"/>
                <w:color w:val="auto"/>
              </w:rPr>
            </w:pPr>
          </w:p>
        </w:tc>
      </w:tr>
      <w:tr>
        <w:trPr>
          <w:trHeight w:val="576"/>
        </w:trPr>
        <w:tc>
          <w:tcPr>
            <w:tcW w:w="7740" w:type="dxa"/>
            <w:vAlign w:val="bottom"/>
            <w:gridSpan w:val="2"/>
          </w:tcPr>
          <w:p>
            <w:pPr>
              <w:jc w:val="center"/>
              <w:ind w:left="623"/>
              <w:spacing w:after="0"/>
              <w:rPr>
                <w:sz w:val="20"/>
                <w:szCs w:val="20"/>
                <w:color w:val="auto"/>
              </w:rPr>
            </w:pPr>
            <w:r>
              <w:rPr>
                <w:rFonts w:ascii="Arial" w:cs="Arial" w:eastAsia="Arial" w:hAnsi="Arial"/>
                <w:sz w:val="43"/>
                <w:szCs w:val="43"/>
                <w:b w:val="1"/>
                <w:bCs w:val="1"/>
                <w:color w:val="auto"/>
                <w:w w:val="99"/>
              </w:rPr>
              <w:t>APOGEE ENTERPRISES, INC.</w:t>
            </w:r>
          </w:p>
        </w:tc>
      </w:tr>
      <w:tr>
        <w:trPr>
          <w:trHeight w:val="220"/>
        </w:trPr>
        <w:tc>
          <w:tcPr>
            <w:tcW w:w="6440" w:type="dxa"/>
            <w:vAlign w:val="bottom"/>
          </w:tcPr>
          <w:p>
            <w:pPr>
              <w:jc w:val="center"/>
              <w:ind w:left="192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19"/>
                <w:szCs w:val="19"/>
                <w:color w:val="auto"/>
              </w:rPr>
            </w:pPr>
          </w:p>
        </w:tc>
      </w:tr>
      <w:tr>
        <w:trPr>
          <w:trHeight w:val="230"/>
        </w:trPr>
        <w:tc>
          <w:tcPr>
            <w:tcW w:w="6440" w:type="dxa"/>
            <w:vAlign w:val="bottom"/>
          </w:tcPr>
          <w:p>
            <w:pPr>
              <w:jc w:val="center"/>
              <w:ind w:left="1963"/>
              <w:spacing w:after="0"/>
              <w:rPr>
                <w:sz w:val="20"/>
                <w:szCs w:val="20"/>
                <w:color w:val="auto"/>
              </w:rPr>
            </w:pPr>
            <w:r>
              <w:rPr>
                <w:rFonts w:ascii="Arial" w:cs="Arial" w:eastAsia="Arial" w:hAnsi="Arial"/>
                <w:sz w:val="18"/>
                <w:szCs w:val="18"/>
                <w:color w:val="auto"/>
                <w:w w:val="90"/>
              </w:rPr>
              <w:t>_________________________________</w:t>
            </w:r>
          </w:p>
        </w:tc>
        <w:tc>
          <w:tcPr>
            <w:tcW w:w="1300" w:type="dxa"/>
            <w:vAlign w:val="bottom"/>
          </w:tcPr>
          <w:p>
            <w:pPr>
              <w:spacing w:after="0"/>
              <w:rPr>
                <w:sz w:val="20"/>
                <w:szCs w:val="20"/>
                <w:color w:val="auto"/>
              </w:rPr>
            </w:pPr>
          </w:p>
        </w:tc>
      </w:tr>
      <w:tr>
        <w:trPr>
          <w:trHeight w:val="37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2"/>
              </w:rPr>
              <w:t>Minnesota</w:t>
            </w:r>
          </w:p>
        </w:tc>
        <w:tc>
          <w:tcPr>
            <w:tcW w:w="1300" w:type="dxa"/>
            <w:vAlign w:val="bottom"/>
          </w:tcPr>
          <w:p>
            <w:pPr>
              <w:jc w:val="right"/>
              <w:ind w:right="21"/>
              <w:spacing w:after="0"/>
              <w:rPr>
                <w:sz w:val="20"/>
                <w:szCs w:val="20"/>
                <w:color w:val="auto"/>
              </w:rPr>
            </w:pPr>
            <w:r>
              <w:rPr>
                <w:rFonts w:ascii="Arial" w:cs="Arial" w:eastAsia="Arial" w:hAnsi="Arial"/>
                <w:sz w:val="18"/>
                <w:szCs w:val="18"/>
                <w:b w:val="1"/>
                <w:bCs w:val="1"/>
                <w:color w:val="auto"/>
              </w:rPr>
              <w:t>41-0919654</w:t>
            </w:r>
          </w:p>
        </w:tc>
      </w:tr>
      <w:tr>
        <w:trPr>
          <w:trHeight w:val="184"/>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4"/>
              </w:rPr>
              <w:t>(State or other jurisdiction of</w:t>
            </w:r>
          </w:p>
        </w:tc>
        <w:tc>
          <w:tcPr>
            <w:tcW w:w="1300" w:type="dxa"/>
            <w:vAlign w:val="bottom"/>
          </w:tcPr>
          <w:p>
            <w:pPr>
              <w:jc w:val="center"/>
              <w:ind w:left="161"/>
              <w:spacing w:after="0"/>
              <w:rPr>
                <w:sz w:val="20"/>
                <w:szCs w:val="20"/>
                <w:color w:val="auto"/>
              </w:rPr>
            </w:pPr>
            <w:r>
              <w:rPr>
                <w:rFonts w:ascii="Arial" w:cs="Arial" w:eastAsia="Arial" w:hAnsi="Arial"/>
                <w:sz w:val="14"/>
                <w:szCs w:val="14"/>
                <w:color w:val="auto"/>
                <w:w w:val="95"/>
              </w:rPr>
              <w:t>(I.R.S. Employer</w:t>
            </w:r>
          </w:p>
        </w:tc>
      </w:tr>
      <w:tr>
        <w:trPr>
          <w:trHeight w:val="182"/>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incorporation or organization)</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9"/>
              </w:rPr>
              <w:t>Identification No.)</w:t>
            </w:r>
          </w:p>
        </w:tc>
      </w:tr>
      <w:tr>
        <w:trPr>
          <w:trHeight w:val="358"/>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87"/>
              </w:rPr>
              <w:t>4400 West 78</w:t>
            </w:r>
            <w:r>
              <w:rPr>
                <w:rFonts w:ascii="Arial" w:cs="Arial" w:eastAsia="Arial" w:hAnsi="Arial"/>
                <w:sz w:val="25"/>
                <w:szCs w:val="25"/>
                <w:b w:val="1"/>
                <w:bCs w:val="1"/>
                <w:color w:val="auto"/>
                <w:w w:val="87"/>
                <w:vertAlign w:val="superscript"/>
              </w:rPr>
              <w:t>th</w:t>
            </w:r>
            <w:r>
              <w:rPr>
                <w:rFonts w:ascii="Arial" w:cs="Arial" w:eastAsia="Arial" w:hAnsi="Arial"/>
                <w:sz w:val="18"/>
                <w:szCs w:val="18"/>
                <w:b w:val="1"/>
                <w:bCs w:val="1"/>
                <w:color w:val="auto"/>
                <w:w w:val="87"/>
              </w:rPr>
              <w:t xml:space="preserve"> Street – Suite 520,</w:t>
            </w:r>
          </w:p>
        </w:tc>
        <w:tc>
          <w:tcPr>
            <w:tcW w:w="1300" w:type="dxa"/>
            <w:vAlign w:val="bottom"/>
          </w:tcPr>
          <w:p>
            <w:pPr>
              <w:spacing w:after="0"/>
              <w:rPr>
                <w:sz w:val="24"/>
                <w:szCs w:val="24"/>
                <w:color w:val="auto"/>
              </w:rPr>
            </w:pPr>
          </w:p>
        </w:tc>
      </w:tr>
      <w:tr>
        <w:trPr>
          <w:trHeight w:val="234"/>
        </w:trPr>
        <w:tc>
          <w:tcPr>
            <w:tcW w:w="6440" w:type="dxa"/>
            <w:vAlign w:val="bottom"/>
          </w:tcPr>
          <w:p>
            <w:pPr>
              <w:jc w:val="center"/>
              <w:ind w:right="3803"/>
              <w:spacing w:after="0"/>
              <w:rPr>
                <w:sz w:val="20"/>
                <w:szCs w:val="20"/>
                <w:color w:val="auto"/>
              </w:rPr>
            </w:pPr>
            <w:r>
              <w:rPr>
                <w:rFonts w:ascii="Arial" w:cs="Arial" w:eastAsia="Arial" w:hAnsi="Arial"/>
                <w:sz w:val="18"/>
                <w:szCs w:val="18"/>
                <w:b w:val="1"/>
                <w:bCs w:val="1"/>
                <w:color w:val="auto"/>
                <w:w w:val="94"/>
              </w:rPr>
              <w:t>Minneapolis, MN</w:t>
            </w:r>
          </w:p>
        </w:tc>
        <w:tc>
          <w:tcPr>
            <w:tcW w:w="1300" w:type="dxa"/>
            <w:vAlign w:val="bottom"/>
          </w:tcPr>
          <w:p>
            <w:pPr>
              <w:jc w:val="right"/>
              <w:ind w:right="221"/>
              <w:spacing w:after="0"/>
              <w:rPr>
                <w:sz w:val="20"/>
                <w:szCs w:val="20"/>
                <w:color w:val="auto"/>
              </w:rPr>
            </w:pPr>
            <w:r>
              <w:rPr>
                <w:rFonts w:ascii="Arial" w:cs="Arial" w:eastAsia="Arial" w:hAnsi="Arial"/>
                <w:sz w:val="18"/>
                <w:szCs w:val="18"/>
                <w:b w:val="1"/>
                <w:bCs w:val="1"/>
                <w:color w:val="auto"/>
              </w:rPr>
              <w:t>55435</w:t>
            </w:r>
          </w:p>
        </w:tc>
      </w:tr>
      <w:tr>
        <w:trPr>
          <w:trHeight w:val="218"/>
        </w:trPr>
        <w:tc>
          <w:tcPr>
            <w:tcW w:w="6440" w:type="dxa"/>
            <w:vAlign w:val="bottom"/>
          </w:tcPr>
          <w:p>
            <w:pPr>
              <w:jc w:val="center"/>
              <w:ind w:right="3803"/>
              <w:spacing w:after="0"/>
              <w:rPr>
                <w:sz w:val="20"/>
                <w:szCs w:val="20"/>
                <w:color w:val="auto"/>
              </w:rPr>
            </w:pPr>
            <w:r>
              <w:rPr>
                <w:rFonts w:ascii="Arial" w:cs="Arial" w:eastAsia="Arial" w:hAnsi="Arial"/>
                <w:sz w:val="14"/>
                <w:szCs w:val="14"/>
                <w:color w:val="auto"/>
                <w:w w:val="95"/>
              </w:rPr>
              <w:t>(Address of principal executive offices)</w:t>
            </w:r>
          </w:p>
        </w:tc>
        <w:tc>
          <w:tcPr>
            <w:tcW w:w="1300" w:type="dxa"/>
            <w:vAlign w:val="bottom"/>
          </w:tcPr>
          <w:p>
            <w:pPr>
              <w:jc w:val="center"/>
              <w:ind w:left="141"/>
              <w:spacing w:after="0"/>
              <w:rPr>
                <w:sz w:val="20"/>
                <w:szCs w:val="20"/>
                <w:color w:val="auto"/>
              </w:rPr>
            </w:pPr>
            <w:r>
              <w:rPr>
                <w:rFonts w:ascii="Arial" w:cs="Arial" w:eastAsia="Arial" w:hAnsi="Arial"/>
                <w:sz w:val="14"/>
                <w:szCs w:val="14"/>
                <w:color w:val="auto"/>
                <w:w w:val="96"/>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(952) 835-1874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200"/>
        <w:spacing w:after="0"/>
        <w:rPr>
          <w:sz w:val="20"/>
          <w:szCs w:val="20"/>
          <w:color w:val="auto"/>
        </w:rPr>
      </w:pPr>
      <w:r>
        <w:rPr>
          <w:rFonts w:ascii="Arial" w:cs="Arial" w:eastAsia="Arial" w:hAnsi="Arial"/>
          <w:sz w:val="18"/>
          <w:szCs w:val="18"/>
          <w:color w:val="auto"/>
        </w:rPr>
        <w:t>_________________________________</w:t>
      </w:r>
    </w:p>
    <w:p>
      <w:pPr>
        <w:spacing w:after="0" w:line="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x Yes o No</w:t>
      </w:r>
    </w:p>
    <w:p>
      <w:pPr>
        <w:spacing w:after="0" w:line="127"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01" w:right="239" w:bottom="1440" w:gutter="0" w:footer="0" w:header="0"/>
        </w:sect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x</w:t>
            </w:r>
          </w:p>
        </w:tc>
        <w:tc>
          <w:tcPr>
            <w:tcW w:w="4320" w:type="dxa"/>
            <w:vAlign w:val="bottom"/>
          </w:tcPr>
          <w:p>
            <w:pPr>
              <w:ind w:left="2360"/>
              <w:spacing w:after="0"/>
              <w:rPr>
                <w:sz w:val="20"/>
                <w:szCs w:val="20"/>
                <w:color w:val="auto"/>
              </w:rPr>
            </w:pPr>
            <w:r>
              <w:rPr>
                <w:rFonts w:ascii="Arial" w:cs="Arial" w:eastAsia="Arial" w:hAnsi="Arial"/>
                <w:sz w:val="18"/>
                <w:szCs w:val="18"/>
                <w:color w:val="auto"/>
              </w:rPr>
              <w:t>Accelerated filer</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ind w:left="2360"/>
              <w:spacing w:after="0"/>
              <w:rPr>
                <w:sz w:val="20"/>
                <w:szCs w:val="20"/>
                <w:color w:val="auto"/>
              </w:rPr>
            </w:pPr>
            <w:r>
              <w:rPr>
                <w:rFonts w:ascii="Arial" w:cs="Arial" w:eastAsia="Arial" w:hAnsi="Arial"/>
                <w:sz w:val="18"/>
                <w:szCs w:val="18"/>
                <w:color w:val="auto"/>
                <w:w w:val="90"/>
              </w:rPr>
              <w:t>Smaller reporting company</w:t>
            </w:r>
          </w:p>
        </w:tc>
      </w:tr>
      <w:tr>
        <w:trPr>
          <w:trHeight w:val="392"/>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500"/>
              <w:spacing w:after="0"/>
              <w:rPr>
                <w:sz w:val="20"/>
                <w:szCs w:val="20"/>
                <w:color w:val="auto"/>
              </w:rPr>
            </w:pPr>
            <w:r>
              <w:rPr>
                <w:rFonts w:ascii="Arial" w:cs="Arial" w:eastAsia="Arial" w:hAnsi="Arial"/>
                <w:sz w:val="18"/>
                <w:szCs w:val="18"/>
                <w:color w:val="auto"/>
              </w:rPr>
              <w:t>o</w:t>
            </w:r>
          </w:p>
        </w:tc>
        <w:tc>
          <w:tcPr>
            <w:tcW w:w="4320" w:type="dxa"/>
            <w:vAlign w:val="bottom"/>
          </w:tcPr>
          <w:p>
            <w:pPr>
              <w:spacing w:after="0"/>
              <w:rPr>
                <w:sz w:val="24"/>
                <w:szCs w:val="24"/>
                <w:color w:val="auto"/>
              </w:rPr>
            </w:pPr>
          </w:p>
        </w:tc>
      </w:tr>
    </w:tbl>
    <w:p>
      <w:pPr>
        <w:spacing w:after="0" w:line="40" w:lineRule="exact"/>
        <w:rPr>
          <w:sz w:val="24"/>
          <w:szCs w:val="24"/>
          <w:color w:val="auto"/>
        </w:rPr>
      </w:pPr>
    </w:p>
    <w:p>
      <w:pPr>
        <w:ind w:left="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3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460" w:space="320"/>
            <w:col w:w="640"/>
          </w:cols>
          <w:pgMar w:left="240" w:top="801" w:right="239" w:bottom="1440" w:gutter="0" w:footer="0" w:header="0"/>
          <w:type w:val="continuous"/>
        </w:sectPr>
      </w:pPr>
    </w:p>
    <w:bookmarkStart w:id="1" w:name="page2"/>
    <w:bookmarkEnd w:id="1"/>
    <w:p>
      <w:pPr>
        <w:ind w:right="839"/>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 As of October 8, 2018, 28,182,387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30"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2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Page</w:t>
            </w:r>
          </w:p>
        </w:tc>
      </w:tr>
      <w:tr>
        <w:trPr>
          <w:trHeight w:val="223"/>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4">
              <w:r>
                <w:rPr>
                  <w:rFonts w:ascii="Arial" w:cs="Arial" w:eastAsia="Arial" w:hAnsi="Arial"/>
                  <w:sz w:val="18"/>
                  <w:szCs w:val="18"/>
                  <w:b w:val="1"/>
                  <w:bCs w:val="1"/>
                  <w:color w:val="0000FF"/>
                  <w:w w:val="92"/>
                </w:rPr>
                <w:t>Financial Information</w:t>
              </w:r>
            </w:hyperlink>
          </w:p>
        </w:tc>
        <w:tc>
          <w:tcPr>
            <w:tcW w:w="6180" w:type="dxa"/>
            <w:vAlign w:val="bottom"/>
            <w:gridSpan w:val="11"/>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5420" w:type="dxa"/>
            <w:vAlign w:val="bottom"/>
            <w:gridSpan w:val="8"/>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Results of Operations</w:t>
              </w:r>
            </w:hyperlink>
          </w:p>
        </w:tc>
        <w:tc>
          <w:tcPr>
            <w:tcW w:w="2220" w:type="dxa"/>
            <w:vAlign w:val="bottom"/>
            <w:gridSpan w:val="5"/>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Earnings</w:t>
              </w:r>
            </w:hyperlink>
          </w:p>
        </w:tc>
        <w:tc>
          <w:tcPr>
            <w:tcW w:w="4040" w:type="dxa"/>
            <w:vAlign w:val="bottom"/>
            <w:gridSpan w:val="3"/>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w:t>
              </w:r>
            </w:hyperlink>
          </w:p>
        </w:tc>
        <w:tc>
          <w:tcPr>
            <w:tcW w:w="2220" w:type="dxa"/>
            <w:vAlign w:val="bottom"/>
            <w:gridSpan w:val="5"/>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Shareholders' Equity</w:t>
              </w:r>
            </w:hyperlink>
          </w:p>
        </w:tc>
        <w:tc>
          <w:tcPr>
            <w:tcW w:w="4360" w:type="dxa"/>
            <w:vAlign w:val="bottom"/>
            <w:gridSpan w:val="4"/>
          </w:tcPr>
          <w:p>
            <w:pPr>
              <w:spacing w:after="0"/>
              <w:rPr>
                <w:sz w:val="24"/>
                <w:szCs w:val="24"/>
                <w:color w:val="auto"/>
              </w:rPr>
            </w:pPr>
          </w:p>
        </w:tc>
        <w:tc>
          <w:tcPr>
            <w:tcW w:w="21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8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22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7">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4"/>
                <w:szCs w:val="24"/>
                <w:color w:val="auto"/>
              </w:rPr>
            </w:pPr>
          </w:p>
        </w:tc>
        <w:tc>
          <w:tcPr>
            <w:tcW w:w="6120" w:type="dxa"/>
            <w:vAlign w:val="bottom"/>
            <w:gridSpan w:val="10"/>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880" w:type="dxa"/>
            <w:vAlign w:val="bottom"/>
            <w:gridSpan w:val="1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Risk Factors</w:t>
              </w:r>
            </w:hyperlink>
          </w:p>
        </w:tc>
        <w:tc>
          <w:tcPr>
            <w:tcW w:w="420" w:type="dxa"/>
            <w:vAlign w:val="bottom"/>
          </w:tcPr>
          <w:p>
            <w:pPr>
              <w:spacing w:after="0"/>
              <w:rPr>
                <w:sz w:val="24"/>
                <w:szCs w:val="24"/>
                <w:color w:val="auto"/>
              </w:rPr>
            </w:pPr>
          </w:p>
        </w:tc>
        <w:tc>
          <w:tcPr>
            <w:tcW w:w="6560" w:type="dxa"/>
            <w:vAlign w:val="bottom"/>
            <w:gridSpan w:val="13"/>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4"/>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Unregistered Sales of Equity Securities and Use of Proceeds</w:t>
              </w:r>
            </w:hyperlink>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Exhibits</w:t>
              </w:r>
            </w:hyperlink>
          </w:p>
        </w:tc>
        <w:tc>
          <w:tcPr>
            <w:tcW w:w="3740" w:type="dxa"/>
            <w:vAlign w:val="bottom"/>
            <w:gridSpan w:val="13"/>
          </w:tcPr>
          <w:p>
            <w:pPr>
              <w:spacing w:after="0"/>
              <w:rPr>
                <w:sz w:val="24"/>
                <w:szCs w:val="24"/>
                <w:color w:val="auto"/>
              </w:rPr>
            </w:pPr>
          </w:p>
        </w:tc>
        <w:tc>
          <w:tcPr>
            <w:tcW w:w="3540" w:type="dxa"/>
            <w:vAlign w:val="bottom"/>
            <w:gridSpan w:val="2"/>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372"/>
        </w:trPr>
        <w:tc>
          <w:tcPr>
            <w:tcW w:w="126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20" w:type="dxa"/>
            <w:vAlign w:val="bottom"/>
            <w:gridSpan w:val="5"/>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r>
      <w:tr>
        <w:trPr>
          <w:trHeight w:val="507"/>
        </w:trPr>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6460" w:type="dxa"/>
            <w:vAlign w:val="bottom"/>
            <w:gridSpan w:val="15"/>
          </w:tcPr>
          <w:p>
            <w:pPr>
              <w:ind w:left="4360"/>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0"/>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960" w:type="dxa"/>
            <w:vAlign w:val="bottom"/>
            <w:gridSpan w:val="2"/>
          </w:tcPr>
          <w:p>
            <w:pPr>
              <w:ind w:left="2900"/>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7700" w:type="dxa"/>
            <w:vAlign w:val="bottom"/>
            <w:gridSpan w:val="3"/>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824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824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9"/>
        </w:trPr>
        <w:tc>
          <w:tcPr>
            <w:tcW w:w="8240" w:type="dxa"/>
            <w:vAlign w:val="bottom"/>
            <w:gridSpan w:val="4"/>
          </w:tcPr>
          <w:p>
            <w:pPr>
              <w:ind w:left="40"/>
              <w:spacing w:after="0"/>
              <w:rPr>
                <w:sz w:val="20"/>
                <w:szCs w:val="20"/>
                <w:color w:val="auto"/>
              </w:rPr>
            </w:pPr>
            <w:r>
              <w:rPr>
                <w:rFonts w:ascii="Arial" w:cs="Arial" w:eastAsia="Arial" w:hAnsi="Arial"/>
                <w:sz w:val="14"/>
                <w:szCs w:val="14"/>
                <w:i w:val="1"/>
                <w:iCs w:val="1"/>
                <w:color w:val="auto"/>
              </w:rPr>
              <w:t>In thousands, except stock data</w:t>
            </w: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1, 2018</w:t>
            </w:r>
          </w:p>
        </w:tc>
        <w:tc>
          <w:tcPr>
            <w:tcW w:w="220" w:type="dxa"/>
            <w:vAlign w:val="bottom"/>
          </w:tcPr>
          <w:p>
            <w:pPr>
              <w:spacing w:after="0"/>
              <w:rPr>
                <w:sz w:val="24"/>
                <w:szCs w:val="24"/>
                <w:color w:val="auto"/>
              </w:rPr>
            </w:pPr>
          </w:p>
        </w:tc>
        <w:tc>
          <w:tcPr>
            <w:tcW w:w="1260" w:type="dxa"/>
            <w:vAlign w:val="bottom"/>
          </w:tcPr>
          <w:p>
            <w:pPr>
              <w:jc w:val="right"/>
              <w:ind w:right="211"/>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1"/>
              </w:rPr>
              <w:t>Assets</w:t>
            </w: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6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Receivables, net of allowance for doubtful accounts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200,770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211,852</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80,908</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44,585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4,120</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20,039</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361,193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336,278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304,063</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180,956</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157,991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167,349</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33,674</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1,073,617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1,022,320</w:t>
            </w:r>
          </w:p>
        </w:tc>
      </w:tr>
      <w:tr>
        <w:trPr>
          <w:trHeight w:val="67"/>
        </w:trPr>
        <w:tc>
          <w:tcPr>
            <w:tcW w:w="1280" w:type="dxa"/>
            <w:vAlign w:val="bottom"/>
            <w:tcBorders>
              <w:bottom w:val="single" w:sz="8" w:color="CCEEFF"/>
            </w:tcBorders>
            <w:gridSpan w:val="2"/>
          </w:tcPr>
          <w:p>
            <w:pPr>
              <w:spacing w:after="0"/>
              <w:rPr>
                <w:sz w:val="5"/>
                <w:szCs w:val="5"/>
                <w:color w:val="auto"/>
              </w:rPr>
            </w:pPr>
          </w:p>
        </w:tc>
        <w:tc>
          <w:tcPr>
            <w:tcW w:w="6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824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68,416</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Accrued payroll and related benefits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36,646</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Accrued self-insurance reserves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10,933</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24,907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12,461</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79,696</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209,216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208,152</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215,860</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Long-term self-insurance reserves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16,307</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70,646</w:t>
            </w:r>
          </w:p>
        </w:tc>
      </w:tr>
      <w:tr>
        <w:trPr>
          <w:trHeight w:val="243"/>
        </w:trPr>
        <w:tc>
          <w:tcPr>
            <w:tcW w:w="824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contingent liabilities (Note 8)</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4"/>
          </w:tcPr>
          <w:p>
            <w:pPr>
              <w:ind w:left="380"/>
              <w:spacing w:after="0"/>
              <w:rPr>
                <w:sz w:val="20"/>
                <w:szCs w:val="20"/>
                <w:color w:val="auto"/>
              </w:rPr>
            </w:pPr>
            <w:r>
              <w:rPr>
                <w:rFonts w:ascii="Arial" w:cs="Arial" w:eastAsia="Arial" w:hAnsi="Arial"/>
                <w:sz w:val="18"/>
                <w:szCs w:val="18"/>
                <w:color w:val="auto"/>
                <w:w w:val="93"/>
              </w:rPr>
              <w:t>Common stock of $0.33-1/3 par value; authorized 50,000,000 shares; issued and outstanding 28,260,214</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and 28,158,042 respectively</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9,420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9,386</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152,763</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402,619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373,259</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Common stock held in trust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8240" w:type="dxa"/>
            <w:vAlign w:val="bottom"/>
            <w:gridSpan w:val="4"/>
          </w:tcPr>
          <w:p>
            <w:pPr>
              <w:ind w:left="380"/>
              <w:spacing w:after="0"/>
              <w:rPr>
                <w:sz w:val="20"/>
                <w:szCs w:val="20"/>
                <w:color w:val="auto"/>
              </w:rPr>
            </w:pPr>
            <w:r>
              <w:rPr>
                <w:rFonts w:ascii="Arial" w:cs="Arial" w:eastAsia="Arial" w:hAnsi="Arial"/>
                <w:sz w:val="18"/>
                <w:szCs w:val="18"/>
                <w:color w:val="auto"/>
              </w:rPr>
              <w:t>Deferred compensation obligations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922</w:t>
            </w:r>
          </w:p>
        </w:tc>
      </w:tr>
      <w:tr>
        <w:trPr>
          <w:trHeight w:val="27"/>
        </w:trPr>
        <w:tc>
          <w:tcPr>
            <w:tcW w:w="1280" w:type="dxa"/>
            <w:vAlign w:val="bottom"/>
            <w:gridSpan w:val="2"/>
          </w:tcPr>
          <w:p>
            <w:pPr>
              <w:spacing w:after="0"/>
              <w:rPr>
                <w:sz w:val="2"/>
                <w:szCs w:val="2"/>
                <w:color w:val="auto"/>
              </w:rPr>
            </w:pPr>
          </w:p>
        </w:tc>
        <w:tc>
          <w:tcPr>
            <w:tcW w:w="6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w:t>
            </w:r>
          </w:p>
        </w:tc>
      </w:tr>
      <w:tr>
        <w:trPr>
          <w:trHeight w:val="237"/>
        </w:trPr>
        <w:tc>
          <w:tcPr>
            <w:tcW w:w="540" w:type="dxa"/>
            <w:vAlign w:val="bottom"/>
          </w:tcPr>
          <w:p>
            <w:pPr>
              <w:spacing w:after="0"/>
              <w:rPr>
                <w:sz w:val="20"/>
                <w:szCs w:val="20"/>
                <w:color w:val="auto"/>
              </w:rPr>
            </w:pPr>
          </w:p>
        </w:tc>
        <w:tc>
          <w:tcPr>
            <w:tcW w:w="7700" w:type="dxa"/>
            <w:vAlign w:val="bottom"/>
            <w:gridSpan w:val="3"/>
          </w:tcPr>
          <w:p>
            <w:pPr>
              <w:ind w:left="1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511,355</w:t>
            </w:r>
          </w:p>
        </w:tc>
      </w:tr>
      <w:tr>
        <w:trPr>
          <w:trHeight w:val="27"/>
        </w:trPr>
        <w:tc>
          <w:tcPr>
            <w:tcW w:w="5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1,073,617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1,022,320</w:t>
            </w: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0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September 1, 2018</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2"/>
              </w:rPr>
              <w:t>September 2, 2017</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1,</w:t>
            </w:r>
          </w:p>
        </w:tc>
        <w:tc>
          <w:tcPr>
            <w:tcW w:w="160" w:type="dxa"/>
            <w:vAlign w:val="bottom"/>
          </w:tcPr>
          <w:p>
            <w:pPr>
              <w:spacing w:after="0"/>
              <w:rPr>
                <w:sz w:val="13"/>
                <w:szCs w:val="13"/>
                <w:color w:val="auto"/>
              </w:rPr>
            </w:pPr>
          </w:p>
        </w:tc>
        <w:tc>
          <w:tcPr>
            <w:tcW w:w="110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w w:val="95"/>
              </w:rPr>
              <w:t>September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698,664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616,214</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277,667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257,906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533,468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459,919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156,295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58,227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114,542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104,415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50,654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51,880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50,325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Earnings per share - 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 -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Weighted average basic shares outstanding</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28,128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28,850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28,379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28,908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28,885</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1"/>
              </w:rPr>
              <w:t>September 2, 2017</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1,</w:t>
            </w:r>
          </w:p>
        </w:tc>
        <w:tc>
          <w:tcPr>
            <w:tcW w:w="160" w:type="dxa"/>
            <w:vAlign w:val="bottom"/>
          </w:tcPr>
          <w:p>
            <w:pPr>
              <w:spacing w:after="0"/>
              <w:rPr>
                <w:sz w:val="13"/>
                <w:szCs w:val="13"/>
                <w:color w:val="auto"/>
              </w:rPr>
            </w:pPr>
          </w:p>
        </w:tc>
        <w:tc>
          <w:tcPr>
            <w:tcW w:w="11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w w:val="95"/>
              </w:rPr>
              <w:t>September 2,</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33,512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Unrealized (loss) gain on marketable securities, net of ($11), $17, ($9)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and $50 of tax (benefit) expense, respectively</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9"/>
        </w:trPr>
        <w:tc>
          <w:tcPr>
            <w:tcW w:w="5840" w:type="dxa"/>
            <w:vAlign w:val="bottom"/>
            <w:gridSpan w:val="2"/>
          </w:tcPr>
          <w:p>
            <w:pPr>
              <w:ind w:left="380"/>
              <w:spacing w:after="0"/>
              <w:rPr>
                <w:sz w:val="20"/>
                <w:szCs w:val="20"/>
                <w:color w:val="auto"/>
              </w:rPr>
            </w:pPr>
            <w:r>
              <w:rPr>
                <w:rFonts w:ascii="Arial" w:cs="Arial" w:eastAsia="Arial" w:hAnsi="Arial"/>
                <w:sz w:val="18"/>
                <w:szCs w:val="18"/>
                <w:color w:val="auto"/>
                <w:w w:val="93"/>
              </w:rPr>
              <w:t>Unrealized loss on foreign currency hedge, net of $17, $-, $109 and $- of</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540"/>
              <w:spacing w:after="0"/>
              <w:rPr>
                <w:sz w:val="20"/>
                <w:szCs w:val="20"/>
                <w:color w:val="auto"/>
              </w:rPr>
            </w:pPr>
            <w:r>
              <w:rPr>
                <w:rFonts w:ascii="Arial" w:cs="Arial" w:eastAsia="Arial" w:hAnsi="Arial"/>
                <w:sz w:val="18"/>
                <w:szCs w:val="18"/>
                <w:color w:val="auto"/>
              </w:rPr>
              <w:t>tax benefit, respectively</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14,490</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earnings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earnings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31,596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48,094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1"/>
              </w:rPr>
              <w:t>September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September 2, 2017</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35,887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33,512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26,457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25,062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 on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Proceeds from New Markets Tax Credit transaction, net of deferred costs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8,683</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(7,072)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Costs and earnings on contracts in excess of billings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(33,982)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Billings on contracts in excess of costs and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4,819</w:t>
            </w:r>
          </w:p>
        </w:tc>
      </w:tr>
      <w:tr>
        <w:trPr>
          <w:trHeight w:val="243"/>
        </w:trPr>
        <w:tc>
          <w:tcPr>
            <w:tcW w:w="8580" w:type="dxa"/>
            <w:vAlign w:val="bottom"/>
            <w:gridSpan w:val="2"/>
          </w:tcPr>
          <w:p>
            <w:pPr>
              <w:ind w:left="380"/>
              <w:spacing w:after="0"/>
              <w:rPr>
                <w:sz w:val="20"/>
                <w:szCs w:val="20"/>
                <w:color w:val="auto"/>
              </w:rPr>
            </w:pPr>
            <w:r>
              <w:rPr>
                <w:rFonts w:ascii="Arial" w:cs="Arial" w:eastAsia="Arial" w:hAnsi="Arial"/>
                <w:sz w:val="18"/>
                <w:szCs w:val="18"/>
                <w:color w:val="auto"/>
              </w:rPr>
              <w:t>Refundable and accrued income taxes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7,079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40,809</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(26,825)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sales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(184,826)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Sales/maturities of marketable securities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4,271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(211,653)</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Borrowings on line of credit</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284,200</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Payments on line of credit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Shares withheld for taxes, net of stock issued to employees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Repurchase and retirement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(7,994)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1,759</w:t>
            </w:r>
          </w:p>
        </w:tc>
      </w:tr>
      <w:tr>
        <w:trPr>
          <w:trHeight w:val="237"/>
        </w:trPr>
        <w:tc>
          <w:tcPr>
            <w:tcW w:w="8580" w:type="dxa"/>
            <w:vAlign w:val="bottom"/>
            <w:gridSpan w:val="2"/>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171,520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Effect of exchange rates on cash</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1,555</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27,297</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35,965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29,528</w:t>
            </w:r>
          </w:p>
        </w:tc>
      </w:tr>
      <w:tr>
        <w:trPr>
          <w:trHeight w:val="67"/>
        </w:trPr>
        <w:tc>
          <w:tcPr>
            <w:tcW w:w="84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Noncash Activity</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Capital expenditures in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1,196</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Deferred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Accumulated Other</w:t>
            </w: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Common</w:t>
            </w: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Retained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Stock Held in</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40" w:type="dxa"/>
            <w:vAlign w:val="bottom"/>
          </w:tcPr>
          <w:p>
            <w:pPr>
              <w:spacing w:after="0"/>
              <w:rPr>
                <w:sz w:val="12"/>
                <w:szCs w:val="12"/>
                <w:color w:val="auto"/>
              </w:rPr>
            </w:pPr>
          </w:p>
        </w:tc>
        <w:tc>
          <w:tcPr>
            <w:tcW w:w="11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8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8"/>
              </w:rPr>
              <w:t>In Capital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5"/>
              </w:rPr>
              <w:t>Trust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Obligation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4"/>
              </w:rPr>
              <w:t>(Loss) Income</w:t>
            </w: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3, 2018</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9,386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373,259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922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(24,053)</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Cumulative effect adjustment (see Note 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Reclassification of tax effects (see Note 1)</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35,887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Unrealized loss on marketable securities, net of $9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benefit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63"/>
        </w:trPr>
        <w:tc>
          <w:tcPr>
            <w:tcW w:w="3340" w:type="dxa"/>
            <w:vAlign w:val="bottom"/>
            <w:gridSpan w:val="2"/>
          </w:tcPr>
          <w:p>
            <w:pPr>
              <w:ind w:left="40"/>
              <w:spacing w:after="0"/>
              <w:rPr>
                <w:sz w:val="20"/>
                <w:szCs w:val="20"/>
                <w:color w:val="auto"/>
              </w:rPr>
            </w:pPr>
            <w:r>
              <w:rPr>
                <w:rFonts w:ascii="Arial" w:cs="Arial" w:eastAsia="Arial" w:hAnsi="Arial"/>
                <w:sz w:val="14"/>
                <w:szCs w:val="14"/>
                <w:color w:val="auto"/>
                <w:w w:val="96"/>
              </w:rPr>
              <w:t>Unrealized loss on foreign currency hedge, net of $109</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1"/>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tax benefit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1, 2018</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28,260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9,420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155,898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402,619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(29,081)</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March 4, 2017</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150,111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341,996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875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(31,090)</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Net earnings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33,512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4"/>
              </w:rPr>
              <w:t>Unrealized gain on marketable securities, net of $50 tax</w:t>
            </w: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8"/>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92</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14,490</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Issuance of stock, net of cancellations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3,063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Exercise of stock options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Share repurchases</w:t>
            </w:r>
          </w:p>
        </w:tc>
        <w:tc>
          <w:tcPr>
            <w:tcW w:w="1160" w:type="dxa"/>
            <w:vAlign w:val="bottom"/>
          </w:tcPr>
          <w:p>
            <w:pPr>
              <w:jc w:val="right"/>
              <w:ind w:right="12"/>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(9,675)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share retirements</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Cash dividends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3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2, 2017</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28,642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9,548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152,711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355,623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(16,508)</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March 3, 2018. We use the same accounting policies in preparing quarterly and annual financial statements. All adjustments necessary for a fair presentation of quarterly operating results are reflected herein and are of a normal, recurring nature. The results of operations for the six-month period ended September 1, 2018 are not necessarily indicative of the results to be expected for the full year.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These reclassifications had no effect on the consolidated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update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significant accounting policies are included in Note 1 "Summary of Significant Accounting Policies and Related Data" of our Annual Report on Form 10-K for the year ended March 3, 2018. On March 4, 2018,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as a result, made updates to our significant accounting policy for revenue recognition.</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current year-to-date period, approximately 46 percent of our total revenue is recognized at the time products are shipped from our manufacturing facilities, which is when control is transferred to our customer, consistent with past practices. These businesses do not generate contract-related assets or liabilities. Variable consideration associated with these contracts and orders, generally related to early pay discounts or volume rebates, is not considered significant.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have three businesses which operate under long-term, fixed-price contracts, representing approximately 34 percent of our total revenue in the current year. This includes one business which changed revenue recognition practices due to the adoption of the new guidance, moving from recognizing revenue at shipment to an over-time method of revenue recognition.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Finally, we have one business, making up approximately 20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Previously, this business recognized revenue at the time of shipment.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outlined within the new accounting guidance, we elected several practical expedients in our transition to ASC 606:</w:t>
      </w:r>
    </w:p>
    <w:p>
      <w:pPr>
        <w:spacing w:after="0" w:line="23"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account for shipping and handling activities that occur after control of the related goods transfers to the customer as fulfillment activities, instead of assessing such activities as performance obligations.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made an accounting policy election to exclude from the transaction price all sales taxes related to revenue-producing transactions that are collected from the customer for a government authority.</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adjusted contract price for a significant financing component, as we expect the period between when our goods and services are transferred to the customer and when the customer pays for those goods and services to be less than a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adopted the new guidance in ASC 606 using the modified retrospective transition method applied to those contracts which were not complete as of March 4, 2018. Prior period amounts were not adjusted and therefore continue to be reported in accordance with the accounting guidance and our accounting policies in effect for those periods.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Representing the cumulative effect of adopting ASC 606, we recorded a $3.0 million increase to the opening balance of retained earnings as of March 4, 2018. For the quarter and six month periods ending September 1, 2018, the application of the new accounting guidance had the following impact on our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7"/>
              </w:rPr>
              <w:t>Three Months Ended September 1, 2018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w w:val="97"/>
              </w:rPr>
              <w:t>Six Months Ended September 1, 2018</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1580" w:type="dxa"/>
            <w:vAlign w:val="bottom"/>
            <w:gridSpan w:val="3"/>
          </w:tcPr>
          <w:p>
            <w:pPr>
              <w:ind w:left="120"/>
              <w:spacing w:after="0" w:line="153" w:lineRule="exact"/>
              <w:rPr>
                <w:sz w:val="20"/>
                <w:szCs w:val="20"/>
                <w:color w:val="auto"/>
              </w:rPr>
            </w:pPr>
            <w:r>
              <w:rPr>
                <w:rFonts w:ascii="Arial" w:cs="Arial" w:eastAsia="Arial" w:hAnsi="Arial"/>
                <w:sz w:val="14"/>
                <w:szCs w:val="14"/>
                <w:b w:val="1"/>
                <w:bCs w:val="1"/>
                <w:color w:val="auto"/>
              </w:rPr>
              <w:t>Without adoption of</w:t>
            </w:r>
          </w:p>
        </w:tc>
        <w:tc>
          <w:tcPr>
            <w:tcW w:w="260" w:type="dxa"/>
            <w:vAlign w:val="bottom"/>
          </w:tcPr>
          <w:p>
            <w:pPr>
              <w:spacing w:after="0"/>
              <w:rPr>
                <w:sz w:val="13"/>
                <w:szCs w:val="13"/>
                <w:color w:val="auto"/>
              </w:rPr>
            </w:pPr>
          </w:p>
        </w:tc>
        <w:tc>
          <w:tcPr>
            <w:tcW w:w="12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As reported</w:t>
            </w:r>
          </w:p>
        </w:tc>
        <w:tc>
          <w:tcPr>
            <w:tcW w:w="100" w:type="dxa"/>
            <w:vAlign w:val="bottom"/>
            <w:vMerge w:val="restart"/>
          </w:tcPr>
          <w:p>
            <w:pPr>
              <w:spacing w:after="0"/>
              <w:rPr>
                <w:sz w:val="13"/>
                <w:szCs w:val="13"/>
                <w:color w:val="auto"/>
              </w:rPr>
            </w:pP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Without adoption of</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ASC 606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698,664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686,835</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277,667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276,058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533,468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524,715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162,120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55,481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114,542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113,868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28,660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48,252</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20,513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35,887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34,059</w:t>
            </w:r>
          </w:p>
        </w:tc>
        <w:tc>
          <w:tcPr>
            <w:tcW w:w="0" w:type="dxa"/>
            <w:vAlign w:val="bottom"/>
          </w:tcPr>
          <w:p>
            <w:pPr>
              <w:spacing w:after="0"/>
              <w:rPr>
                <w:sz w:val="1"/>
                <w:szCs w:val="1"/>
                <w:color w:val="auto"/>
              </w:rPr>
            </w:pPr>
          </w:p>
        </w:tc>
      </w:tr>
      <w:tr>
        <w:trPr>
          <w:trHeight w:val="561"/>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September 1, 2018</w:t>
            </w: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Without adoption of</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193"/>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90,006</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Costs and earnings on contracts in excess of billings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Billings on contracts in excess of costs and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23,657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69,707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68,373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402,619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407,446</w:t>
            </w: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7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changes are primarily a result of the transition of certain of our businesses from recognizing revenue at the time of shipment to over-time methods of revenue recognition.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the first quarter of fiscal 2019, we elected to early adopt ASU 2018-02, </w:t>
      </w:r>
      <w:r>
        <w:rPr>
          <w:rFonts w:ascii="Arial" w:cs="Arial" w:eastAsia="Arial" w:hAnsi="Arial"/>
          <w:sz w:val="16"/>
          <w:szCs w:val="16"/>
          <w:i w:val="1"/>
          <w:iCs w:val="1"/>
          <w:color w:val="auto"/>
        </w:rPr>
        <w:t>Reclassification of Certain Tax Effects from Accumulated Other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This standard permits a company to reclassify the disproportionate income tax effects of the 2017 Tax Cuts and Jobs Act on items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("AOCI") to retained earnings. The FASB refers to these amounts as “stranded tax effects.” As a result of this adoption, we reclassified income tax effects of $0.7 million resulting from tax reform from AOCI to retained earnings following a portfolio approach. These stranded tax effects are derived from the deferred tax balances on our pension obligations as a result of the lower U.S. federal corporate tax 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provides for comprehensive changes to lease accounting. The standard requires that a lessee recognize a lease obligation liability and a right-to-use asset for virtually all leases of property, plant and equipment, subsequently amortized over the lease term. The new standard is effective for fiscal years beginning after December 15, 2018, our fiscal year 2020. In July 2018, the FASB issued an additional update which allows an entity the option to adopt the guidance on a modified retrospective basis. Under the modified retrospective approach, which we plan to adopt in implementing the new guidance, an entity would recognize a cumulative effect adjustment of initially applying the guidance to the opening balance of retained earnings in the period of adoption. Prior period amounts will not be adjusted.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 the process of analyzing our lease arrangements and we have begun evaluating potential changes to our business processes, systems and controls that are needed to support recognition and disclosure under this new standard. We expect that the adoption of this standard will result in reflecting a material right-of-use asset and lease liability on our consolidated balance sheet. We do not currently expect this standard to have a significant impact on our consolidated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Subsequent to the end of the quarter, in October 2018, we purchased 200,000 shares of stock under our authorized share repurchase program, at a total cost of $8.3 million. Also in October 2018, the Board of Directors increased our repurchase authorization by 2,000,000 shares, bringing the total remaining repurchase authority under this program to 3,040,068 shares.</w:t>
      </w:r>
    </w:p>
    <w:p>
      <w:pPr>
        <w:spacing w:after="0" w:line="18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EFCO</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June 12, 2017, we acquired 100 percent of the stock of EFCO Corporation, a privately held U.S. manufacturer of architectural aluminum window, curtainwall, storefront and entrance systems for commercial construction projects, for $192 million in cash. The acquisition was funded through our committed revolving credit facility, with $7.5 million of the purchase price payable in equal installments over the subsequent three years. EFCO's results of operations have been included in our consolidated financial statements and within the Architectural Framing Systems segment since the date of acquisition.</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assets and liabilities of EFCO were recorded in our consolidated balance sheet as of the acquisition date, at their respective fair values. Fair value is estimated based on one or a combination of income, cost and/or market approaches, as determined based on the nature of the asset or liability, and the level of inputs available. With respect to assets and liabilities, the determination of fair value requires management to make subjective judgments as to projections of future operating performance, the appropriate discount rate to apply, long-term growth rates, etc. (i.e. - unobservable inputs classified as Level 3 inputs under the fair value hierarchy described in Note 5), which affect the amounts recorded in the purchase price allocation. The excess of the consideration transferred over the fair value of the identifiable assets, net of liabilities, is recorded as goodwill, which is indicative of the expected continued growth and development of EFCO. The purchase price allocation that follows is based on the estimated fair values of assets acquired and liabilities assumed, which was finalized in the first quarter of fiscal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5320" w:type="dxa"/>
            <w:vAlign w:val="bottom"/>
            <w:tcBorders>
              <w:bottom w:val="single" w:sz="8" w:color="auto"/>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w:t>
            </w:r>
          </w:p>
        </w:tc>
        <w:tc>
          <w:tcPr>
            <w:tcW w:w="594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44,641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90,429</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5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Long-term liabilities acquired, net</w:t>
            </w:r>
          </w:p>
        </w:tc>
        <w:tc>
          <w:tcPr>
            <w:tcW w:w="5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57"/>
        </w:trPr>
        <w:tc>
          <w:tcPr>
            <w:tcW w:w="4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53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190,349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320" w:type="dxa"/>
            <w:vAlign w:val="bottom"/>
            <w:vMerge w:val="restart"/>
          </w:tcPr>
          <w:p>
            <w:pPr>
              <w:jc w:val="right"/>
              <w:ind w:right="3710"/>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reflect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5"/>
              </w:rPr>
              <w:t>Estimated fair value</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34,800</w:t>
            </w:r>
          </w:p>
        </w:tc>
        <w:tc>
          <w:tcPr>
            <w:tcW w:w="1580" w:type="dxa"/>
            <w:vAlign w:val="bottom"/>
            <w:tcBorders>
              <w:bottom w:val="single" w:sz="8" w:color="CCEEFF"/>
            </w:tcBorders>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32,400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Backlog</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4,300</w:t>
            </w:r>
          </w:p>
        </w:tc>
        <w:tc>
          <w:tcPr>
            <w:tcW w:w="1580" w:type="dxa"/>
            <w:vAlign w:val="bottom"/>
            <w:tcBorders>
              <w:bottom w:val="single" w:sz="8" w:color="CCEEFF"/>
            </w:tcBorders>
            <w:gridSpan w:val="2"/>
            <w:shd w:val="clear" w:color="auto" w:fill="CCEEFF"/>
          </w:tcPr>
          <w:p>
            <w:pPr>
              <w:jc w:val="right"/>
              <w:ind w:right="54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sets forth certain unaudited pro forma consolidated data for the second quarter and six-month periods of fiscal 2019 and 2018, as if the EFCO acquisition had been consummated pursuant to its same terms at the beginning of the fiscal year preceding the acquisition date.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September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2, 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2, 2017</w:t>
            </w: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351,988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698,664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696,039</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21,069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20,312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36,639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37,528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1.30</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provided this unaudited pro forma information for comparative purposes only. This information does not necessarily reflect what the combined results of operations actually would have been had the acquisitions occurred at the beginning of fiscal year 2017. The information does not reflect the effect of any synergies or integration costs that we expect to result from the acquisition.</w:t>
      </w:r>
    </w:p>
    <w:p>
      <w:pPr>
        <w:spacing w:after="0" w:line="17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13 for disclosure of revenue by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Six Months Ended</w:t>
            </w:r>
          </w:p>
        </w:tc>
      </w:tr>
      <w:tr>
        <w:trPr>
          <w:trHeight w:val="250"/>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September 1, 2018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7"/>
              </w:rPr>
              <w:t>September 1, 2018</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Recognized at shipment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323,401</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Recognized over time</w:t>
            </w:r>
          </w:p>
        </w:tc>
        <w:tc>
          <w:tcPr>
            <w:tcW w:w="200" w:type="dxa"/>
            <w:vAlign w:val="bottom"/>
          </w:tcPr>
          <w:p>
            <w:pPr>
              <w:spacing w:after="0"/>
              <w:rPr>
                <w:sz w:val="21"/>
                <w:szCs w:val="21"/>
                <w:color w:val="auto"/>
              </w:rPr>
            </w:pP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195,599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375,263</w:t>
            </w: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698,664</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where amounts are released.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9"/>
              </w:rPr>
              <w:t>September 1,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March 3, 2018</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w:t>
            </w:r>
          </w:p>
        </w:tc>
        <w:tc>
          <w:tcPr>
            <w:tcW w:w="3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157,562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Construction contracts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17,462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26,545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contracts - retainage</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26,388</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receivables</w:t>
            </w:r>
          </w:p>
        </w:tc>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202,501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213,382</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receivables</w:t>
            </w:r>
          </w:p>
        </w:tc>
        <w:tc>
          <w:tcPr>
            <w:tcW w:w="3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211,852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31,623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20,120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contract assets was due to additional businesses recognizing revenue in advance of billings, as a result of changing accounting policies for revenue recognition upon adoption of ASC 606. The increase in contract liabilities was due to timing of project activity within our businesses that operate under long-term contracts.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six months of fiscal 2019, we recognized revenue of $10.4 million related to contract liabilities at March 4, 2018, and revenue of $3.8 million related to performance obligations satisfied in previous periods due to changes in contract estimates. For the second quarter of fiscal 2019, we recognized revenue of $1.3 million related to contract liabilities at March 4, 2018, and revenue of $1.5 million related to performance obligations satisfied in previous periods due to changes in contract estimates.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September 1, 2018, the transaction price associated with unsatisfied performance obligations was approximately $695.1 million. The performance obligations are expected to be satisfied, and the corresponding revenue to be recognized, over the following estimated time periods: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September 1, 2018</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462,097</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Within two years</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222,677</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Beyond</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10,313</w:t>
            </w:r>
          </w:p>
        </w:tc>
      </w:tr>
      <w:tr>
        <w:trPr>
          <w:trHeight w:val="257"/>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695,087</w:t>
            </w:r>
          </w:p>
        </w:tc>
      </w:tr>
      <w:tr>
        <w:trPr>
          <w:trHeight w:val="20"/>
        </w:trPr>
        <w:tc>
          <w:tcPr>
            <w:tcW w:w="9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920" w:firstLine="8"/>
        <w:spacing w:after="0" w:line="506"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Inventories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March 3, 2018</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35,049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17,406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81,933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80,908</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1, 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March 3, 2018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Warranties</w:t>
            </w:r>
          </w:p>
        </w:tc>
        <w:tc>
          <w:tcPr>
            <w:tcW w:w="312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Acquired contract liabilities</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27,505</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31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57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gridSpan w:val="2"/>
          </w:tcPr>
          <w:p>
            <w:pPr>
              <w:ind w:left="40"/>
              <w:spacing w:after="0"/>
              <w:rPr>
                <w:sz w:val="20"/>
                <w:szCs w:val="20"/>
                <w:color w:val="auto"/>
              </w:rPr>
            </w:pPr>
            <w:r>
              <w:rPr>
                <w:rFonts w:ascii="Arial" w:cs="Arial" w:eastAsia="Arial" w:hAnsi="Arial"/>
                <w:sz w:val="13"/>
                <w:szCs w:val="13"/>
                <w:i w:val="1"/>
                <w:iCs w:val="1"/>
                <w:color w:val="auto"/>
              </w:rPr>
              <w:t>In thousands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1, 2018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55"/>
              <w:spacing w:after="0"/>
              <w:rPr>
                <w:sz w:val="20"/>
                <w:szCs w:val="20"/>
                <w:color w:val="auto"/>
              </w:rPr>
            </w:pPr>
            <w:r>
              <w:rPr>
                <w:rFonts w:ascii="Arial" w:cs="Arial" w:eastAsia="Arial" w:hAnsi="Arial"/>
                <w:sz w:val="14"/>
                <w:szCs w:val="14"/>
                <w:b w:val="1"/>
                <w:bCs w:val="1"/>
                <w:color w:val="auto"/>
                <w:w w:val="95"/>
              </w:rPr>
              <w:t>March 3, 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benefit from New Market Tax Credit transactions</w:t>
            </w: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Retirement plan obligations</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8,997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plan</w:t>
            </w: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37,486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34,211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81,746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70,646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Financial Instruments</w:t>
            </w: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7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7"/>
          </w:tcPr>
          <w:p>
            <w:pPr>
              <w:spacing w:after="0"/>
              <w:rPr>
                <w:sz w:val="20"/>
                <w:szCs w:val="20"/>
                <w:color w:val="auto"/>
              </w:rPr>
            </w:pPr>
            <w:r>
              <w:rPr>
                <w:rFonts w:ascii="Arial" w:cs="Arial" w:eastAsia="Arial" w:hAnsi="Arial"/>
                <w:sz w:val="18"/>
                <w:szCs w:val="18"/>
                <w:color w:val="auto"/>
                <w:w w:val="95"/>
              </w:rPr>
              <w:t>We hold the following available-for-sale marketable securities, made up of municipal and corporate bonds: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vMerge w:val="restart"/>
          </w:tcPr>
          <w:p>
            <w:pPr>
              <w:spacing w:after="0"/>
              <w:rPr>
                <w:sz w:val="24"/>
                <w:szCs w:val="24"/>
                <w:color w:val="auto"/>
              </w:rPr>
            </w:pPr>
          </w:p>
        </w:tc>
        <w:tc>
          <w:tcPr>
            <w:tcW w:w="1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4"/>
              </w:rPr>
              <w:t>Gross Unrealized Gains</w:t>
            </w:r>
          </w:p>
        </w:tc>
        <w:tc>
          <w:tcPr>
            <w:tcW w:w="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Gross Unrealized Losses</w:t>
            </w:r>
          </w:p>
        </w:tc>
        <w:tc>
          <w:tcPr>
            <w:tcW w:w="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13,368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13,197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March 3, 2018</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9,183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9,053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wholly-owned insurance subsidiary, Prism Assurance, Ltd. (Prism), which holds these municipal and corporate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municipal bonds at September 1, 2018, by contractual maturity, are shown below. Expected maturities may differ from contractual maturities, as borrowers may have the right to call or prepay obligations with or without penalty.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Estimated Fair Value</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one year through five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7,897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7,797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after five years through 10 years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Due after 10 years through 15 years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beyond 15 years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13,368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13,197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 2018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12,658</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17,165</w:t>
            </w:r>
          </w:p>
        </w:tc>
        <w:tc>
          <w:tcPr>
            <w:tcW w:w="0" w:type="dxa"/>
            <w:vAlign w:val="bottom"/>
          </w:tcPr>
          <w:p>
            <w:pPr>
              <w:spacing w:after="0"/>
              <w:rPr>
                <w:sz w:val="1"/>
                <w:szCs w:val="1"/>
                <w:color w:val="auto"/>
              </w:rPr>
            </w:pPr>
          </w:p>
        </w:tc>
      </w:tr>
      <w:tr>
        <w:trPr>
          <w:trHeight w:val="67"/>
        </w:trPr>
        <w:tc>
          <w:tcPr>
            <w:tcW w:w="62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March 3, 2018</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securities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and 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0" w:type="dxa"/>
            <w:vAlign w:val="bottom"/>
          </w:tcPr>
          <w:p>
            <w:pPr>
              <w:spacing w:after="0"/>
              <w:rPr>
                <w:sz w:val="1"/>
                <w:szCs w:val="1"/>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Total assets at fair value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 and long-term securities</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Mutual funds were measured at fair value based on quoted prices for identical assets in active markets. Municipal and corporate bonds were measured at fair value based on market prices from recent trades of similar securities and are classified as short-term or long-term based on maturity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instruments</w:t>
      </w:r>
    </w:p>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periodically enter into forward purchase foreign currency contracts, generally with an original maturity date of less than one year, to hedge foreign currency exchange rate risk. As of September 1, 2018, we held foreign exchange forward contracts with a U.S. dollar notional value of $25.0 million, with the objective of reducing the exposure to fluctuations in the Canadian dollar and the Euro. The fair value of these contracts was a liability of $0.2 million as of September 1, 2018.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Architectural</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Large-Scale</w:t>
            </w:r>
          </w:p>
        </w:tc>
        <w:tc>
          <w:tcPr>
            <w:tcW w:w="30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Framing Systems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Glass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Optical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4,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63,701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101,334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acquired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84,162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84,162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 2018</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143,308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180,956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Goodwill adjustments for purchase accounting</w:t>
            </w:r>
          </w:p>
        </w:tc>
        <w:tc>
          <w:tcPr>
            <w:tcW w:w="160" w:type="dxa"/>
            <w:vAlign w:val="bottom"/>
          </w:tcPr>
          <w:p>
            <w:pPr>
              <w:spacing w:after="0"/>
              <w:rPr>
                <w:sz w:val="21"/>
                <w:szCs w:val="21"/>
                <w:color w:val="auto"/>
              </w:rPr>
            </w:pPr>
          </w:p>
        </w:tc>
        <w:tc>
          <w:tcPr>
            <w:tcW w:w="1120" w:type="dxa"/>
            <w:vAlign w:val="bottom"/>
            <w:vMerge w:val="restart"/>
          </w:tcPr>
          <w:p>
            <w:pPr>
              <w:jc w:val="right"/>
              <w:ind w:right="3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vMerge w:val="restart"/>
          </w:tcPr>
          <w:p>
            <w:pPr>
              <w:jc w:val="right"/>
              <w:ind w:right="12"/>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September 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149,133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186,522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Currency</w:t>
            </w:r>
          </w:p>
        </w:tc>
        <w:tc>
          <w:tcPr>
            <w:tcW w:w="320" w:type="dxa"/>
            <w:vAlign w:val="bottom"/>
          </w:tcPr>
          <w:p>
            <w:pPr>
              <w:spacing w:after="0"/>
              <w:rPr>
                <w:sz w:val="12"/>
                <w:szCs w:val="12"/>
                <w:color w:val="auto"/>
              </w:rPr>
            </w:pPr>
          </w:p>
        </w:tc>
        <w:tc>
          <w:tcPr>
            <w:tcW w:w="9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 2018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98,160</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109,116</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213,590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157,991</w:t>
            </w:r>
          </w:p>
        </w:tc>
        <w:tc>
          <w:tcPr>
            <w:tcW w:w="0" w:type="dxa"/>
            <w:vAlign w:val="bottom"/>
          </w:tcPr>
          <w:p>
            <w:pPr>
              <w:spacing w:after="0"/>
              <w:rPr>
                <w:sz w:val="1"/>
                <w:szCs w:val="1"/>
                <w:color w:val="auto"/>
              </w:rPr>
            </w:pPr>
          </w:p>
        </w:tc>
      </w:tr>
      <w:tr>
        <w:trPr>
          <w:trHeight w:val="67"/>
        </w:trPr>
        <w:tc>
          <w:tcPr>
            <w:tcW w:w="59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March 3, 2018</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102,483</w:t>
            </w:r>
          </w:p>
        </w:tc>
        <w:tc>
          <w:tcPr>
            <w:tcW w:w="0" w:type="dxa"/>
            <w:vAlign w:val="bottom"/>
          </w:tcPr>
          <w:p>
            <w:pPr>
              <w:spacing w:after="0"/>
              <w:rPr>
                <w:sz w:val="1"/>
                <w:szCs w:val="1"/>
                <w:color w:val="auto"/>
              </w:rPr>
            </w:pPr>
          </w:p>
        </w:tc>
      </w:tr>
      <w:tr>
        <w:trPr>
          <w:trHeight w:val="243"/>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41,697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118,271</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49,078</w:t>
            </w:r>
          </w:p>
        </w:tc>
        <w:tc>
          <w:tcPr>
            <w:tcW w:w="0" w:type="dxa"/>
            <w:vAlign w:val="bottom"/>
          </w:tcPr>
          <w:p>
            <w:pPr>
              <w:spacing w:after="0"/>
              <w:rPr>
                <w:sz w:val="1"/>
                <w:szCs w:val="1"/>
                <w:color w:val="auto"/>
              </w:rPr>
            </w:pPr>
          </w:p>
        </w:tc>
      </w:tr>
      <w:tr>
        <w:trPr>
          <w:trHeight w:val="237"/>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212,974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(46,156)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167,349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Amortization expense on definite-lived intangible assets was $7.9 million in each of the six-month periods ended September 1, 2018 and September 2, 2017. The amortization expense associated with debt issue costs is included in interest expense while the remainder is in selling, general and administrative expenses in the consolidated results of operations. At September 1, 2018, the estimated future amortization expense for definite-lived intangible assets was: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Remainder of</w:t>
            </w:r>
          </w:p>
        </w:tc>
        <w:tc>
          <w:tcPr>
            <w:tcW w:w="20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Fiscal 2020</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2021</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2022</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w w:val="98"/>
              </w:rPr>
              <w:t>Fiscal 2023</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Fiscal 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5,028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8,111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8,104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7,948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maintain a committed revolving credit facility with maximum borrowings of up to $335.0 million, maturing in November 2021. Outstanding borrowings under our committed revolving credit facility were $203.5 million, as of September 1, 2018, and $195.0 million, as of March 3, 2018. Under this facility, we are subject to two financial covenants that require us to stay below a maximum debt-to-EBITDA ratio and maintain a minimum ratio of interest expense-to-EBITDA. Both ratios are computed quarterly, with EBITDA calculated on a rolling four-quarter basis. At September 1, 2018, we were in compliance with both financial covenants. Additionally, at September 1, 2018, we had a total of $23.5 million of ongoing letters of credit related to industrial revenue bonds and construction contracts that expire in fiscal 2020 and reduce availability of funds under our committed credit facility.</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1, 2018, our debt also included $20.4 million of industrial revenue bonds that mature in fiscal years 2021 through 2043 and $0.5 million of long-term debt in Canada. The fair value of the industrial revenue bonds approximated carrying value at September 1, 2018, due to the variable interest rates on these instruments. All debt would be classified as Level 2 within the fair value hierarchy described in Note 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maintain two Canadian revolving demand credit facilities totaling $12.0 million Canadian dollars. As of September 1, 2018, $0.5 million was outstanding under these facilities, and no borrowings were outstanding as of March 3, 2018. Borrowings under these facilities are made available at the sole discretion of the lenders and are payable on demand. The Company classifies any outstanding balances under these demand facilities as long-term debt, as outstanding amounts can be refinanced through our committed revolving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$4.3 million and $1.9 million for the six months ended September 1, 2018 and September 2, 2017, respectively.</w:t>
      </w:r>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commitments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1, 2018, the Company was obligated under non-cancelable operating leases for buildings and equipment. Certain leases provide for increased rental payments based upon increases in real estate taxes or operating costs. Future minimum rental payments under non-cancelable operating leases are: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Fiscal 2020</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3"/>
              </w:rPr>
              <w:t>Fiscal 2021</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0"/>
              </w:rPr>
              <w:t>Fiscal 2022</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3"/>
              </w:rPr>
              <w:t>Fiscal 2023</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9"/>
              </w:rPr>
              <w:t>Thereafter</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0"/>
              </w:rPr>
              <w:t>Fiscal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7,497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13,182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9,990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17,630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62,987</w:t>
            </w:r>
          </w:p>
        </w:tc>
        <w:tc>
          <w:tcPr>
            <w:tcW w:w="0" w:type="dxa"/>
            <w:vAlign w:val="bottom"/>
          </w:tcPr>
          <w:p>
            <w:pPr>
              <w:spacing w:after="0"/>
              <w:rPr>
                <w:sz w:val="1"/>
                <w:szCs w:val="1"/>
                <w:color w:val="auto"/>
              </w:rPr>
            </w:pP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the ordinary course of business, predominantly in our Architectural Services and Architectural Framing Systems segments, we are required to provide surety or performance bonds that commit payments to our customers for any non-performance. At September 1, 2018, $246.2 million of our backlog was bonded by these types of bonds with a face value of $538.4 million. These bonds do not have stated expiration dates, as we are generally released from the bonds upon completion of the contract. We have not been required to make any payments under these bonds with respect to our existing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September 2, 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21,933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Additional accruals</w:t>
            </w: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2,588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Claims paid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Acquired reserves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5,571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23,292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1, 2018, we had $23.5 million of ongoing letters of credit, all of which have been issued under our committed revolving credit facility, as discussed in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$183.1 million as of September 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transaction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August 2018, we entered into a transaction with a subsidiary of Wells Fargo (WF) under a qualified New Markets Tax Credit (NMTC) program related to an investment in plant and equipment within our Architectural Glass segment (the Project). The NMTC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transaction is subject to 100 percent tax credit recapture for a period of seven years. Therefore, upon the termination of our arrangement at the end of the seven year period (our fiscal 2026), proceeds received from WF will be recognized in earnings in exchange for the transfer of the tax credits.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WF contributed $6.6 million to the Project, which is included in other non-current liabilities on our consolidated balance sheets. Direct and incremental costs incurred in structuring the arrangement have been deferred and will be recognized in conjunction with the recognition of the related profits. These costs amount to $0.5 million and are included in other non-current assets on our consolidated balance sheets. Variable-interest entities have been created as a result of the transaction structure, which have been included within our consolidated financial statements as WF does not have a material interest in the underlying economics of the Project.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party to various legal proceedings incidental to our normal operating activities. In particular, like others in the construction supply and services industry, our businesses are routinely involved in various disputes and claims arising out of construction projects, sometimes involving significant monetary damages or product replacement. We are also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our results of operations, cash flows or financial condition.</w:t>
      </w:r>
    </w:p>
    <w:p>
      <w:pPr>
        <w:spacing w:after="0" w:line="1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share-based compensation expense included in the results of operations was $3.1 million for each of the six-month periods ended September 1, 2018 and September 2,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six-month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Stock options and SARs</w:t>
            </w:r>
          </w:p>
        </w:tc>
        <w:tc>
          <w:tcPr>
            <w:tcW w:w="120" w:type="dxa"/>
            <w:vAlign w:val="bottom"/>
            <w:vMerge w:val="restart"/>
          </w:tcPr>
          <w:p>
            <w:pPr>
              <w:spacing w:after="0"/>
              <w:rPr>
                <w:sz w:val="12"/>
                <w:szCs w:val="12"/>
                <w:color w:val="auto"/>
              </w:rPr>
            </w:pPr>
          </w:p>
        </w:tc>
        <w:tc>
          <w:tcPr>
            <w:tcW w:w="13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March 3, 2018</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129,901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Awards 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(29,560)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and exercisable at September 1,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100,341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3.0 years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4,101,940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proceeds from the exercise of stock options were $0.2 million and $0.8 million for the six months ended September 1, 2018 and September 2, 2017, respectively. The aggregate intrinsic value of securities exercised (the amount by which the stock price on the date of exercise exceeded the stock price of the award on the date of grant) was $0.6 million during the six months ended September 1, 2018 and $4.8 million during the prior-year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shares and share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for the current six-month period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Nonvested shares and units</w:t>
            </w:r>
          </w:p>
        </w:tc>
        <w:tc>
          <w:tcPr>
            <w:tcW w:w="120" w:type="dxa"/>
            <w:vAlign w:val="bottom"/>
            <w:vMerge w:val="restart"/>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3"/>
              </w:rPr>
              <w:t>Number of Shares and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Units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March 3, 2018</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266,180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148,219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1480" w:type="dxa"/>
            <w:vAlign w:val="bottom"/>
          </w:tcPr>
          <w:p>
            <w:pPr>
              <w:jc w:val="right"/>
              <w:spacing w:after="0"/>
              <w:rPr>
                <w:sz w:val="20"/>
                <w:szCs w:val="20"/>
                <w:color w:val="auto"/>
              </w:rPr>
            </w:pPr>
            <w:r>
              <w:rPr>
                <w:rFonts w:ascii="Arial" w:cs="Arial" w:eastAsia="Arial" w:hAnsi="Arial"/>
                <w:sz w:val="18"/>
                <w:szCs w:val="18"/>
                <w:color w:val="auto"/>
              </w:rPr>
              <w:t>(15,359)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48.12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Nonvested at September 1, 2018</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282,774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1, 2018, there was $9.5 million of total unrecognized compensation cost related to nonvested share and nonvested share unit awards, which is expected to be recognized over a weighted average period of approximately 22 months. The total fair value of shares vested during the six months ended September 1, 2018 was $4.9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sponsors two frozen defined-benefit pension plans: an unfunded Officers’ Supplemental Executive Retirement Plan and the Tubelite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Pension Plan. Components of net periodic benefit cost were: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September 1, 2018</w:t>
            </w:r>
          </w:p>
        </w:tc>
        <w:tc>
          <w:tcPr>
            <w:tcW w:w="100" w:type="dxa"/>
            <w:vAlign w:val="bottom"/>
            <w:vMerge w:val="restart"/>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September 2, 2017</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1,</w:t>
            </w:r>
          </w:p>
        </w:tc>
        <w:tc>
          <w:tcPr>
            <w:tcW w:w="220" w:type="dxa"/>
            <w:vAlign w:val="bottom"/>
          </w:tcPr>
          <w:p>
            <w:pPr>
              <w:spacing w:after="0"/>
              <w:rPr>
                <w:sz w:val="13"/>
                <w:szCs w:val="13"/>
                <w:color w:val="auto"/>
              </w:rPr>
            </w:pPr>
          </w:p>
        </w:tc>
        <w:tc>
          <w:tcPr>
            <w:tcW w:w="126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Expected return on assets</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unrecognized net loss</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Net periodic benefit cost</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2015, or state and local income tax examinations for years prior to fiscal 2013. The Company is not currently under U.S. federal examination for years subsequent to fiscal year 2014, and there is very limited audit activity of the Company’s income tax returns in U.S. state jurisdictions or international jurisdictions.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liability for unrecognized tax benefits at September 1, 2018 and March 3, 2018 was approximately $5.1 million in both periods. Penalties and interest related to unrecognized tax benefits are recorded in income tax expense. The total liability for unrecognized tax benefits is expected to decrease by approximately $0.6 million during the next 12 months due to lapsing of statutes.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Tax Cuts and Jobs Act (the Act) was enacted in December 2017. Among other provisions, the Act created a new tax on certain foreign sourced earnings under the Global Intangible Low-Taxed Income (“GILTI”) provision. Companies are allowed to make an accounting policy election of either treating taxes due on future U.S. inclusions in taxable income related to GILTI as a current-period expense when incurred or factoring such amounts into the measurement of deferred taxes. We have completed our analysis of the GILTI provisions and are making an accounting policy election to recognize the tax expense on future U.S. inclusions of GILTI income, if any, as a current period expense when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September 1, 2018</w:t>
            </w:r>
          </w:p>
        </w:tc>
        <w:tc>
          <w:tcPr>
            <w:tcW w:w="120" w:type="dxa"/>
            <w:vAlign w:val="bottom"/>
            <w:vMerge w:val="restart"/>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September 2, 2017</w:t>
            </w:r>
          </w:p>
        </w:tc>
        <w:tc>
          <w:tcPr>
            <w:tcW w:w="100" w:type="dxa"/>
            <w:vAlign w:val="bottom"/>
            <w:vMerge w:val="restart"/>
          </w:tcPr>
          <w:p>
            <w:pPr>
              <w:spacing w:after="0"/>
              <w:rPr>
                <w:sz w:val="13"/>
                <w:szCs w:val="13"/>
                <w:color w:val="auto"/>
              </w:rPr>
            </w:pP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September 1,</w:t>
            </w:r>
          </w:p>
        </w:tc>
        <w:tc>
          <w:tcPr>
            <w:tcW w:w="12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share – weighted average common shares outstanding</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28,127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28,850</w:t>
            </w:r>
          </w:p>
        </w:tc>
        <w:tc>
          <w:tcPr>
            <w:tcW w:w="0" w:type="dxa"/>
            <w:vAlign w:val="bottom"/>
          </w:tcPr>
          <w:p>
            <w:pPr>
              <w:spacing w:after="0"/>
              <w:rPr>
                <w:sz w:val="1"/>
                <w:szCs w:val="1"/>
                <w:color w:val="auto"/>
              </w:rPr>
            </w:pPr>
          </w:p>
        </w:tc>
      </w:tr>
      <w:tr>
        <w:trPr>
          <w:trHeight w:val="229"/>
        </w:trPr>
        <w:tc>
          <w:tcPr>
            <w:tcW w:w="6080" w:type="dxa"/>
            <w:vAlign w:val="bottom"/>
            <w:gridSpan w:val="2"/>
          </w:tcPr>
          <w:p>
            <w:pPr>
              <w:ind w:left="40"/>
              <w:spacing w:after="0"/>
              <w:rPr>
                <w:sz w:val="20"/>
                <w:szCs w:val="20"/>
                <w:color w:val="auto"/>
              </w:rPr>
            </w:pPr>
            <w:r>
              <w:rPr>
                <w:rFonts w:ascii="Arial" w:cs="Arial" w:eastAsia="Arial" w:hAnsi="Arial"/>
                <w:sz w:val="18"/>
                <w:szCs w:val="18"/>
                <w:color w:val="auto"/>
                <w:w w:val="91"/>
              </w:rPr>
              <w:t>Weighted average effect of nonvested share grants and assumed exercise of stock</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Diluted earnings per share – weighted average common shares and potential</w:t>
            </w:r>
          </w:p>
        </w:tc>
        <w:tc>
          <w:tcPr>
            <w:tcW w:w="12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28,379</w:t>
            </w:r>
          </w:p>
        </w:tc>
        <w:tc>
          <w:tcPr>
            <w:tcW w:w="12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28,908</w:t>
            </w:r>
          </w:p>
        </w:tc>
        <w:tc>
          <w:tcPr>
            <w:tcW w:w="10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28,377</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28,885</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common shares outstanding</w:t>
            </w: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Stock awards excluded from the calculation of earnings per share because the</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80" w:type="dxa"/>
            <w:vAlign w:val="bottom"/>
            <w:gridSpan w:val="2"/>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200"/>
              <w:spacing w:after="0"/>
              <w:rPr>
                <w:sz w:val="20"/>
                <w:szCs w:val="20"/>
                <w:color w:val="auto"/>
              </w:rPr>
            </w:pPr>
            <w:r>
              <w:rPr>
                <w:rFonts w:ascii="Arial" w:cs="Arial" w:eastAsia="Arial" w:hAnsi="Arial"/>
                <w:sz w:val="18"/>
                <w:szCs w:val="18"/>
                <w:color w:val="auto"/>
                <w:w w:val="96"/>
              </w:rPr>
              <w:t>effect was anti-dilutive (award price greater than average market price of the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200"/>
              <w:spacing w:after="0"/>
              <w:rPr>
                <w:sz w:val="20"/>
                <w:szCs w:val="20"/>
                <w:color w:val="auto"/>
              </w:rPr>
            </w:pPr>
            <w:r>
              <w:rPr>
                <w:rFonts w:ascii="Arial" w:cs="Arial" w:eastAsia="Arial" w:hAnsi="Arial"/>
                <w:sz w:val="18"/>
                <w:szCs w:val="18"/>
                <w:color w:val="auto"/>
              </w:rPr>
              <w:t>shares)</w:t>
            </w:r>
          </w:p>
        </w:tc>
        <w:tc>
          <w:tcPr>
            <w:tcW w:w="1260" w:type="dxa"/>
            <w:vAlign w:val="bottom"/>
            <w:vMerge w:val="restart"/>
          </w:tcPr>
          <w:p>
            <w:pPr>
              <w:jc w:val="right"/>
              <w:ind w:right="36"/>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8"/>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1240" w:type="dxa"/>
            <w:vAlign w:val="bottom"/>
            <w:vMerge w:val="restart"/>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four reporting segments: Architectural Framing Systems, Architectural Glass, Architectural Services and Large-Scale Optical (LSO).</w:t>
      </w:r>
    </w:p>
    <w:p>
      <w:pPr>
        <w:spacing w:after="0" w:line="35" w:lineRule="exact"/>
        <w:rPr>
          <w:sz w:val="20"/>
          <w:szCs w:val="20"/>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 The Company has aggregated six operating segments into this reporting segment based on their similar products, customers, distribution methods, production processes and economic characteristics.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Architectural Services segment designs, engineers, fabricates and installs the walls of glass, windows and other curtainwall products making up the outside skin of commercial and institutional buildings.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LSO segment manufactures value-added glass and acrylic products primarily for framing and display applications.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2,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September 2, 2017</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sales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189,850</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189,023</w:t>
            </w:r>
          </w:p>
        </w:tc>
        <w:tc>
          <w:tcPr>
            <w:tcW w:w="1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368,887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299,515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195,086</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76,496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147,223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96,979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38,894</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Intersegment eliminations</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698,664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616,214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Operating income (loss) from operations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Framing Systems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28,506</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Architectural Glass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19,581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Architectural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Large-Scale Optical</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50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27,774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50,654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51,880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of the Company’s Annual Report on Form 10-K for the fiscal year ended March 3, 2018.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Accordingly, we wish to caution investors that any forward-looking statements made by or on behalf of the Company are subject to uncertainties and other factors that could cause actual results to differ materially from such statements. These uncertainties and other risk factors include, but are not limited to, the risks and uncertainties set forth under Item 1A of the Company’s Annual Report on Form 10-K for the fiscal year ended March 3, 2018.</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a world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March 3, 2018 and the consolidated financial statements, including the notes to consolidated financial statements, included therein.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Second Quarter and First Six Months of Fiscal 2019 Compared to Second Quarter and First Six Months of Fiscal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net sales increased 5.3 percent, or $18.2 million, for the second quarter ended September 1, 2018, and 13.4 percent, or $82.5 million, for the six-month period, compared to the same periods in the prior year. In the quarter, sales growth was driven by the Architectural Services segment, partially offset by a volume-related decline in the Architectural Glass segment. In the six-month period, the increase in sales was primarily driven by the addition of EFCO (acquired on June 12, 2017) to our Architectural Framing systems segment, and growth in Architectural Services, partially offset by lower sales in Architectural Glass.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September 1, 2018</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September 2, 2017</w:t>
            </w:r>
          </w:p>
        </w:tc>
        <w:tc>
          <w:tcPr>
            <w:tcW w:w="14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September 1,</w:t>
            </w:r>
          </w:p>
        </w:tc>
        <w:tc>
          <w:tcPr>
            <w:tcW w:w="136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September 2,</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3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and other (expense) income, net</w:t>
            </w: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before income taxes</w:t>
            </w: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4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Effective tax rate</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jc w:val="both"/>
        <w:ind w:left="60"/>
        <w:spacing w:after="0" w:line="254" w:lineRule="auto"/>
        <w:rPr>
          <w:sz w:val="20"/>
          <w:szCs w:val="20"/>
          <w:color w:val="auto"/>
        </w:rPr>
      </w:pPr>
      <w:r>
        <w:rPr>
          <w:rFonts w:ascii="Arial" w:cs="Arial" w:eastAsia="Arial" w:hAnsi="Arial"/>
          <w:sz w:val="18"/>
          <w:szCs w:val="18"/>
          <w:color w:val="auto"/>
        </w:rPr>
        <w:t>Gross profit as a percent of sales was 23.3 percent and 23.6 percent for the three- and six-month periods, respectively, ended September 1, 2018, compared to 25.0 percent and 25.4 percent for each of the three- and six-month periods ended September 2, 2017. Gross profit as a percent of sales declined from the prior-year periods primarily due to higher operating costs in the Architectural Glass segment, as further discussed below within the Segment Analysis for the Architectural Glass segment.</w:t>
      </w:r>
    </w:p>
    <w:p>
      <w:pPr>
        <w:spacing w:after="0" w:line="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21"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SG&amp;A expenses as a percent of sales declined to 15.4 percent and 16.4 percent for the three- and six-month periods, respectively, ended September 1, 2018, compared to 16.9 percent in each of the prior year comparative periods. The decline was primarily the result of acquisition-related costs incurred in the prior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in the second quarter of fiscal 2019 was 23.8 percent, compared to 33.9 percent in the same period last year, and 23.9 percent for the first six months of fiscal 2019, compared to 33.4 percent in the prior-year period. The reduction in the effective tax rate in both periods was primarily driven by the provisions of the Tax Cuts and Jobs Act, enacted in December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vMerge w:val="restart"/>
          </w:tcPr>
          <w:p>
            <w:pPr>
              <w:spacing w:after="0"/>
              <w:rPr>
                <w:sz w:val="13"/>
                <w:szCs w:val="13"/>
                <w:color w:val="auto"/>
              </w:rPr>
            </w:pP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September 2, 2017</w:t>
            </w:r>
          </w:p>
        </w:tc>
        <w:tc>
          <w:tcPr>
            <w:tcW w:w="100" w:type="dxa"/>
            <w:vAlign w:val="bottom"/>
            <w:vMerge w:val="restart"/>
          </w:tcPr>
          <w:p>
            <w:pPr>
              <w:spacing w:after="0"/>
              <w:rPr>
                <w:sz w:val="13"/>
                <w:szCs w:val="13"/>
                <w:color w:val="auto"/>
              </w:rPr>
            </w:pPr>
          </w:p>
        </w:tc>
        <w:tc>
          <w:tcPr>
            <w:tcW w:w="9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tcPr>
          <w:p>
            <w:pPr>
              <w:spacing w:after="0"/>
              <w:rPr>
                <w:sz w:val="13"/>
                <w:szCs w:val="13"/>
                <w:color w:val="auto"/>
              </w:rPr>
            </w:pPr>
          </w:p>
        </w:tc>
        <w:tc>
          <w:tcPr>
            <w:tcW w:w="13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7"/>
              </w:rPr>
              <w:t>September 2, 2017</w:t>
            </w:r>
          </w:p>
        </w:tc>
        <w:tc>
          <w:tcPr>
            <w:tcW w:w="100" w:type="dxa"/>
            <w:vAlign w:val="bottom"/>
            <w:vMerge w:val="restart"/>
          </w:tcPr>
          <w:p>
            <w:pPr>
              <w:spacing w:after="0"/>
              <w:rPr>
                <w:sz w:val="13"/>
                <w:szCs w:val="13"/>
                <w:color w:val="auto"/>
              </w:rPr>
            </w:pPr>
          </w:p>
        </w:tc>
        <w:tc>
          <w:tcPr>
            <w:tcW w:w="9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189,850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189,023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368,887</w:t>
            </w:r>
          </w:p>
        </w:tc>
        <w:tc>
          <w:tcPr>
            <w:tcW w:w="1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299,515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16,542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320" w:type="dxa"/>
            <w:vAlign w:val="bottom"/>
          </w:tcPr>
          <w:p>
            <w:pPr>
              <w:jc w:val="right"/>
              <w:ind w:right="114"/>
              <w:spacing w:after="0"/>
              <w:rPr>
                <w:sz w:val="20"/>
                <w:szCs w:val="20"/>
                <w:color w:val="auto"/>
              </w:rPr>
            </w:pPr>
            <w:r>
              <w:rPr>
                <w:rFonts w:ascii="Arial" w:cs="Arial" w:eastAsia="Arial" w:hAnsi="Arial"/>
                <w:sz w:val="18"/>
                <w:szCs w:val="18"/>
                <w:color w:val="auto"/>
              </w:rPr>
              <w:t>30,650</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28,506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Architectural Framing Systems net sales increased $0.8 million, or 0.4 percent, and $69.4 million, or 23.2 percent, for the three- and six-month periods, respectively, ended September 1, 2018, compared to the prior-year periods. The addition of the net sales of EFCO provided the large majority of the growth in the six-month period ended September 1, 2018, with additional growth</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77" w:lineRule="auto"/>
        <w:rPr>
          <w:sz w:val="20"/>
          <w:szCs w:val="20"/>
          <w:color w:val="auto"/>
        </w:rPr>
      </w:pPr>
      <w:r>
        <w:rPr>
          <w:rFonts w:ascii="Arial" w:cs="Arial" w:eastAsia="Arial" w:hAnsi="Arial"/>
          <w:sz w:val="18"/>
          <w:szCs w:val="18"/>
          <w:color w:val="auto"/>
        </w:rPr>
        <w:t>driven by geographic expansion and new product sales by businesses existing prior to our recent Sotawall and EFCO acquisitions. This was partially offset by a year-over-year decline in Canadian curtainwall sales, due to timing of project activity.</w:t>
      </w:r>
    </w:p>
    <w:p>
      <w:pPr>
        <w:spacing w:after="0" w:line="62"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Operating margin increased 80 basis points for the three-months ended September 1, 2018, compared to the second quarter of the last fiscal year, primarily due to completing amortization of short-lived intangible assets at Sotawall early in the current-year quarter. In the six-month period of the current year, operating margin declined 120 basis points compared to the prior year, driven by the inclusion of EFCO at lower operating margins and reduced operating leverage on lower Canadian curtainwall sales, partially offset by operating improvements in our businesses existing prior to our recent Sotawall and EFCO acquisitions.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1, 2018, segment backlog was approximately $406 million, compared to approximately $400 million last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2, 2017</w:t>
            </w:r>
          </w:p>
        </w:tc>
        <w:tc>
          <w:tcPr>
            <w:tcW w:w="120" w:type="dxa"/>
            <w:vAlign w:val="bottom"/>
            <w:vMerge w:val="restart"/>
          </w:tcPr>
          <w:p>
            <w:pPr>
              <w:spacing w:after="0"/>
              <w:rPr>
                <w:sz w:val="13"/>
                <w:szCs w:val="13"/>
                <w:color w:val="auto"/>
              </w:rPr>
            </w:pPr>
          </w:p>
        </w:tc>
        <w:tc>
          <w:tcPr>
            <w:tcW w:w="98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10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2, 2017</w:t>
            </w:r>
          </w:p>
        </w:tc>
        <w:tc>
          <w:tcPr>
            <w:tcW w:w="100" w:type="dxa"/>
            <w:vAlign w:val="bottom"/>
            <w:vMerge w:val="restart"/>
          </w:tcPr>
          <w:p>
            <w:pPr>
              <w:spacing w:after="0"/>
              <w:rPr>
                <w:sz w:val="13"/>
                <w:szCs w:val="13"/>
                <w:color w:val="auto"/>
              </w:rPr>
            </w:pPr>
          </w:p>
        </w:tc>
        <w:tc>
          <w:tcPr>
            <w:tcW w:w="10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88,084</w:t>
            </w:r>
          </w:p>
        </w:tc>
        <w:tc>
          <w:tcPr>
            <w:tcW w:w="52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97,351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165,009</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195,086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10,258</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19,581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Net sales declined $9.3 million, or 9.5 percent, and $30.1 million, or 15.4 percent, for the three- and six-month periods, respectively, ended September 1, 2018, compared to the same periods in the prior year. In both current year periods, changes in the timing of customer orders drove the decline in sales. Additionally, in the second quarter of fiscal 2019, volume declines stemming from operational challenges within the segment (described in the next paragraph) also contributed to the sales decrease.</w:t>
      </w:r>
    </w:p>
    <w:p>
      <w:pPr>
        <w:spacing w:after="0" w:line="7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declined 850 and 800 basis points, respectively, for the three- and six-month periods of the current year, compared to the same periods in the prior year, primarily driven by significantly increased labor costs, lower productivity and higher cost of quality, as the segment was challenged to efficiently ramp-up production to meet higher than expected order intake and customer demand.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Borders>
              <w:bottom w:val="single" w:sz="8" w:color="auto"/>
            </w:tcBorders>
          </w:tcPr>
          <w:p>
            <w:pPr>
              <w:spacing w:after="0"/>
              <w:rPr>
                <w:sz w:val="16"/>
                <w:szCs w:val="16"/>
                <w:color w:val="auto"/>
              </w:rPr>
            </w:pPr>
          </w:p>
        </w:tc>
      </w:tr>
      <w:tr>
        <w:trPr>
          <w:trHeight w:val="152"/>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w w:val="95"/>
              </w:rPr>
              <w:t>September 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w:t>
            </w:r>
          </w:p>
        </w:tc>
        <w:tc>
          <w:tcPr>
            <w:tcW w:w="9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97"/>
              <w:spacing w:after="0" w:line="153" w:lineRule="exact"/>
              <w:rPr>
                <w:sz w:val="20"/>
                <w:szCs w:val="20"/>
                <w:color w:val="auto"/>
              </w:rPr>
            </w:pPr>
            <w:r>
              <w:rPr>
                <w:rFonts w:ascii="Arial" w:cs="Arial" w:eastAsia="Arial" w:hAnsi="Arial"/>
                <w:sz w:val="14"/>
                <w:szCs w:val="14"/>
                <w:b w:val="1"/>
                <w:bCs w:val="1"/>
                <w:color w:val="auto"/>
                <w:w w:val="95"/>
              </w:rPr>
              <w:t>September 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w:t>
            </w:r>
          </w:p>
        </w:tc>
        <w:tc>
          <w:tcPr>
            <w:tcW w:w="96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76,496</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46,829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147,223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96,979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4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12,775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7"/>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721.5%</w:t>
            </w:r>
          </w:p>
        </w:tc>
      </w:tr>
      <w:tr>
        <w:trPr>
          <w:trHeight w:val="27"/>
        </w:trPr>
        <w:tc>
          <w:tcPr>
            <w:tcW w:w="3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
        </w:trPr>
        <w:tc>
          <w:tcPr>
            <w:tcW w:w="3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Architectural Services net sales increased $29.7 million, or 63.4 percent, and $50.2 million, or 51.8 percent, for the three- and six- month periods, respectively, ended September 1, 2018, over the same periods in the prior year, as the business continued to execute on projects booked in the past several quarters.</w:t>
      </w:r>
    </w:p>
    <w:p>
      <w:pPr>
        <w:spacing w:after="0" w:line="73" w:lineRule="exact"/>
        <w:rPr>
          <w:sz w:val="20"/>
          <w:szCs w:val="20"/>
          <w:color w:val="auto"/>
        </w:rPr>
      </w:pPr>
    </w:p>
    <w:p>
      <w:pPr>
        <w:jc w:val="both"/>
        <w:ind w:left="60" w:right="20"/>
        <w:spacing w:after="0" w:line="277" w:lineRule="auto"/>
        <w:rPr>
          <w:sz w:val="20"/>
          <w:szCs w:val="20"/>
          <w:color w:val="auto"/>
        </w:rPr>
      </w:pPr>
      <w:r>
        <w:rPr>
          <w:rFonts w:ascii="Arial" w:cs="Arial" w:eastAsia="Arial" w:hAnsi="Arial"/>
          <w:sz w:val="18"/>
          <w:szCs w:val="18"/>
          <w:color w:val="auto"/>
        </w:rPr>
        <w:t>Operating margin increased 830 and 710 basis points, respectively, for the three- and six-month periods of the current year, compared to the same periods in the prior year, due to volume leverage and strong project execution.</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1, 2018, segment backlog was approximately $405 million, compared to approximately $439 million last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2, 2017</w:t>
            </w:r>
          </w:p>
        </w:tc>
        <w:tc>
          <w:tcPr>
            <w:tcW w:w="120" w:type="dxa"/>
            <w:vAlign w:val="bottom"/>
            <w:vMerge w:val="restart"/>
          </w:tcPr>
          <w:p>
            <w:pPr>
              <w:spacing w:after="0"/>
              <w:rPr>
                <w:sz w:val="13"/>
                <w:szCs w:val="13"/>
                <w:color w:val="auto"/>
              </w:rPr>
            </w:pPr>
          </w:p>
        </w:tc>
        <w:tc>
          <w:tcPr>
            <w:tcW w:w="100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1, 2018</w:t>
            </w:r>
          </w:p>
        </w:tc>
        <w:tc>
          <w:tcPr>
            <w:tcW w:w="120" w:type="dxa"/>
            <w:vAlign w:val="bottom"/>
          </w:tcPr>
          <w:p>
            <w:pPr>
              <w:spacing w:after="0"/>
              <w:rPr>
                <w:sz w:val="13"/>
                <w:szCs w:val="13"/>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September 2, 2017</w:t>
            </w:r>
          </w:p>
        </w:tc>
        <w:tc>
          <w:tcPr>
            <w:tcW w:w="120" w:type="dxa"/>
            <w:vAlign w:val="bottom"/>
            <w:vMerge w:val="restart"/>
          </w:tcPr>
          <w:p>
            <w:pPr>
              <w:spacing w:after="0"/>
              <w:rPr>
                <w:sz w:val="13"/>
                <w:szCs w:val="13"/>
                <w:color w:val="auto"/>
              </w:rPr>
            </w:pPr>
          </w:p>
        </w:tc>
        <w:tc>
          <w:tcPr>
            <w:tcW w:w="940" w:type="dxa"/>
            <w:vAlign w:val="bottom"/>
          </w:tcPr>
          <w:p>
            <w:pPr>
              <w:jc w:val="right"/>
              <w:ind w:right="319"/>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20,383</w:t>
            </w:r>
          </w:p>
        </w:tc>
        <w:tc>
          <w:tcPr>
            <w:tcW w:w="5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20,291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41,145</w:t>
            </w:r>
          </w:p>
        </w:tc>
        <w:tc>
          <w:tcPr>
            <w:tcW w:w="4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38,894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9,218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8,298</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LSO net sales increased $0.1 million, or 0.5 percent, and $2.3 million, or 5.8 percent, for the three- and six-month periods ended September 1, 2018, over the same periods in the prior year, as a result of improved core picture framing demand, product mix and growth in new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Operating margin declined 10 basis points for the three months ended September 1, 2018, compared to the second quarter of last year. Operating margin increased 110 basis points for the six-month period of the current year compared to the same period in the prior year, driven by volume leverage and favorable product mix.</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Selected cash flow data</w:t>
            </w: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1, 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September 2, 2017</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47,929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40,809</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(26,825)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(184,826)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Net purchases of marketable securities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284,200</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(94,000)</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(10,833)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was $47.9 million for the first six months of fiscal 2019, increasing $7.1 million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prior-year period, primarily due to proceeds received on the New Market Tax Credit transaction.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$29.8 million the first six months of fiscal 2019, primarily due to capital expenditures and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marketable securities, while in the first six months of the prior year, net cash used by investing activities was $211.7 million, driven by the EFCO acquisition. We estimate fiscal 2019 capital expenditures to be $60 to $65 million, as we continue to make investments in projects that will add capabilities and improve productivity.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review our portfolio of businesses and their assets in comparison to our internal strategic and performance objectives. As part of this review, we may take actions to adjust capacity, pursue geographic expansion, further invest in, fully divest or sell parts of our current businesses and/or acquire other businesses.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At September 1, 2018, we had outstanding borrowings under our credit facility of $203.5 million. As defined within our amended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committed revolving credit facility, we are required to comply with two financial covenants. These financial covenants require us to stay below a maximum leverage ratio and to maintain a minimum interest coverage ratio. At September 1, 2018, we were in compliance with both financial covenants.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paid dividends totaling $8.8 million ($0.315 per share) in the first six months of fiscal 2019. We did not repurchase shares under our authorized share repurchase program during the first six months of fiscal 2019. In the second quarter of fiscal 2018, we repurchased 200,000 shares under our authorized share repurchase program for a total cost of $10.8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end of the quarter, in October 2018, we purchased 200,000 shares under the program for a total cost of $8.3 million. Also in October 2018, the Board of Directors increased our repurchase authorization by 2,000,000 shares, bringing the total remaining repurchase authority under this program to 3,040,068 shares. Including this recent repurchase, we have repurchased a total of 4,209,932 shares, at a cost of $114.3 million, since the fiscal 2004 inception of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Financing Activities. </w:t>
      </w:r>
      <w:r>
        <w:rPr>
          <w:rFonts w:ascii="Arial" w:cs="Arial" w:eastAsia="Arial" w:hAnsi="Arial"/>
          <w:sz w:val="18"/>
          <w:szCs w:val="18"/>
          <w:color w:val="auto"/>
        </w:rPr>
        <w:t>The following summarizes our significant contractual obligations that impact our liquidity as of September 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Payments Due by Fiscal Period</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Fiscal 2020</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0"/>
              </w:rPr>
              <w:t>Fiscal 2021</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3"/>
              </w:rPr>
              <w:t>Fiscal 2023</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Fiscal 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225,127</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Operating leases (undiscounted)</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62,987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133,733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183,079</w:t>
            </w: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Total cash obligations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141,291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60,189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16,741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215,367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7,975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29,630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471,193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 the use of certain assets through operating leases, such as warehouses, vehicles, forklifts, office equipment, hardware, software and some manufacturing equipment. While many of these operating leases have termination penalties, we consider the risk related to termination penalties to be minimal.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in the table above relate to raw material commitments and 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make contributions of $1.0 million to our defined-benefit pension plans in fiscal 2019, which will equal or exceed our minimum funding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1, 2018, we had reserves of $5.1 million and $1.3 million for unrecognized tax benefits and environmental liabilities, respectively. We currently expect approximately $0.6 million of the unrecognized tax benefits to lapse during the next 12 months. We are unable to reasonably estimate in which future periods the remaining unrecognized tax benefits and environmental liabilities will ultimately be settled.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1, 2018, we had a total of $23.5 million of ongoing letters of credit related to industrial revenue bonds and construction contracts that expire in fiscal 2020 and reduce availability of funds under our committed credit facility.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above standby letters of credit, we are required, in the ordinary course of business, to provide surety or performance bonds that commit payments to our customers for any non-performance. At September 1, 2018, $246.2 million of our backlog was bonded by these types of bonds with a face value of $538.4 million. These bonds do not have stated expiration dates, as we are generally released from the bonds upon completion of the contract. We have not been required to make any payments under these bonds with respect to our existing businesses.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our ability to generate strong cash from operations and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analyze non-GAAP measures for adjusted net earnings, adjusted earnings per diluted common share, adjusted EBITDA and adjusted operating income. These measures are used by management to evaluate the Company's financial performance on a more consistent basis and improve comparability of results from period to period, because they exclude certain amounts that management does not consider to be part of the Company's core operating results. Examples of items excluded to arrive at these adjusted measures may include the impact of acquisition-related costs, amortization of short-lived acquired intangibles associated with backlog and non-recurring restructuring costs. We also monitor and disclose a non-GAAP measure for backlog, which represents the dollar amount of signed contracts or firm orders which we expect to recognize as revenue in the future. Backlog is used as one of the metrics to evaluate sales trends in our longer lead time operating segments. These non-GAAP measures should be viewed in addition to, and not as an alternative to, the reported financial results of the Company prepared in accordance with GAAP. The non-GAAP measures presented below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earnings to adjusted net earnings and earnings per diluted common share to adjusted earnings per diluted common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September 1, 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1"/>
              </w:rPr>
              <w:t>September 2,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1"/>
              </w:rPr>
              <w:t>September 1, 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1"/>
              </w:rPr>
              <w:t>September 2, 2017</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33,512</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4,684</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r>
      <w:tr>
        <w:trPr>
          <w:trHeight w:val="270"/>
        </w:trPr>
        <w:tc>
          <w:tcPr>
            <w:tcW w:w="51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w:t>
            </w: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21,327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21,618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39,573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diluted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0.16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r>
      <w:tr>
        <w:trPr>
          <w:trHeight w:val="270"/>
        </w:trPr>
        <w:tc>
          <w:tcPr>
            <w:tcW w:w="516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Income tax impact on above adjustments </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earnings per diluted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r>
    </w:tbl>
    <w:p>
      <w:pPr>
        <w:spacing w:after="0" w:line="8" w:lineRule="exact"/>
        <w:rPr>
          <w:sz w:val="20"/>
          <w:szCs w:val="20"/>
          <w:color w:val="auto"/>
        </w:rPr>
      </w:pPr>
    </w:p>
    <w:p>
      <w:pPr>
        <w:ind w:left="180" w:hanging="145"/>
        <w:spacing w:after="0"/>
        <w:tabs>
          <w:tab w:leader="none" w:pos="180" w:val="left"/>
        </w:tabs>
        <w:numPr>
          <w:ilvl w:val="0"/>
          <w:numId w:val="14"/>
        </w:numPr>
        <w:rPr>
          <w:rFonts w:ascii="Arial" w:cs="Arial" w:eastAsia="Arial" w:hAnsi="Arial"/>
          <w:sz w:val="8"/>
          <w:szCs w:val="8"/>
          <w:color w:val="auto"/>
        </w:rPr>
      </w:pPr>
      <w:r>
        <w:rPr>
          <w:rFonts w:ascii="Arial" w:cs="Arial" w:eastAsia="Arial" w:hAnsi="Arial"/>
          <w:sz w:val="13"/>
          <w:szCs w:val="13"/>
          <w:color w:val="auto"/>
        </w:rPr>
        <w:t>Income tax impact on adjustments was calculated using our effective income tax rates of 23.8% and 33.9% for the quarters ended September 1, 2018 and September 2, 2017, respectively, and</w:t>
      </w:r>
    </w:p>
    <w:p>
      <w:pPr>
        <w:spacing w:after="0" w:line="11" w:lineRule="exact"/>
        <w:rPr>
          <w:rFonts w:ascii="Arial" w:cs="Arial" w:eastAsia="Arial" w:hAnsi="Arial"/>
          <w:sz w:val="8"/>
          <w:szCs w:val="8"/>
          <w:color w:val="auto"/>
        </w:rPr>
      </w:pPr>
    </w:p>
    <w:p>
      <w:pPr>
        <w:ind w:left="40"/>
        <w:spacing w:after="0"/>
        <w:rPr>
          <w:rFonts w:ascii="Arial" w:cs="Arial" w:eastAsia="Arial" w:hAnsi="Arial"/>
          <w:sz w:val="8"/>
          <w:szCs w:val="8"/>
          <w:color w:val="auto"/>
        </w:rPr>
      </w:pPr>
      <w:r>
        <w:rPr>
          <w:rFonts w:ascii="Arial" w:cs="Arial" w:eastAsia="Arial" w:hAnsi="Arial"/>
          <w:sz w:val="14"/>
          <w:szCs w:val="14"/>
          <w:color w:val="auto"/>
        </w:rPr>
        <w:t>24.2% and 33.4% for the six-month periods ended September 1, 2018 and September 2,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-200025</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earnings before interest, income taxes and depreciation and amortization, or EBITDA, to adjusted EBITDA.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 except per share data</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4"/>
              </w:rPr>
              <w:t>September 1,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2"/>
              </w:rPr>
              <w:t>September 2, 2017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2"/>
              </w:rPr>
              <w:t>September 1, 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September 2, 2017</w:t>
            </w: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33,512</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8,909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16,813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1,811</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25,062</w:t>
            </w: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41,067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77,111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76,942</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4,684</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4,417</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42,135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81,049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86,043</w:t>
            </w: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income (loss) to adjusted operating income (loss).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Framing Systems Segment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8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2"/>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00" w:type="dxa"/>
            <w:vAlign w:val="bottom"/>
            <w:vMerge w:val="restart"/>
          </w:tcPr>
          <w:p>
            <w:pPr>
              <w:spacing w:after="0"/>
              <w:rPr>
                <w:sz w:val="13"/>
                <w:szCs w:val="13"/>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Operating margin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Operating income</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Operating income</w:t>
            </w:r>
          </w:p>
        </w:tc>
        <w:tc>
          <w:tcPr>
            <w:tcW w:w="120" w:type="dxa"/>
            <w:vAlign w:val="bottom"/>
            <w:vMerge w:val="restart"/>
          </w:tcPr>
          <w:p>
            <w:pPr>
              <w:spacing w:after="0"/>
              <w:rPr>
                <w:sz w:val="13"/>
                <w:szCs w:val="13"/>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Operating margin</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1, 2018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18,312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28,660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19,380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29,728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September 2, 2017</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16,542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27,774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19,172</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34,141</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11"/>
        </w:trPr>
        <w:tc>
          <w:tcPr>
            <w:tcW w:w="4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 September 1, 2018</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4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34,588</w:t>
            </w:r>
          </w:p>
        </w:tc>
        <w:tc>
          <w:tcPr>
            <w:tcW w:w="100" w:type="dxa"/>
            <w:vAlign w:val="bottom"/>
            <w:tcBorders>
              <w:bottom w:val="single" w:sz="8" w:color="CCEEFF"/>
            </w:tcBorders>
          </w:tcPr>
          <w:p>
            <w:pPr>
              <w:spacing w:after="0"/>
              <w:rPr>
                <w:sz w:val="24"/>
                <w:szCs w:val="2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54,592</w:t>
            </w:r>
          </w:p>
        </w:tc>
        <w:tc>
          <w:tcPr>
            <w:tcW w:w="12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September 2, 2017</w:t>
            </w: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28,506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(6,060)</w:t>
            </w:r>
          </w:p>
        </w:tc>
        <w:tc>
          <w:tcPr>
            <w:tcW w:w="12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51,880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short-lived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Acquisition-related costs</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33,190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60,981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statements are based on our current expectations for full-year fiscal 2019 results. These statements are forward-looking, and actual results may differ materially. We are currently expecting:</w:t>
      </w:r>
    </w:p>
    <w:p>
      <w:pPr>
        <w:spacing w:after="0" w:line="76"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growth of 8 to 10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margin of 8.3 to 8.8 percent.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diluted share of $3.00 to $3.20.</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operating margin of 8.6 to 9.1 percent and adjusted earnings per diluted share of $3.13 to 3.33</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41"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 of $60 to $65 million.</w:t>
      </w:r>
    </w:p>
    <w:p>
      <w:pPr>
        <w:spacing w:after="0" w:line="113" w:lineRule="exact"/>
        <w:rPr>
          <w:sz w:val="20"/>
          <w:szCs w:val="20"/>
          <w:color w:val="auto"/>
        </w:rPr>
      </w:pPr>
    </w:p>
    <w:p>
      <w:pPr>
        <w:jc w:val="both"/>
        <w:ind w:left="640"/>
        <w:spacing w:after="0" w:line="27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Adjusted operating margin and adjusted earnings per diluted share exclude the impact of amortization of short-lived acquired intangible assets associated with the acquired backlog of Sotawall and EFCO of $3.8 million (after tax, $0.13 per diluted share). These non-GAAP measures are used by management to evaluate the Company's historical and prospective financial performance, measure operational profitability on a more consistent basis, and provide enhanced transparency to the investment community. These non-GAAP measures should be viewed in addition to, and not as an alternative to, the financial results of the company prepared in accordance with GAAP.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March 3,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Refer to an update to our critical accounting policies included within Item 1, Notes to the Consolidated Financial Statements (Note 1). No other changes have occurred to the critical accounting policies set forth in our Annual Report on Form 10-K for the fiscal year ended March 3, 2018.</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material changes have occurred to the disclosures of quantitative and qualitative market risk set forth in our Annual Report on Form 10-K for the fiscal year ended March 3, 2018.</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84"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w:t>
      </w:r>
    </w:p>
    <w:p>
      <w:pPr>
        <w:spacing w:after="0" w:line="4" w:lineRule="exact"/>
        <w:rPr>
          <w:rFonts w:ascii="Arial" w:cs="Arial" w:eastAsia="Arial" w:hAnsi="Arial"/>
          <w:sz w:val="16"/>
          <w:szCs w:val="16"/>
          <w:color w:val="auto"/>
        </w:rPr>
      </w:pPr>
    </w:p>
    <w:p>
      <w:pPr>
        <w:jc w:val="both"/>
        <w:ind w:left="1300"/>
        <w:spacing w:after="0" w:line="255" w:lineRule="auto"/>
        <w:rPr>
          <w:rFonts w:ascii="Arial" w:cs="Arial" w:eastAsia="Arial" w:hAnsi="Arial"/>
          <w:sz w:val="16"/>
          <w:szCs w:val="16"/>
          <w:color w:val="auto"/>
        </w:rPr>
      </w:pPr>
      <w:r>
        <w:rPr>
          <w:rFonts w:ascii="Arial" w:cs="Arial" w:eastAsia="Arial" w:hAnsi="Arial"/>
          <w:sz w:val="18"/>
          <w:szCs w:val="18"/>
          <w:color w:val="auto"/>
        </w:rPr>
        <w:t>(i)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2"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September 1, 2018, that has materially affected, or is reasonably likely to materially affect, the Company’s internal control over financial reporting.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also subject to litigation arising out of employment practices, workers compensation, general liability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or additions to our risk factors discussed in our Annual Report on Form 10-K for the fiscal year ended March 3, 2018.</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second quarter of fiscal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the Plans or</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(a)</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3, 2018 to June 30, 2018</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July 1, 2018 to July 28, 2018</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29, 2018 to September 1, 2018</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37"/>
        </w:trPr>
        <w:tc>
          <w:tcPr>
            <w:tcW w:w="49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0"/>
                <w:szCs w:val="20"/>
                <w:color w:val="auto"/>
              </w:rPr>
            </w:pPr>
          </w:p>
        </w:tc>
        <w:tc>
          <w:tcPr>
            <w:tcW w:w="170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1,240,068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hanging="652"/>
        <w:spacing w:after="0" w:line="250"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surrendered to us by plan participants to satisfy stock-for-stock option exercises or withholding tax obligations related to share-based compensation. We did not purchase any shares pursuant to our publicly announced repurchase program during the fiscal quarter.</w:t>
      </w:r>
    </w:p>
    <w:p>
      <w:pPr>
        <w:jc w:val="both"/>
        <w:ind w:left="660" w:hanging="652"/>
        <w:spacing w:after="0" w:line="276" w:lineRule="auto"/>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fiscal 2004, announced on April 10, 2003, the Board of Directors authorized the repurchase of 1,500,000 shares of Company stock. The Board increased the authorization by 750,000 shares, announced on January 24, 2008; and by 1,000,000 shares on each of the announcement dates of October 8, 2008, January 13, 2016 and January 9, 2018. Subsequent to the end of the quarter, announced on October 3, 2018, the Board increased the authorization by 2,000,000 shares. The repurchase program does not have an expiration date.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70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360" w:type="dxa"/>
            <w:vAlign w:val="bottom"/>
            <w:gridSpan w:val="2"/>
          </w:tcPr>
          <w:p>
            <w:pPr>
              <w:jc w:val="right"/>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2">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Chief Executive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2">
              <w:r>
                <w:rPr>
                  <w:rFonts w:ascii="Arial" w:cs="Arial" w:eastAsia="Arial" w:hAnsi="Arial"/>
                  <w:sz w:val="18"/>
                  <w:szCs w:val="18"/>
                  <w:color w:val="0000FF"/>
                </w:rPr>
                <w:t>Act of 2002.</w:t>
              </w:r>
            </w:hyperlink>
          </w:p>
        </w:tc>
      </w:tr>
      <w:tr>
        <w:trPr>
          <w:trHeight w:val="20"/>
        </w:trPr>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960" w:type="dxa"/>
            <w:vAlign w:val="bottom"/>
            <w:gridSpan w:val="2"/>
          </w:tcPr>
          <w:p>
            <w:pPr>
              <w:spacing w:after="0" w:line="20" w:lineRule="exact"/>
              <w:rPr>
                <w:sz w:val="1"/>
                <w:szCs w:val="1"/>
                <w:color w:val="auto"/>
              </w:rPr>
            </w:pPr>
          </w:p>
        </w:tc>
      </w:tr>
      <w:tr>
        <w:trPr>
          <w:trHeight w:val="372"/>
        </w:trPr>
        <w:tc>
          <w:tcPr>
            <w:tcW w:w="360" w:type="dxa"/>
            <w:vAlign w:val="bottom"/>
            <w:gridSpan w:val="2"/>
          </w:tcPr>
          <w:p>
            <w:pPr>
              <w:jc w:val="right"/>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hyperlink>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Certification of Chief Financial Officer pursuant to 18 U.S.C. Section 1350, as adopted pursuant to Section 906 of the Sarbanes-Oxley</w:t>
              </w:r>
            </w:hyperlink>
          </w:p>
        </w:tc>
      </w:tr>
      <w:tr>
        <w:trPr>
          <w:trHeight w:val="196"/>
        </w:trPr>
        <w:tc>
          <w:tcPr>
            <w:tcW w:w="4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33">
              <w:r>
                <w:rPr>
                  <w:rFonts w:ascii="Arial" w:cs="Arial" w:eastAsia="Arial" w:hAnsi="Arial"/>
                  <w:sz w:val="18"/>
                  <w:szCs w:val="18"/>
                  <w:color w:val="0000FF"/>
                </w:rPr>
                <w:t>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1520" w:hanging="1485"/>
        <w:spacing w:after="0" w:line="272" w:lineRule="auto"/>
        <w:tabs>
          <w:tab w:leader="none" w:pos="1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following materials from Apogee Enterprises, Inc.’s Quarterly Report on Form 10-Q for the quarter ended September 1, 2018 are furnished herewith, formatted in XBRL (Extensible Business Reporting Language): (i) the Consolidated Balance Sheets as of September 1, 2018 and March 3, 2018, (ii) the Consolidated Results of Operations for the three- and six-months ended September 1, 2018 and September 2, 2017, (iii) the Consolidated Statements of Comprehensive Earnings for the three- and six-months ended September 1, 2018 and September 2, 2017, (iv) the Consolidated Statements of Cash Flows for the six months ended September 1, 2018 and September 2, 2017, (v) the Consolidated Statements of Shareholders' Equity for the six months ended September 1, 2018 and September 2, 2017, and (vi) Notes to Consolidated Financial Statements.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APOGEE ENTERPRISES, INC.</w:t>
      </w:r>
    </w:p>
    <w:p>
      <w:pPr>
        <w:spacing w:after="0" w:line="387"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October 9, 2018</w:t>
      </w:r>
      <w:r>
        <w:rPr>
          <w:sz w:val="20"/>
          <w:szCs w:val="20"/>
          <w:color w:val="auto"/>
        </w:rPr>
        <w:tab/>
      </w:r>
      <w:r>
        <w:rPr>
          <w:rFonts w:ascii="Arial" w:cs="Arial" w:eastAsia="Arial" w:hAnsi="Arial"/>
          <w:sz w:val="16"/>
          <w:szCs w:val="16"/>
          <w:color w:val="auto"/>
        </w:rPr>
        <w:t>By: /s/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color w:val="auto"/>
        </w:rPr>
        <w:t>Date: October 9, 2018</w:t>
      </w:r>
      <w:r>
        <w:rPr>
          <w:sz w:val="20"/>
          <w:szCs w:val="20"/>
          <w:color w:val="auto"/>
        </w:rPr>
        <w:tab/>
      </w:r>
      <w:r>
        <w:rPr>
          <w:rFonts w:ascii="Arial" w:cs="Arial" w:eastAsia="Arial" w:hAnsi="Arial"/>
          <w:sz w:val="16"/>
          <w:szCs w:val="16"/>
          <w:color w:val="auto"/>
        </w:rPr>
        <w:t>By: /s/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293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125"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Joseph F. Puishys,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2018</w:t>
      </w:r>
    </w:p>
    <w:p>
      <w:pPr>
        <w:spacing w:after="0" w:line="36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S. Porter, certify that:</w:t>
      </w:r>
    </w:p>
    <w:p>
      <w:pPr>
        <w:spacing w:after="0" w:line="11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280" w:right="80" w:hanging="651"/>
        <w:spacing w:after="0" w:line="312" w:lineRule="auto"/>
        <w:tabs>
          <w:tab w:leader="none" w:pos="22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Arial" w:cs="Arial" w:eastAsia="Arial" w:hAnsi="Arial"/>
          <w:sz w:val="16"/>
          <w:szCs w:val="16"/>
          <w:color w:val="auto"/>
        </w:rPr>
      </w:pPr>
    </w:p>
    <w:p>
      <w:pPr>
        <w:ind w:left="2280" w:right="100" w:hanging="651"/>
        <w:spacing w:after="0" w:line="286" w:lineRule="auto"/>
        <w:tabs>
          <w:tab w:leader="none" w:pos="22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jc w:val="both"/>
        <w:ind w:left="2280" w:right="180" w:hanging="651"/>
        <w:spacing w:after="0" w:line="264"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2280" w:right="240" w:hanging="651"/>
        <w:spacing w:after="0" w:line="312" w:lineRule="auto"/>
        <w:tabs>
          <w:tab w:leader="none" w:pos="22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6"/>
          <w:szCs w:val="16"/>
          <w:color w:val="auto"/>
        </w:rPr>
      </w:pPr>
    </w:p>
    <w:p>
      <w:pPr>
        <w:ind w:left="1300" w:right="3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2280" w:right="460" w:hanging="651"/>
        <w:spacing w:after="0" w:line="264"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2280" w:right="840" w:hanging="651"/>
        <w:spacing w:after="0" w:line="277" w:lineRule="auto"/>
        <w:tabs>
          <w:tab w:leader="none" w:pos="22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October 9, 2018</w:t>
      </w:r>
    </w:p>
    <w:p>
      <w:pPr>
        <w:spacing w:after="0" w:line="36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September 1, 2018 as filed with the Securities and Exchange Commission (the “Report”), I, Joseph F. Puishys, Chief Executive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F. Puishys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9, 2018</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September 1, 2018 as filed with the Securities and Exchange Commission (the “Report”), I, James S. Porter, Chief Financial Officer of the Company, certify, pursuant to 18 U.S.C. § 1350, as adopted pursuant to § 906 of the Sarbanes-Oxley Act of 2002, that based on my knowledge:</w:t>
      </w:r>
    </w:p>
    <w:p>
      <w:pPr>
        <w:spacing w:after="0" w:line="12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S. Porter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9,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2019-12-28T19:08:56Z</dcterms:created>
  <dcterms:modified xsi:type="dcterms:W3CDTF">2019-12-28T19:08:56Z</dcterms:modified>
</cp:coreProperties>
</file>