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August 31, 2024</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October 1, 2024, 21,943,016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7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2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358,639</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$460,167 and $445,017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w:t>
            </w: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w:t>
            </w:r>
          </w:p>
        </w:tc>
      </w:tr>
      <w:tr>
        <w:trPr>
          <w:trHeight w:val="223"/>
        </w:trPr>
        <w:tc>
          <w:tcPr>
            <w:tcW w:w="620" w:type="dxa"/>
            <w:vAlign w:val="bottom"/>
          </w:tcPr>
          <w:p>
            <w:pPr>
              <w:spacing w:after="0"/>
              <w:rPr>
                <w:sz w:val="19"/>
                <w:szCs w:val="19"/>
                <w:color w:val="auto"/>
              </w:rPr>
            </w:pPr>
          </w:p>
        </w:tc>
        <w:tc>
          <w:tcPr>
            <w:tcW w:w="7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53,801</w:t>
            </w: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244,705</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43,875</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 outstanding</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gridSpan w:val="4"/>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21,945,986 and 22,089,265, respectively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152,818</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340,375</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471,025</w:t>
            </w: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00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26,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26, 2023</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715,388</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527,031</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188,357</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114,037</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74,320</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74,666</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w:t>
            </w: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August 26, 2023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26, 2023</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56,903</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marketable securities, net of $30,</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 $29 and $25 of tax expense (benefit), respectively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$(257), $66, $107 and $(55) of tax (benefit) expense,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August 31, 2024</w:t>
            </w:r>
          </w:p>
        </w:tc>
        <w:tc>
          <w:tcPr>
            <w:tcW w:w="16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August 26, 2023</w:t>
            </w:r>
          </w:p>
        </w:tc>
        <w:tc>
          <w:tcPr>
            <w:tcW w:w="0" w:type="dxa"/>
            <w:vAlign w:val="bottom"/>
          </w:tcPr>
          <w:p>
            <w:pPr>
              <w:spacing w:after="0"/>
              <w:rPr>
                <w:sz w:val="1"/>
                <w:szCs w:val="1"/>
                <w:color w:val="auto"/>
              </w:rPr>
            </w:pP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62,564</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174,853</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on revolving credit facilities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2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22,089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7,363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 dividends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2024</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21,937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7,312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153,002</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348,651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479,955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31, 2024</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21,946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7,315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155,883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373,458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(30,234)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102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0" w:type="dxa"/>
            <w:vAlign w:val="bottom"/>
            <w:tcBorders>
              <w:top w:val="single" w:sz="8" w:color="auto"/>
            </w:tcBorders>
            <w:shd w:val="clear" w:color="auto" w:fill="CCEEFF"/>
          </w:tcPr>
          <w:p>
            <w:pPr>
              <w:spacing w:after="0"/>
              <w:rPr>
                <w:sz w:val="16"/>
                <w:szCs w:val="16"/>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22,224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7,408</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May 27,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22,219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147,897</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410,206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August 26,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22,072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147,413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308,248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10-K for the year ended March 2, 2024.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six-month periods ended August 31, 2024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Such guidance, which is required to be applied retrospectively, is effective for fiscal years beginning after December 15, 2023, and interim periods within fiscal years beginning after December 15, 2024, although early adoption is permitted. While the adoption of this ASU will not have an impact on our financial position and/or results of operations, we are currently evaluating the impact to our segment disclosures for the year ended March 1, 2025 and future interim periods.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spacing w:after="0" w:line="21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1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04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August 26, 2023</w:t>
            </w:r>
          </w:p>
        </w:tc>
      </w:tr>
      <w:tr>
        <w:trPr>
          <w:trHeight w:val="224"/>
        </w:trPr>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277,240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304,895</w:t>
            </w:r>
          </w:p>
        </w:tc>
      </w:tr>
      <w:tr>
        <w:trPr>
          <w:trHeight w:val="230"/>
        </w:trPr>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241,651</w:t>
            </w:r>
          </w:p>
        </w:tc>
      </w:tr>
      <w:tr>
        <w:trPr>
          <w:trHeight w:val="234"/>
        </w:trPr>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168,842</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715,388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-333375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-633730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580"/>
          </w:cols>
          <w:pgMar w:left="320" w:top="121"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Pr>
          <w:p>
            <w:pPr>
              <w:spacing w:after="0"/>
              <w:rPr>
                <w:sz w:val="18"/>
                <w:szCs w:val="18"/>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 2024</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61,879</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six-month period ended: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charged to costs and expenses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00" w:type="dxa"/>
            <w:vAlign w:val="bottom"/>
          </w:tcPr>
          <w:p>
            <w:pPr>
              <w:spacing w:after="0"/>
              <w:rPr>
                <w:sz w:val="20"/>
                <w:szCs w:val="20"/>
                <w:color w:val="auto"/>
              </w:rPr>
            </w:pPr>
          </w:p>
        </w:tc>
        <w:tc>
          <w:tcPr>
            <w:tcW w:w="31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0"/>
                <w:szCs w:val="20"/>
                <w:color w:val="auto"/>
              </w:rPr>
            </w:pPr>
          </w:p>
        </w:tc>
        <w:tc>
          <w:tcPr>
            <w:tcW w:w="304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August 26, 2023</w:t>
            </w:r>
          </w:p>
        </w:tc>
      </w:tr>
      <w:tr>
        <w:trPr>
          <w:trHeight w:val="184"/>
        </w:trPr>
        <w:tc>
          <w:tcPr>
            <w:tcW w:w="454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 recognized related to contract liabilities from prior</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r>
      <w:tr>
        <w:trPr>
          <w:trHeight w:val="184"/>
        </w:trPr>
        <w:tc>
          <w:tcPr>
            <w:tcW w:w="4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 recognized related to prior satisfaction of</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August 31, 2024 are expected to be satisfied, and the corresponding revenue to be recognized, over the following estimated time periods: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535,538</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305,493</w:t>
            </w:r>
          </w:p>
        </w:tc>
      </w:tr>
      <w:tr>
        <w:trPr>
          <w:trHeight w:val="23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111,600</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952,631</w:t>
            </w:r>
          </w:p>
        </w:tc>
      </w:tr>
      <w:tr>
        <w:trPr>
          <w:trHeight w:val="20"/>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4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31,363</w:t>
            </w:r>
          </w:p>
        </w:tc>
      </w:tr>
      <w:tr>
        <w:trPr>
          <w:trHeight w:val="22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1"/>
        </w:trPr>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August 31, 2024, by contractual maturity, are shown below. Expected maturities may differ from contractual maturities, as borrowers may have the right to call or prepay obligations with or without penalty.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use interest rate swaps, currency put options,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floating-rate borrowings under our credit facility. As of August 31, 2024, the interest rate swap contract had a notional value of $30.0 million and has a maturity date of February 5,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These contracts generally have an original maturity date of less than one year. As of August 31, 2024, we held aluminum purchase contracts and foreign exchange option contracts with U.S. dollar notional values of $2.0 million and $1.5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 to market adjustments on these derivative instruments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are available through a $450.0 million, five-year revolving credit facility and a committed $250.0 million delayed draw term loan facility. Borrowings under the revolving credit facility can be in Canadian dollars (CAD) limited to $25.0 million USD. The term loan facility may be borrowed in up to two drawdowns, which are available to be made within one year after the closing date. The senior credit facility has a term of five years with a maturity date of July 19, 2029. Outstanding borrowings under the revolving credit facility were $50.0 million as of August 31, 2024. As of August 31, 2024, the term loan facility had not been drawn.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 Outstanding borrowings under the previous revolving credit facility were $50.0 million as of March 2, 2024. We had no outstanding borrowings under the Canadian facilities as of March 2, 2024.</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 transaction, in the second quarter of fiscal 2025, we recognized a loss on extinguishment of debt within interest expense of $0.5 million for the write-off of unamortized financing fees related to the previous revolving credit facility. Additionally, we capitalized $3.0 million of lender fees and $0.6 million of third-party fees incurred in connection with the Credit Agreement, which were recorded as other non-current assets and will be amortized over the term of the credit facility as interest expense.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August 31, 2024, we were in compliance with all covenants as defined under the terms of the Credit Agreement.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31, 2024, we had a total of $42.5 million of ongoing letters of credit related to the senior credit facility and industrial revenue bonds, construction contracts and insurance collateral that expire in fiscal years 2026 through 2032 and reduce borrowing capacity under the revolving credit facility. As of August 31, 2024, the amount available for revolving borrowings was $357.5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31, 2024, debt included $12.0 million of industrial revenue bonds that mature in fiscal years 2036 through 2043.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and industrial revenue bonds approximated carrying values at August 31, 2024, and would be classified as Level 2 within the fair value hierarchy described in Note 4, due to the variable interest rates on these instruments.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10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payments under the credit facilities were $2.6 million and $5.4 million for the six months ended August 31, 2024 and August 26, 2023, respectively.</w:t>
      </w:r>
    </w:p>
    <w:p>
      <w:pPr>
        <w:spacing w:after="0" w:line="19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31, 2024, $1.2 billion of these types of bonds were outstanding, of which $366.0 million is in our backlog. These bonds have expiration dates that align with completion of the sales order or contract.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9"/>
                <w:szCs w:val="19"/>
                <w:color w:val="auto"/>
              </w:rPr>
            </w:pPr>
          </w:p>
        </w:tc>
        <w:tc>
          <w:tcPr>
            <w:tcW w:w="14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August 31, 2024</w:t>
            </w:r>
          </w:p>
        </w:tc>
      </w:tr>
      <w:tr>
        <w:trPr>
          <w:trHeight w:val="230"/>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 net of recoveries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r>
      <w:tr>
        <w:trPr>
          <w:trHeight w:val="21"/>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 Architectural Framing Systems Segment.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31, 2024, we had $42.5 million of ongoing letters of credit as discussed in Note 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$14.2 million as of August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project, which is classified as restricted cash in our consolidated balance sheets. As a result of the structure of these transactions, variable-interest entities were created. As the other investors in these programs do not have a material interest in the entities' underlying economics, we include 100% of the results of the variable-interest entities in our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estimated benefits related to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29"/>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first quarter of fiscal 2024, we implemented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net cash provided by operating activities in our consolidated statements of cash flows when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obligation activity and outstanding balance as of August 31, 2024 that we have confirmed as valid to the administrators of our program: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August 31, 2024</w:t>
            </w:r>
          </w:p>
        </w:tc>
      </w:tr>
      <w:tr>
        <w:trPr>
          <w:trHeight w:val="226"/>
        </w:trPr>
        <w:tc>
          <w:tcPr>
            <w:tcW w:w="9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29"/>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22,411</w:t>
            </w:r>
          </w:p>
        </w:tc>
      </w:tr>
      <w:tr>
        <w:trPr>
          <w:trHeight w:val="229"/>
        </w:trPr>
        <w:tc>
          <w:tcPr>
            <w:tcW w:w="9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r>
      <w:tr>
        <w:trPr>
          <w:trHeight w:val="22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paid dividends totaling $10.8 million ($0.50 per share) in the first six months of fiscal 2025, compared to dividends paid of $10.5 million ($0.48 per share) in the comparable prior year period.</w:t>
      </w: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six-months ended August 31, 2024, we repurchased 241,573 shares under the program, for a total cost of $15.1 million, inclusive of the applicable excise tax. During the six-months ended August 26, 2023, we repurchased 279,916 shares under the program, for a total cost of $11.8 million. We have repurchased a total of 11,518,090 shares, at a total cost of $408.5 million, since the inception of this program in fiscal 2004. We have remaining authority to repurchase 2,731,910 shares under this program, which has no expiration date. We may also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18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nonstatutory options, or nonvested share awards and units, all of which are granted at a price or with an exercise price equal to the fair market value of the Company’s stock at the date of award, unless the date of the award is on a day the Nasdaq Stock Market is not open for trading, then the exercise price shall equal the fair market value on the most recent preceding date when such market is open.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six-months ended August 31, 2024, along with the weighted average grant date fair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0" w:type="dxa"/>
            <w:vAlign w:val="bottom"/>
          </w:tcPr>
          <w:p>
            <w:pPr>
              <w:spacing w:after="0"/>
              <w:rPr>
                <w:sz w:val="1"/>
                <w:szCs w:val="1"/>
                <w:color w:val="auto"/>
              </w:rPr>
            </w:pPr>
          </w:p>
        </w:tc>
      </w:tr>
      <w:tr>
        <w:trPr>
          <w:trHeight w:val="306"/>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hanging="154"/>
        <w:spacing w:after="0"/>
        <w:tabs>
          <w:tab w:leader="none" w:pos="1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service condition awards which generally vest over a two- or three-year period.</w:t>
      </w:r>
    </w:p>
    <w:p>
      <w:pPr>
        <w:spacing w:after="0" w:line="23" w:lineRule="exact"/>
        <w:rPr>
          <w:rFonts w:ascii="Times New Roman" w:cs="Times New Roman" w:eastAsia="Times New Roman" w:hAnsi="Times New Roman"/>
          <w:sz w:val="19"/>
          <w:szCs w:val="19"/>
          <w:color w:val="auto"/>
          <w:vertAlign w:val="superscript"/>
        </w:rPr>
      </w:pPr>
    </w:p>
    <w:p>
      <w:pPr>
        <w:ind w:left="180" w:right="20" w:hanging="154"/>
        <w:spacing w:after="0" w:line="219" w:lineRule="auto"/>
        <w:tabs>
          <w:tab w:leader="none" w:pos="18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return on invested capital and cumulative earnings per share.</w:t>
      </w: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$2.9 million and $2.3 million for the three-month periods ended August 31, 2024 and August 26, 2023, respectively and $5.6 million and $4.5 million for the six-month periods ended August 31, 2024 and August 26, 2023,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31, 2024, there was $17.3 million of total unrecognized compensation cost related to nonvested share and nonvested share unit awards, which is expected to be recognized over a weighted average period of approximately 24 months. The total fair value of shares vested during the six-months ended August 31, 2024 was $8.6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We are not subject to U.S. federal tax examinations for years prior to fiscal 2021, or state and local income tax examinations for years prior to fiscal 2015. We are not currently under U.S. federal examination for years subsequent to fiscal 2020, and there is very limited audit activity of our income tax returns in U.S. state jurisdictions or international jurisdictions.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interim periods, our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For the three-months ended August 31, 2024, income tax expense as a percentage of earnings before income tax was 25.7%, compared to 22.9% for the same period last year. For the six-months ended August 31, 2024, income tax expense as a percentage of earnings before income tax was 25.1%, compared to 23.8% for the same period last year. The change in the effective tax rate for both the three- and six-month periods was primarily due to an increase in tax expense on discrete items.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$5.6 million at August 31, 2024 compared to $5.1 million at March 2, 2024, respectively. Penalties and interest related to unrecognized tax benefits are recorded in income tax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6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24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5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184"/>
        </w:trPr>
        <w:tc>
          <w:tcPr>
            <w:tcW w:w="512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0" w:type="dxa"/>
            <w:vAlign w:val="bottom"/>
          </w:tcPr>
          <w:p>
            <w:pPr>
              <w:spacing w:after="0"/>
              <w:rPr>
                <w:sz w:val="1"/>
                <w:szCs w:val="1"/>
                <w:color w:val="auto"/>
              </w:rPr>
            </w:pPr>
          </w:p>
        </w:tc>
      </w:tr>
      <w:tr>
        <w:trPr>
          <w:trHeight w:val="184"/>
        </w:trPr>
        <w:tc>
          <w:tcPr>
            <w:tcW w:w="5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effect of nonvested share grants and assumed</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64"/>
        </w:trPr>
        <w:tc>
          <w:tcPr>
            <w:tcW w:w="52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 and</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w:t>
            </w:r>
          </w:p>
        </w:tc>
        <w:tc>
          <w:tcPr>
            <w:tcW w:w="0" w:type="dxa"/>
            <w:vAlign w:val="bottom"/>
          </w:tcPr>
          <w:p>
            <w:pPr>
              <w:spacing w:after="0"/>
              <w:rPr>
                <w:sz w:val="1"/>
                <w:szCs w:val="1"/>
                <w:color w:val="auto"/>
              </w:rPr>
            </w:pPr>
          </w:p>
        </w:tc>
      </w:tr>
      <w:tr>
        <w:trPr>
          <w:trHeight w:val="227"/>
        </w:trPr>
        <w:tc>
          <w:tcPr>
            <w:tcW w:w="5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 common shares outstanding</w:t>
            </w: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 share</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40" w:type="dxa"/>
            <w:vAlign w:val="bottom"/>
            <w:gridSpan w:val="2"/>
            <w:vMerge w:val="continue"/>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because the effect was anti-dilutive (award price greater than</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market price of the shares)</w:t>
            </w: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hanging="328"/>
        <w:spacing w:after="0" w:line="24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coats and fabricates, high-performance glass used in custom window and wall systems on non-residential buildings.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4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building glass and curtainwall systems.</w:t>
      </w: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 Segment</w:t>
      </w:r>
      <w:r>
        <w:rPr>
          <w:rFonts w:ascii="Times New Roman" w:cs="Times New Roman" w:eastAsia="Times New Roman" w:hAnsi="Times New Roman"/>
          <w:sz w:val="18"/>
          <w:szCs w:val="18"/>
          <w:color w:val="auto"/>
        </w:rPr>
        <w:t xml:space="preserve"> manufactures high-performance glass and acrylic products for the custom framing, fine art, and engineered optics markets.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selling, general and administrative expenses,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income tax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080" w:type="dxa"/>
            <w:vAlign w:val="bottom"/>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322,963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191,298</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177,482</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46,101</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715,388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further streamline our business operations, enable a more efficient cost model, and better position the Company for profitable growth (referred to as “Project Fortify”). Project Fortify primarily impacts the Architectural Framing Systems Segment and includes:</w:t>
      </w:r>
    </w:p>
    <w:p>
      <w:pPr>
        <w:spacing w:after="0" w:line="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service.</w:t>
      </w:r>
    </w:p>
    <w:p>
      <w:pPr>
        <w:spacing w:after="0"/>
        <w:rPr>
          <w:sz w:val="20"/>
          <w:szCs w:val="20"/>
          <w:color w:val="auto"/>
        </w:rPr>
      </w:pPr>
      <w:r>
        <w:rPr>
          <w:rFonts w:ascii="Times New Roman" w:cs="Times New Roman" w:eastAsia="Times New Roman" w:hAnsi="Times New Roman"/>
          <w:sz w:val="18"/>
          <w:szCs w:val="18"/>
          <w:color w:val="auto"/>
        </w:rPr>
        <w:t>Additionally, the Company has implemented actions to optimize processes and streamline resources in its Architectural Services Segment and Corporate.</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second quarter of fiscal 2025, we incurred $1.2 million of pre-tax costs associated with Project Fortify, of which $0.9 million was included within cost of sales and $0.3 million was included within selling, general and administrative expenses. During the first six-months of fiscal 2025, we incurred $2.3 million of pre-tax costs associated with Project Fortify, of which $1.5 million was included within cost of sales and $0.8 million was included within selling, general and administrative expenses. Since announcing Project Fortify, we have incurred $14.7 million of pre-tax costs. The Company expects these restructuring actions to be substantially complete by the end of the third quarter of fiscal 2025 and expects to incur total pre-tax charges of approximately $15.0 million to $16.0 million. Total Project Fortify restructuring charges are expected to include:</w:t>
      </w:r>
    </w:p>
    <w:p>
      <w:pPr>
        <w:spacing w:after="0" w:line="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to $7.0 million of severance and employee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million of contract termination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to $7.5 million of other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that these actions will lead to annualized cost savings of $13 million to $14 million.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August 31, 2024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3"/>
                <w:szCs w:val="13"/>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August 31, 2024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3"/>
                <w:szCs w:val="13"/>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rollforward of our restructuring accruals do not include items charged directly to expense as incurred, as those items are not reflected in accrued payroll and related benefits and other current liabilities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September 23, 2024, we entered into a purchase agreement for the acquisition of UW Interco, LLC (UW Solutions), a leading developer and manufacturer of high-performance coated materials. The total initial purchase price was $240.0 million, which is subject to customary closing adjustments. We intend to fund the acquisition with cash on hand and borrowings under our existing credit facility.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2, 2024 and in subsequent filings with the U.S. Securities and Exchange Commission, including this Quarterly Report on Form 10-Q.</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glass and acrylic products used in applications for preservation, protection and enhanced viewing. Our four reporting segments are: Architectural Framing Systems, Architectural Glass, Architectural Services and Large-Scale Optical (LSO).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27" w:lineRule="exact"/>
        <w:rPr>
          <w:sz w:val="20"/>
          <w:szCs w:val="20"/>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are developing a deep understanding of our target markets and aligning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expect to accomplish this by allocating resources to grow our top performing businesses, actively addressing underperforming businesses, and investing to add new differentiated product and service offerings to accelerate our growth and increase margins.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In fiscal 2022, we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set this strategy by developing a deep knowledge of the markets we serve and by gaining extensive input from customers and industry influencers, along with detailed competitive benchmarking. We continually analyze our portfolio of products, services, and capabilities to identify the best areas for future profitable growth. We also evaluate our operating model to ensure we have the organizational structure and capabilities needed to deliver consistent profitable growth. Through this work, we validate strengths that we can leverage and identify opportunities to improve our performance.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2024 and through the second quarter of fiscal 2025, we drove further progress toward our strategic goals and financial targets. We continued the deployment of the Apogee Management System across our business, supporting sustainable cost and productivity improvements. We invested in organic growth initiatives, including capacity expansion in the Large-Scale Optical Segment and geographic growth in the Architectural Services Segment. We increased our focus on differentiated products and services, and continued to diversify the mix of architectural projects that we serve while leaning more heavily into higher, value-added products. We also advanced several initiatives to strengthen our core capabilities, driving the standardization of key business processes and systems, and strengthening talent management and leadership development programs.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2, 2024 and the consolidated financial statements, including the notes to consolidated financial statements,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8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80" w:type="dxa"/>
            <w:vAlign w:val="bottom"/>
          </w:tcPr>
          <w:p>
            <w:pPr>
              <w:spacing w:after="0"/>
              <w:rPr>
                <w:sz w:val="16"/>
                <w:szCs w:val="16"/>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258,304</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33,327</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18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98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80" w:type="dxa"/>
            <w:vAlign w:val="bottom"/>
          </w:tcPr>
          <w:p>
            <w:pPr>
              <w:spacing w:after="0"/>
              <w:rPr>
                <w:sz w:val="16"/>
                <w:szCs w:val="16"/>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527,031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114,037</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74,666</w:t>
            </w:r>
          </w:p>
        </w:tc>
        <w:tc>
          <w:tcPr>
            <w:tcW w:w="8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56,903</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18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ind w:left="640" w:hanging="308"/>
        <w:spacing w:after="0" w:line="227" w:lineRule="auto"/>
        <w:tabs>
          <w:tab w:leader="none" w:pos="640"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Consolidated net sales decreased 3.2%, to $342.4 million, primarily driven by lower volume, partially offset by improved pricing and mix.</w:t>
      </w:r>
    </w:p>
    <w:p>
      <w:pPr>
        <w:spacing w:after="0" w:line="225"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margin increased to 28.4%, compared to 27.0%, primarily driven by improved pricing, a more favorable mix of projects in Architectural Services, favorable material costs, and lower insurance-related costs, partially offset by the unfavorable sales leverage impact of lower volume, higher compensation and benefits expense, and $0.9 million of restructuring costs associated with Project Fortify.</w:t>
      </w:r>
    </w:p>
    <w:p>
      <w:pPr>
        <w:spacing w:after="0" w:line="208" w:lineRule="exact"/>
        <w:rPr>
          <w:rFonts w:ascii="Calibri" w:cs="Calibri" w:eastAsia="Calibri" w:hAnsi="Calibri"/>
          <w:sz w:val="20"/>
          <w:szCs w:val="20"/>
          <w:b w:val="1"/>
          <w:bCs w:val="1"/>
          <w:color w:val="auto"/>
        </w:rPr>
      </w:pPr>
    </w:p>
    <w:p>
      <w:pPr>
        <w:jc w:val="both"/>
        <w:ind w:left="660" w:right="20" w:hanging="328"/>
        <w:spacing w:after="0" w:line="238" w:lineRule="auto"/>
        <w:tabs>
          <w:tab w:leader="none" w:pos="653"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Selling, general and administrative (SG&amp;A) expenses increased $0.5 million to 16.2% of net sales, compared to 15.5% of net sales. The increase in SG&amp;A as a percentage of sales was primarily due to higher incentive compensation expense and the unfavorable sales leverage impact of lower volume.</w:t>
      </w:r>
    </w:p>
    <w:p>
      <w:pPr>
        <w:spacing w:after="0" w:line="211" w:lineRule="exact"/>
        <w:rPr>
          <w:rFonts w:ascii="Calibri" w:cs="Calibri" w:eastAsia="Calibri" w:hAnsi="Calibri"/>
          <w:sz w:val="20"/>
          <w:szCs w:val="20"/>
          <w:b w:val="1"/>
          <w:bCs w:val="1"/>
          <w:color w:val="auto"/>
        </w:rPr>
      </w:pPr>
    </w:p>
    <w:p>
      <w:pPr>
        <w:jc w:val="both"/>
        <w:ind w:left="660" w:hanging="328"/>
        <w:spacing w:after="0" w:line="236" w:lineRule="auto"/>
        <w:tabs>
          <w:tab w:leader="none" w:pos="653"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$42.0 million from $40.6 million, and operating margin increased 80 basis points to 12.3%. The improvement in operating margin was primarily driven by improved pricing, a more favorable mix of projects in Architectural Services, favorable material costs, and lower insurance-related costs, partially offset by the impact of higher incentive compensation expense, $1.2 million of restructuring costs related to Project Fortify, and the unfavorable sales leverage impact of lower volume. Adjusted operating income grew 6.4% to $43.1 million, and adjusted operating margin improved to 12.6%.</w:t>
      </w:r>
    </w:p>
    <w:p>
      <w:pPr>
        <w:spacing w:after="0" w:line="214"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$1.1 million, compared to $2.2 million, primarily driven by lower average debt levels, partially offset by the impact of the write-off of unamortized financing fees related to the previous credit facility.</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1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25.7%, compared to 22.9% for the same period last year. The increase in the effective tax rate was primarily due to an increase in tax expense for discrete items.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spacing w:after="0" w:line="231" w:lineRule="exact"/>
        <w:rPr>
          <w:sz w:val="20"/>
          <w:szCs w:val="20"/>
          <w:color w:val="auto"/>
        </w:rPr>
      </w:pPr>
    </w:p>
    <w:p>
      <w:pPr>
        <w:ind w:left="640" w:hanging="308"/>
        <w:spacing w:after="0"/>
        <w:tabs>
          <w:tab w:leader="none" w:pos="640" w:val="left"/>
        </w:tabs>
        <w:numPr>
          <w:ilvl w:val="0"/>
          <w:numId w:val="16"/>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Consolidated net sales decreased 5.8%, to $674.0 million, primarily driven by lower volume, partially offset by improved pricing and mix.</w:t>
      </w:r>
    </w:p>
    <w:p>
      <w:pPr>
        <w:spacing w:after="0" w:line="224" w:lineRule="exact"/>
        <w:rPr>
          <w:rFonts w:ascii="Calibri" w:cs="Calibri" w:eastAsia="Calibri" w:hAnsi="Calibri"/>
          <w:sz w:val="20"/>
          <w:szCs w:val="20"/>
          <w:b w:val="1"/>
          <w:bCs w:val="1"/>
          <w:i w:val="1"/>
          <w:iCs w:val="1"/>
          <w:color w:val="auto"/>
        </w:rPr>
      </w:pPr>
    </w:p>
    <w:p>
      <w:pPr>
        <w:jc w:val="both"/>
        <w:ind w:left="660" w:hanging="328"/>
        <w:spacing w:after="0" w:line="238"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margin increased to 29.1%, compared to 26.3%, primarily driven by improved pricing and a more favorable mix of projects in Architectural Services, favorable material costs, and lower insurance-related costs, partially offset by the unfavorable sales leverage impact of lower volume, higher compensation and benefits expense, and $1.5 million of restructuring costs associated with Project Fortify.</w:t>
      </w:r>
    </w:p>
    <w:p>
      <w:pPr>
        <w:spacing w:after="0" w:line="211"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SG&amp;A expenses decreased $1.2 million to 16.7% of net sales, compared to 15.9% of net sales. The increase in SG&amp;A as a percentage of sales was primarily due to the unfavorable sales leverage impact of lower volume and higher incentive compensation expense, partially offset by lower bad debt expense.</w:t>
      </w:r>
    </w:p>
    <w:p>
      <w:pPr>
        <w:spacing w:after="0" w:line="208" w:lineRule="exact"/>
        <w:rPr>
          <w:rFonts w:ascii="Calibri" w:cs="Calibri" w:eastAsia="Calibri" w:hAnsi="Calibri"/>
          <w:sz w:val="20"/>
          <w:szCs w:val="20"/>
          <w:b w:val="1"/>
          <w:bCs w:val="1"/>
          <w:color w:val="auto"/>
        </w:rPr>
      </w:pPr>
    </w:p>
    <w:p>
      <w:pPr>
        <w:jc w:val="both"/>
        <w:ind w:left="660" w:hanging="328"/>
        <w:spacing w:after="0" w:line="236"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grew to $83.3 million from $74.3 million, and operating margin increased 200 basis points to 12.4%. The improvement in operating margin was primarily driven by improved pricing, a more favorable mix of projects in Architectural Services, favorable material costs, lower insurance-related costs, and lower bad debt expense, which more than offset the unfavorable sales leverage impact of lower volume, $2.3 million of restructuring costs related to Project Fortify, and higher incentive compensation expense. Adjusted operating income grew 15.2% to $85.6 million, and adjusted operating margin improved to 12.7%.</w:t>
      </w:r>
    </w:p>
    <w:p>
      <w:pPr>
        <w:spacing w:after="0" w:line="214"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$1.6 million, compared to $4.3 million, primarily driven by lower average debt levels, partially offset by the impact of the write-off of unamortized financing fees related to our previous credit facility.</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25.1%, compared to 23.8% for the same period last year. The increase in the effective tax rate was primarily due to an increase in tax expense for discrete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operating income (loss) and operating margin by segment and consolidated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8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6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141,350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158,801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274,522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322,963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90,101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94,096</w:t>
            </w:r>
          </w:p>
        </w:tc>
        <w:tc>
          <w:tcPr>
            <w:tcW w:w="11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191,298</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98,018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88,064</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177,482</w:t>
            </w: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19,832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23,645</w:t>
            </w:r>
          </w:p>
        </w:tc>
        <w:tc>
          <w:tcPr>
            <w:tcW w:w="11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46,101</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(6,861)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(10,931)</w:t>
            </w:r>
          </w:p>
        </w:tc>
        <w:tc>
          <w:tcPr>
            <w:tcW w:w="116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(22,456)</w:t>
            </w:r>
          </w:p>
        </w:tc>
        <w:tc>
          <w:tcPr>
            <w:tcW w:w="11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342,440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353,675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673,956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715,388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17,141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35,477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41,005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17,434</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33,955</w:t>
            </w: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3,519</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2,923</w:t>
            </w:r>
          </w:p>
        </w:tc>
        <w:tc>
          <w:tcPr>
            <w:tcW w:w="1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4,663</w:t>
            </w:r>
          </w:p>
        </w:tc>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10,188</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(6,123)</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(13,751)</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2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41,965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74,320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margin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3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income tax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spacing w:after="0" w:line="11" w:lineRule="exact"/>
        <w:rPr>
          <w:sz w:val="20"/>
          <w:szCs w:val="20"/>
          <w:color w:val="auto"/>
        </w:rPr>
      </w:pPr>
    </w:p>
    <w:p>
      <w:pPr>
        <w:ind w:left="660" w:hanging="328"/>
        <w:spacing w:after="0" w:line="228"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$141.4 million, compared to $158.8 million, primarily reflecting reduced volume due to exiting certain lower-margin product lines as part of Project Fortify and lower end market demand.</w:t>
      </w:r>
    </w:p>
    <w:p>
      <w:pPr>
        <w:spacing w:after="0" w:line="239" w:lineRule="exact"/>
        <w:rPr>
          <w:rFonts w:ascii="Calibri" w:cs="Calibri" w:eastAsia="Calibri" w:hAnsi="Calibri"/>
          <w:sz w:val="20"/>
          <w:szCs w:val="20"/>
          <w:b w:val="1"/>
          <w:bCs w:val="1"/>
          <w:color w:val="auto"/>
        </w:rPr>
      </w:pPr>
    </w:p>
    <w:p>
      <w:pPr>
        <w:jc w:val="both"/>
        <w:ind w:left="660" w:hanging="328"/>
        <w:spacing w:after="0" w:line="237"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$17.1 million, or 12.1% of net sales, compared to $21.1 million, or 13.3% of net sales. The 120 basis point reduction in operating margin was primarily driven by the unfavorable sales leverage impact of lower volume, a less favorable mix and $0.9 million of restructuring charges related to Project Fortify, partially offset by favorable material costs. Adjusted operating income was $18.1 million, or 12.8% of net sales, compared to $21.1 million, or 13.3% of net sales.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spacing w:after="0" w:line="29" w:lineRule="exact"/>
        <w:rPr>
          <w:sz w:val="20"/>
          <w:szCs w:val="20"/>
          <w:color w:val="auto"/>
        </w:rPr>
      </w:pPr>
    </w:p>
    <w:p>
      <w:pPr>
        <w:ind w:left="660" w:hanging="328"/>
        <w:spacing w:after="0" w:line="229" w:lineRule="auto"/>
        <w:tabs>
          <w:tab w:leader="none" w:pos="653" w:val="left"/>
        </w:tabs>
        <w:numPr>
          <w:ilvl w:val="0"/>
          <w:numId w:val="18"/>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$274.5 million, compared to $323.0 million, primarily reflecting reduced volume due to exiting certain lower-margin product lines as part of Project Fortify and lower end market demand.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41"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$35.5 million, or 12.9% of net sales, compared to $41.0 million, or 12.7% of net sales. The 20 basis point improvement in operating margin was primarily driven by favorable material costs and lower bad debt expense, partially offset by the unfavorable sales leverage impact of lower volume, and $1.9 million of restructuring charges as part of Project Fortify. Adjusted operating income was $37.4 million, or 13.6% of net sales, compared to $41.0 million, or 12.7% of net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spacing w:after="0" w:line="11" w:lineRule="exact"/>
        <w:rPr>
          <w:sz w:val="20"/>
          <w:szCs w:val="20"/>
          <w:color w:val="auto"/>
        </w:rPr>
      </w:pPr>
    </w:p>
    <w:p>
      <w:pPr>
        <w:ind w:left="660" w:right="20" w:hanging="328"/>
        <w:spacing w:after="0" w:line="228"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$90.1 million, compared to $94.1 million, reflecting reduced volume due to lower end-market demand, partially offset by improved pricing and product mix.</w:t>
      </w:r>
    </w:p>
    <w:p>
      <w:pPr>
        <w:spacing w:after="0" w:line="239" w:lineRule="exact"/>
        <w:rPr>
          <w:rFonts w:ascii="Calibri" w:cs="Calibri" w:eastAsia="Calibri" w:hAnsi="Calibri"/>
          <w:sz w:val="20"/>
          <w:szCs w:val="20"/>
          <w:b w:val="1"/>
          <w:bCs w:val="1"/>
          <w:color w:val="auto"/>
        </w:rPr>
      </w:pPr>
    </w:p>
    <w:p>
      <w:pPr>
        <w:jc w:val="both"/>
        <w:ind w:left="660" w:hanging="328"/>
        <w:spacing w:after="0" w:line="238"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$21.1 million, or 23.4% of net sales, compared to $17.4 million, or 18.5% of net sales. The 490 basis point improvement in operating margin was primarily driven by improved pricing and product mix, and lower wages and benefits expense, partially offset by the unfavorable sales leverage impact of lower volume.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spacing w:after="0" w:line="18" w:lineRule="exact"/>
        <w:rPr>
          <w:sz w:val="20"/>
          <w:szCs w:val="20"/>
          <w:color w:val="auto"/>
        </w:rPr>
      </w:pPr>
    </w:p>
    <w:p>
      <w:pPr>
        <w:ind w:left="660" w:right="20" w:hanging="328"/>
        <w:spacing w:after="0" w:line="228" w:lineRule="auto"/>
        <w:tabs>
          <w:tab w:leader="none" w:pos="653" w:val="left"/>
        </w:tabs>
        <w:numPr>
          <w:ilvl w:val="0"/>
          <w:numId w:val="21"/>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$176.8 million, compared to $191.3 million, reflecting lower volume due to lower end-market demand, partially offset by improved pricing and product mix.</w:t>
      </w:r>
    </w:p>
    <w:p>
      <w:pPr>
        <w:spacing w:after="0" w:line="226" w:lineRule="exact"/>
        <w:rPr>
          <w:rFonts w:ascii="Calibri" w:cs="Calibri" w:eastAsia="Calibri" w:hAnsi="Calibri"/>
          <w:sz w:val="20"/>
          <w:szCs w:val="20"/>
          <w:b w:val="1"/>
          <w:bCs w:val="1"/>
          <w:i w:val="1"/>
          <w:iCs w:val="1"/>
          <w:color w:val="auto"/>
        </w:rPr>
      </w:pPr>
    </w:p>
    <w:p>
      <w:pPr>
        <w:jc w:val="both"/>
        <w:ind w:left="660" w:hanging="328"/>
        <w:spacing w:after="0" w:line="244" w:lineRule="auto"/>
        <w:tabs>
          <w:tab w:leader="none" w:pos="653"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$38.2 million, or 21.6% of net sales, compared to $34.0 million, or 17.7% of net sales. The 390 basis point improvement in operating margin was primarily driven by improved pricing and product mix, and lower wages and benefits expense, partially offset by the unfavorable sales leverage impact of lower volume.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ind w:left="640" w:hanging="308"/>
        <w:spacing w:after="0" w:line="210" w:lineRule="auto"/>
        <w:tabs>
          <w:tab w:leader="none" w:pos="640"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$98.0 million, compared to $88.1 million, primarily due to a more favorable mix of projects and increased volume.</w:t>
      </w:r>
    </w:p>
    <w:p>
      <w:pPr>
        <w:spacing w:after="0" w:line="225" w:lineRule="exact"/>
        <w:rPr>
          <w:rFonts w:ascii="Calibri" w:cs="Calibri" w:eastAsia="Calibri" w:hAnsi="Calibri"/>
          <w:sz w:val="20"/>
          <w:szCs w:val="20"/>
          <w:b w:val="1"/>
          <w:bCs w:val="1"/>
          <w:color w:val="auto"/>
        </w:rPr>
      </w:pPr>
    </w:p>
    <w:p>
      <w:pPr>
        <w:jc w:val="both"/>
        <w:ind w:left="660" w:right="20" w:hanging="328"/>
        <w:spacing w:after="0" w:line="244" w:lineRule="auto"/>
        <w:tabs>
          <w:tab w:leader="none" w:pos="653"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$6.1 million, or 6.3% of net sales, compared to $3.5 million, or 4.0% of net sales, primarily driven by a more favorable mix of projects, partially offset by higher compensation-related expenses, higher leasing costs, and the $0.3 million impact of restructuring costs as part of Project Fortify.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ind w:left="640" w:hanging="308"/>
        <w:spacing w:after="0" w:line="227" w:lineRule="auto"/>
        <w:tabs>
          <w:tab w:leader="none" w:pos="640" w:val="left"/>
        </w:tabs>
        <w:numPr>
          <w:ilvl w:val="0"/>
          <w:numId w:val="23"/>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Net sales were $197.0 million, compared to $177.5 million, primarily due to a more favorable mix of projects and increased volume.</w:t>
      </w:r>
    </w:p>
    <w:p>
      <w:pPr>
        <w:spacing w:after="0" w:line="225" w:lineRule="exact"/>
        <w:rPr>
          <w:rFonts w:ascii="Calibri" w:cs="Calibri" w:eastAsia="Calibri" w:hAnsi="Calibri"/>
          <w:sz w:val="20"/>
          <w:szCs w:val="20"/>
          <w:b w:val="1"/>
          <w:bCs w:val="1"/>
          <w:i w:val="1"/>
          <w:iCs w:val="1"/>
          <w:color w:val="auto"/>
        </w:rPr>
      </w:pPr>
    </w:p>
    <w:p>
      <w:pPr>
        <w:jc w:val="both"/>
        <w:ind w:left="660" w:hanging="328"/>
        <w:spacing w:after="0" w:line="238" w:lineRule="auto"/>
        <w:tabs>
          <w:tab w:leader="none" w:pos="653" w:val="left"/>
        </w:tabs>
        <w:numPr>
          <w:ilvl w:val="0"/>
          <w:numId w:val="23"/>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$11.8 million, or 6.0% of net sales, compared to $2.9 million, or 1.6% of net sales, primarily driven by a more favorable mix of projects, partially offset by higher compensation-related expenses, higher leasing costs, and the $0.3 million impact of restructuring costs as part of Project Fortify.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ind w:left="660" w:hanging="328"/>
        <w:spacing w:after="0" w:line="236"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LSO net sales were $19.8 million, compared to $23.6 million, primarily reflecting lower volume in the retail channel, partially offset by a more favorable mix.</w:t>
      </w:r>
    </w:p>
    <w:p>
      <w:pPr>
        <w:spacing w:after="0" w:line="211"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$3.8 million, or 19.1% of net sales, compared to $4.7 million, or 19.7% of net sales. The 60 basis point decline in operating margin primarily reflects the unfavorable sales leverage impact of lower volume, partially offset by improved mix and cost savings.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spacing w:after="0" w:line="18" w:lineRule="exact"/>
        <w:rPr>
          <w:sz w:val="20"/>
          <w:szCs w:val="20"/>
          <w:color w:val="auto"/>
        </w:rPr>
      </w:pPr>
    </w:p>
    <w:p>
      <w:pPr>
        <w:ind w:left="660" w:hanging="328"/>
        <w:spacing w:after="0" w:line="228" w:lineRule="auto"/>
        <w:tabs>
          <w:tab w:leader="none" w:pos="653" w:val="left"/>
        </w:tabs>
        <w:numPr>
          <w:ilvl w:val="0"/>
          <w:numId w:val="25"/>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LSO net sales were $41.0 million, compared to $46.1 million, primarily reflecting lower volume in the retail channel, partially offset by a more favorable mix.</w:t>
      </w:r>
    </w:p>
    <w:p>
      <w:pPr>
        <w:spacing w:after="0" w:line="212" w:lineRule="exact"/>
        <w:rPr>
          <w:rFonts w:ascii="Calibri" w:cs="Calibri" w:eastAsia="Calibri" w:hAnsi="Calibri"/>
          <w:sz w:val="20"/>
          <w:szCs w:val="20"/>
          <w:b w:val="1"/>
          <w:bCs w:val="1"/>
          <w:i w:val="1"/>
          <w:iCs w:val="1"/>
          <w:color w:val="auto"/>
        </w:rPr>
      </w:pPr>
    </w:p>
    <w:p>
      <w:pPr>
        <w:ind w:left="660" w:hanging="328"/>
        <w:spacing w:after="0" w:line="254" w:lineRule="auto"/>
        <w:tabs>
          <w:tab w:leader="none" w:pos="653" w:val="left"/>
        </w:tabs>
        <w:numPr>
          <w:ilvl w:val="0"/>
          <w:numId w:val="25"/>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$8.6 million, or 21.1% of net sales, compared to $10.2 million, or 22.1% of net sales. The 100 basis point decline in operating margin primarily reflects the unfavorable sales leverage impact of lower volume, partially offset by improved mix and cost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Second Quarter Fiscal 2025 to Second Quarter Fiscal 2024</w:t>
      </w:r>
    </w:p>
    <w:p>
      <w:pPr>
        <w:ind w:left="660" w:hanging="328"/>
        <w:spacing w:after="0" w:line="228" w:lineRule="auto"/>
        <w:tabs>
          <w:tab w:leader="none" w:pos="653" w:val="left"/>
        </w:tabs>
        <w:numPr>
          <w:ilvl w:val="0"/>
          <w:numId w:val="2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Corporate and Other expense was $6.2 million, compared to $6.1 million. The increase was primarily driven by higher incentive compensation and benefits costs, partially offset by lower insurance-related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Six Months of Fiscal 2025 to First Six Months of Fiscal 2024</w:t>
      </w:r>
    </w:p>
    <w:p>
      <w:pPr>
        <w:spacing w:after="0" w:line="18" w:lineRule="exact"/>
        <w:rPr>
          <w:sz w:val="20"/>
          <w:szCs w:val="20"/>
          <w:color w:val="auto"/>
        </w:rPr>
      </w:pPr>
    </w:p>
    <w:p>
      <w:pPr>
        <w:ind w:left="660" w:right="20" w:hanging="328"/>
        <w:spacing w:after="0" w:line="236" w:lineRule="auto"/>
        <w:tabs>
          <w:tab w:leader="none" w:pos="653" w:val="left"/>
        </w:tabs>
        <w:numPr>
          <w:ilvl w:val="0"/>
          <w:numId w:val="27"/>
        </w:numPr>
        <w:rPr>
          <w:rFonts w:ascii="Calibri" w:cs="Calibri" w:eastAsia="Calibri" w:hAnsi="Calibri"/>
          <w:sz w:val="20"/>
          <w:szCs w:val="20"/>
          <w:b w:val="1"/>
          <w:bCs w:val="1"/>
          <w:i w:val="1"/>
          <w:iCs w:val="1"/>
          <w:color w:val="auto"/>
        </w:rPr>
      </w:pPr>
      <w:r>
        <w:rPr>
          <w:rFonts w:ascii="Times New Roman" w:cs="Times New Roman" w:eastAsia="Times New Roman" w:hAnsi="Times New Roman"/>
          <w:sz w:val="18"/>
          <w:szCs w:val="18"/>
          <w:color w:val="auto"/>
        </w:rPr>
        <w:t>Corporate and Other expense was $10.7 million, compared to $13.8 million, primarily due to lower insurance-related costs, partially offset by incentive compensation and benefits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most meaningful for Architectural Services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August 31, 2024, segment backlog was approximately $792.1 million, compared to approximately $866.9 million at the end of the prior quarter. The decrease in backlog compared to the prior quarter was primarily driven by executing more project work in the quarter than securing new project awards that were added to backlog. Our backlog in this segment tends to vary significantly given the variable timing and relatively large size of projects awarded.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operating income, adjusted operating margin, adjusted net earnings, adjusted diluted earnings per share (adjusted diluted EPS), adjusted net earnings before interest, taxes, depreciation and amortization (adjusted EBITDA), and adjusted EBITDA margin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221" w:lineRule="exact"/>
        <w:rPr>
          <w:sz w:val="20"/>
          <w:szCs w:val="20"/>
          <w:color w:val="auto"/>
        </w:rPr>
      </w:pPr>
    </w:p>
    <w:p>
      <w:pPr>
        <w:jc w:val="both"/>
        <w:ind w:left="660" w:hanging="328"/>
        <w:spacing w:after="0" w:line="238" w:lineRule="auto"/>
        <w:tabs>
          <w:tab w:leader="none" w:pos="653" w:val="left"/>
        </w:tabs>
        <w:numPr>
          <w:ilvl w:val="0"/>
          <w:numId w:val="2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use adjusted operating income, adjusted operating margin, adjusted net earnings, and adjusted diluted EPS to provide meaningful supplemental information about our operating performance by excluding amounts that are not considered part of core operating results to enhance comparability of results from period to period.</w:t>
      </w:r>
    </w:p>
    <w:p>
      <w:pPr>
        <w:spacing w:after="0" w:line="1" w:lineRule="exact"/>
        <w:rPr>
          <w:rFonts w:ascii="Calibri" w:cs="Calibri" w:eastAsia="Calibri" w:hAnsi="Calibri"/>
          <w:sz w:val="20"/>
          <w:szCs w:val="20"/>
          <w:b w:val="1"/>
          <w:bCs w:val="1"/>
          <w:color w:val="auto"/>
        </w:rPr>
      </w:pPr>
    </w:p>
    <w:p>
      <w:pPr>
        <w:ind w:left="660" w:hanging="328"/>
        <w:spacing w:after="0" w:line="228" w:lineRule="auto"/>
        <w:tabs>
          <w:tab w:leader="none" w:pos="653" w:val="left"/>
        </w:tabs>
        <w:numPr>
          <w:ilvl w:val="0"/>
          <w:numId w:val="2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believe adjusted EBITDA and adjusted EBITDA margin metrics provide useful information to investors and analysts about our core operating performance.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U.S. GAAP. Other companies may calculate these measures differently, thereby limiting the usefulness of the measures for comparison with other companies.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Operating Income and Adjusted Operating Margin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(Unaudited)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August 31, 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17,141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41,965</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34"/>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43,144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4"/>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August 26, 2023</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(6,123)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40,553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20" w:right="20" w:hanging="346"/>
        <w:spacing w:after="0" w:line="182" w:lineRule="auto"/>
        <w:tabs>
          <w:tab w:leader="none" w:pos="520" w:val="left"/>
        </w:tabs>
        <w:numPr>
          <w:ilvl w:val="0"/>
          <w:numId w:val="29"/>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Restructuring charges related to Project Fortify, including $0.5 million of employee termination costs, $0.1 million of contract termination costs and $0.6 million of other costs incurred in the second quarter of fiscal 2025.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August 31, 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4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00" w:type="dxa"/>
            <w:vAlign w:val="bottom"/>
            <w:gridSpan w:val="2"/>
            <w:vMerge w:val="continue"/>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35,477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(10,682)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83,346</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r>
        <w:trPr>
          <w:trHeight w:val="235"/>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(10,553)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85,647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5"/>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August 26, 2023</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4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41,005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(13,751)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74,320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20" w:right="20" w:hanging="346"/>
        <w:spacing w:after="0" w:line="180" w:lineRule="auto"/>
        <w:tabs>
          <w:tab w:leader="none" w:pos="520" w:val="left"/>
        </w:tabs>
        <w:numPr>
          <w:ilvl w:val="0"/>
          <w:numId w:val="3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Restructuring charges related to Project Fortify, including $0.9 million of employee termination costs, $0.1 million of contract termination costs and $1.3 million of other costs incurred in the first six months of fiscal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(Unaudited)</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16"/>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56,903</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NMTC Settlement Gain</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9"/>
                <w:szCs w:val="19"/>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NMTC Settlement Gain</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3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for EPS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22,105</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460" w:right="100" w:hanging="367"/>
        <w:spacing w:after="0" w:line="234" w:lineRule="auto"/>
        <w:tabs>
          <w:tab w:leader="none" w:pos="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$0.5 million of employee termination costs, $0.1 million of contract termination costs and $0.6 million of other costs incurred in the second quarter of fiscal 2025, and $0.9 million of employee termination costs, $0.1 million of contract termination costs and $1.3 million of other costs incurred in the first six months of fiscal 2025.</w:t>
      </w:r>
    </w:p>
    <w:p>
      <w:pPr>
        <w:spacing w:after="0" w:line="15" w:lineRule="exact"/>
        <w:rPr>
          <w:rFonts w:ascii="Times New Roman" w:cs="Times New Roman" w:eastAsia="Times New Roman" w:hAnsi="Times New Roman"/>
          <w:sz w:val="14"/>
          <w:szCs w:val="14"/>
          <w:color w:val="auto"/>
        </w:rPr>
      </w:pPr>
    </w:p>
    <w:p>
      <w:pPr>
        <w:ind w:left="460" w:hanging="367"/>
        <w:spacing w:after="0"/>
        <w:tabs>
          <w:tab w:leader="none" w:pos="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income, net.</w:t>
      </w:r>
    </w:p>
    <w:p>
      <w:pPr>
        <w:spacing w:after="0" w:line="41" w:lineRule="exact"/>
        <w:rPr>
          <w:rFonts w:ascii="Times New Roman" w:cs="Times New Roman" w:eastAsia="Times New Roman" w:hAnsi="Times New Roman"/>
          <w:sz w:val="14"/>
          <w:szCs w:val="14"/>
          <w:color w:val="auto"/>
        </w:rPr>
      </w:pPr>
    </w:p>
    <w:p>
      <w:pPr>
        <w:ind w:left="460" w:right="80" w:hanging="367"/>
        <w:spacing w:after="0" w:line="241" w:lineRule="auto"/>
        <w:tabs>
          <w:tab w:leader="none" w:pos="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calculated using an estimated statutory tax rate of 24.5%, which reflects the estimated blended statutory tax rate for the jurisdictions in which the charge or income occurred.</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10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August 26, 2023</w:t>
            </w:r>
          </w:p>
        </w:tc>
        <w:tc>
          <w:tcPr>
            <w:tcW w:w="0" w:type="dxa"/>
            <w:vAlign w:val="bottom"/>
          </w:tcPr>
          <w:p>
            <w:pPr>
              <w:spacing w:after="0"/>
              <w:rPr>
                <w:sz w:val="1"/>
                <w:szCs w:val="1"/>
                <w:color w:val="auto"/>
              </w:rPr>
            </w:pPr>
          </w:p>
        </w:tc>
      </w:tr>
      <w:tr>
        <w:trPr>
          <w:trHeight w:val="21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30,566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56,903</w:t>
            </w:r>
          </w:p>
        </w:tc>
        <w:tc>
          <w:tcPr>
            <w:tcW w:w="0" w:type="dxa"/>
            <w:vAlign w:val="bottom"/>
          </w:tcPr>
          <w:p>
            <w:pPr>
              <w:spacing w:after="0"/>
              <w:rPr>
                <w:sz w:val="1"/>
                <w:szCs w:val="1"/>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9,896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17,763</w:t>
            </w:r>
          </w:p>
        </w:tc>
        <w:tc>
          <w:tcPr>
            <w:tcW w:w="0" w:type="dxa"/>
            <w:vAlign w:val="bottom"/>
          </w:tcPr>
          <w:p>
            <w:pPr>
              <w:spacing w:after="0"/>
              <w:rPr>
                <w:sz w:val="1"/>
                <w:szCs w:val="1"/>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4,266</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9,688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10,379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19,664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20,661</w:t>
            </w:r>
          </w:p>
        </w:tc>
        <w:tc>
          <w:tcPr>
            <w:tcW w:w="0" w:type="dxa"/>
            <w:vAlign w:val="bottom"/>
          </w:tcPr>
          <w:p>
            <w:pPr>
              <w:spacing w:after="0"/>
              <w:rPr>
                <w:sz w:val="1"/>
                <w:szCs w:val="1"/>
                <w:color w:val="auto"/>
              </w:rPr>
            </w:pPr>
          </w:p>
        </w:tc>
      </w:tr>
      <w:tr>
        <w:trPr>
          <w:trHeight w:val="21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51,943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55,832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99,593</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NMTC Settlement Gain</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1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53,122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51,145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105,744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94,906</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00" w:right="100" w:hanging="374"/>
        <w:spacing w:after="0" w:line="234" w:lineRule="auto"/>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$0.5 million of employee termination costs, $0.1 million of contract termination costs and $0.6 million of other costs incurred in the second quarter of fiscal 2025, and $0.9 million of employee termination costs, $0.1 million of contract termination costs and $1.3 million of other costs incurred in the first six months of fiscal 2025.</w:t>
      </w:r>
    </w:p>
    <w:p>
      <w:pPr>
        <w:spacing w:after="0" w:line="15"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 of a New Markets Tax Credit (NMTC) benefit during the second quarter of fiscal 2024, which was recorded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$64.1 million for the first six months of fiscal 2025, compared to $62.6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The increase was primarily driven by increased net earnings and decreased cash payments for incentive compensation, partially offset by increased cash used for working capital.</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$15.5 million for the first six months of fiscal 2025, compared to $15.1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primarily related to capital expenditures in both periods.</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$34.6 million for the first six months of fiscal 2025, compared to $50.1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period. The decrease in cash used for financing activities was primarily driven by lower net debt repayments, partially offset by debt issuance costs related to our new credit agreement and increased share repurchases.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19, 2024, we entered into a Credit Agreement (the Credit Agreement) with Bank of America, N.A., as administrative agent, and other lenders. The Credit Agreement provides for an unsecured senior credit facility in an aggregate principal amount of up to $700.0 million, in which commitments are available through a $450.0 million, five-year revolving credit facility and a committed $250.0 million delayed draw term loan facility. Borrowings under the revolving credit facility can be in Canadian dollars (CAD) limited to $25.0 million USD. The term loan facility may be borrowed in up to two drawdowns, which are available to be made within one year after the closing date. The senior credit facility has a term of five years with a maturity date of July 19, 2029. Outstanding borrowings under the revolving credit facility were $50.0 million as of August 31, 2024. As of August 31, 2024, the term loan facility had not been drawn.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Credit Agreement replaces the previous revolving credit facility with Wells Fargo Bank, N.A., as administrative agent, and other lenders, with maximum borrowings up to $385.0 million, and the two Canadian credit facilities with Bank of Montreal totaling $25.0 million USD. Outstanding borrowings under the previous revolving credit facility were $50.0 million as of March 2, 2024. We had no outstanding borrowings under the Canadian facilities as of March 2, 2024.</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 transaction, in the second quarter of fiscal 2025, we recognized a loss on extinguishment of debt within interest expense of $0.5 million for the write-off of unamortized financing fees related to the previous revolving credit facility. Additionally, we capitalized $3.0 million of lender fees and $0.6 million of third-party fees incurred in connection with the Credit Agreement, which were recorded as other non-current assets and will be amortized over the term of the credit facility as interest expense.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August 31, 2024, we were in compliance with all covenants as defined under the terms of the Credit Agreement.</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Credit Agreement also contains an acquisition “holiday.” In the event we make an acquisition for which the purchase price is greater than $75 million, we can elect to increase the maximum Consolidated Leverage Ratio (as defined in the Credit Agreement) to 4.00 for a period of four consecutive fiscal quarters, commencing with the fiscal quarter in which a qualifying acquisition occurs. No more than two acquisition holidays can occur during the term of the Credit Agreement, and at least two fiscal quarters must separate qualifying acquisitions.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in each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an “accordion” provision. Under this provision, we can request that the senior credit facility be increased by unlimited additional amounts. Any lender may elect or decline to participate in the requested increase at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31, 2024, we had a total of $42.5 million of ongoing letters of credit related to the senior credit facility and industrial revenue bonds, construction contracts and insurance collateral that expire in fiscal years 2026 through 2032 and reduce borrowing capacity under the revolving credit facility. As of August 31, 2024, the amount available for revolving borrowings was $357.5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$48.1 million at August 31, 2024, with $7.1 million payable during the remainder of fiscal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31, 2024, we had $14.2 million of open purchase obligations, of which payments totaling $9.3 million are expected to become due during the remainder of fiscal 2025.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$0.4 million to our defined-benefit pension plans in fiscal 2025,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2024, we had reserves of $5.6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August 31, 2024, $1.2 billion of these types of bonds were outstanding, of which $366.0 million is in our backlog. These bonds have expiration dates that align with completion of the purchase order or contract. We have not been required to make any payments under these bonds with respect to our existing businesses.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2,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March 2, 2024.</w:t>
      </w:r>
    </w:p>
    <w:p>
      <w:pPr>
        <w:spacing w:after="0" w:line="2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March 2, 2024 for a discussion of the Company’s market risk. There have been no material changes in market risk since March 2,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August 31, 2024,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2, 2024.</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second quarter of fiscal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 2024 to June 29, 2024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2024 to July 27,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28, 2024 to August 31, 2024</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1"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surrendered to us by plan participants to satisfy withholding tax obligations related to share-based compensation. We did not purchase any shares pursuant to our publicly announced repurchase program during the fiscal quarter.</w:t>
      </w:r>
    </w:p>
    <w:p>
      <w:pPr>
        <w:jc w:val="both"/>
        <w:ind w:left="340" w:hanging="332"/>
        <w:spacing w:after="0" w:line="264"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August 31, 2024, none of our directors or officers (as defined in Rule 16a-1(f) of the Exchange Act) adopted or terminated any “Rule 10b5-1 trading arrangement” or any “non-Rule 10b5-1 trading arrangement”, as each term is defined in Item 408(c) of Regulation S-K.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3"/>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44">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80" w:type="dxa"/>
            <w:vAlign w:val="bottom"/>
            <w:tcBorders>
              <w:top w:val="single" w:sz="8" w:color="0000FF"/>
            </w:tcBorders>
            <w:gridSpan w:val="17"/>
          </w:tcPr>
          <w:p>
            <w:pPr>
              <w:ind w:left="20"/>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on Form 8-K filed on January 16, 2020.</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10"/>
            <w:shd w:val="clear" w:color="auto" w:fill="CCEEFF"/>
          </w:tcPr>
          <w:p>
            <w:pPr>
              <w:ind w:left="20"/>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Report on Form 10-Q filed on July 1,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Apogee Enterprises, Inc. 2019 Non-Employee Director Stock Plan as Amended and Restated (2024). Incorporated by reference to</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40" w:type="dxa"/>
            <w:vAlign w:val="bottom"/>
            <w:tcBorders>
              <w:top w:val="single" w:sz="8" w:color="0000FF"/>
            </w:tcBorders>
            <w:gridSpan w:val="16"/>
          </w:tcPr>
          <w:p>
            <w:pPr>
              <w:ind w:left="20"/>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Exhibit 4.5 to Apogee’s Registration Statement on Form S-8 filed on June 20, 2024.</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Credit Agreement dated July 19, 2024 between Apogee Enterprises, Inc., certain material domestic subsidiaries of the Company as</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2"/>
            <w:shd w:val="clear" w:color="auto" w:fill="CCEEFF"/>
          </w:tcPr>
          <w:p>
            <w:pPr>
              <w:ind w:left="20"/>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guarantors, Bank of America, N.A., as administrative agent, swingline lender and L/C issuer and the syndicate of lenders which are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9640" w:type="dxa"/>
            <w:vAlign w:val="bottom"/>
            <w:tcBorders>
              <w:top w:val="single" w:sz="8" w:color="0000FF"/>
              <w:bottom w:val="single" w:sz="8" w:color="0000FF"/>
            </w:tcBorders>
            <w:gridSpan w:val="11"/>
            <w:shd w:val="clear" w:color="auto" w:fill="CCEEFF"/>
          </w:tcPr>
          <w:p>
            <w:pPr>
              <w:ind w:left="20"/>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party thereto from time to time. Incorporated by reference to Exhibit 10.1 to Registrant's Current Report on Form 8-K filed on July</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25, 2024.</w:t>
              </w:r>
            </w:hyperlink>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Membership Interest Purchase Agreement, dated as of September 23, 2024, by and among UW Holdings, LLC, UW Interco, LLC</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tcBorders>
            <w:gridSpan w:val="14"/>
          </w:tcPr>
          <w:p>
            <w:pPr>
              <w:ind w:left="20"/>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and Apogee Enterprises, Inc. Incorporate by reference to Exhibit 2.1 to Registrant's Current Report on Form 8-K filed on September</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Borders>
              <w:top w:val="single" w:sz="8" w:color="0000FF"/>
            </w:tcBorders>
            <w:gridSpan w:val="2"/>
          </w:tcPr>
          <w:p>
            <w:pPr>
              <w:ind w:left="20"/>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25, 2024.</w:t>
              </w:r>
            </w:hyperlink>
          </w:p>
        </w:tc>
        <w:tc>
          <w:tcPr>
            <w:tcW w:w="8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19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 w:type="dxa"/>
            <w:vAlign w:val="bottom"/>
            <w:shd w:val="clear" w:color="auto" w:fill="CCEEFF"/>
          </w:tcPr>
          <w:p>
            <w:pPr>
              <w:spacing w:after="0"/>
              <w:rPr>
                <w:sz w:val="18"/>
                <w:szCs w:val="18"/>
                <w:color w:val="auto"/>
              </w:rPr>
            </w:pPr>
          </w:p>
        </w:tc>
        <w:tc>
          <w:tcPr>
            <w:tcW w:w="9780" w:type="dxa"/>
            <w:vAlign w:val="bottom"/>
            <w:tcBorders>
              <w:right w:val="single" w:sz="8" w:color="CCEE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20" w:type="dxa"/>
            <w:vAlign w:val="bottom"/>
            <w:tcBorders>
              <w:top w:val="single" w:sz="8" w:color="CCEEFF"/>
            </w:tcBorders>
          </w:tcPr>
          <w:p>
            <w:pPr>
              <w:spacing w:after="0"/>
              <w:rPr>
                <w:sz w:val="16"/>
                <w:szCs w:val="16"/>
                <w:color w:val="auto"/>
              </w:rPr>
            </w:pPr>
          </w:p>
        </w:tc>
        <w:tc>
          <w:tcPr>
            <w:tcW w:w="8040" w:type="dxa"/>
            <w:vAlign w:val="bottom"/>
            <w:tcBorders>
              <w:top w:val="single" w:sz="8" w:color="0000FF"/>
            </w:tcBorders>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c>
          <w:tcPr>
            <w:tcW w:w="1740" w:type="dxa"/>
            <w:vAlign w:val="bottom"/>
            <w:tcBorders>
              <w:top w:val="single" w:sz="8" w:color="CCEEFF"/>
            </w:tcBorders>
            <w:gridSpan w:val="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16"/>
                <w:szCs w:val="16"/>
                <w:color w:val="auto"/>
              </w:rPr>
            </w:pPr>
          </w:p>
        </w:tc>
        <w:tc>
          <w:tcPr>
            <w:tcW w:w="978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20" w:type="dxa"/>
            <w:vAlign w:val="bottom"/>
            <w:tcBorders>
              <w:top w:val="single" w:sz="8" w:color="0000FF"/>
            </w:tcBorders>
            <w:gridSpan w:val="15"/>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August 31, 2024,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August 31, 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and March 2, 2024, (ii) the Consolidated Results of Operations for the three- and six-months ended August 31, 2024 and August 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2023, (iii) the Consolidated Statements of Comprehensive Earnings for the three- and six-months ended August 31, 2024 and August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26, 2023, (iv) the Consolidated Statements of Cash Flows for the six-months ended August 31, 2024 and August 26, 2023, (v)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780" w:type="dxa"/>
            <w:vAlign w:val="bottom"/>
            <w:tcBorders>
              <w:right w:val="single" w:sz="8" w:color="CCEEFF"/>
            </w:tcBorders>
            <w:gridSpan w:val="1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Shareholders' Equity for the three- and six-months ended August 31, 2024 and August 26, 2023, and (vi)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780" w:type="dxa"/>
            <w:vAlign w:val="bottom"/>
            <w:tcBorders>
              <w:righ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19"/>
                <w:szCs w:val="19"/>
                <w:color w:val="auto"/>
              </w:rPr>
            </w:pPr>
          </w:p>
        </w:tc>
        <w:tc>
          <w:tcPr>
            <w:tcW w:w="97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780" w:type="dxa"/>
            <w:vAlign w:val="bottom"/>
            <w:tcBorders>
              <w:righ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700" w:type="dxa"/>
            <w:vAlign w:val="bottom"/>
          </w:tcPr>
          <w:p>
            <w:pPr>
              <w:spacing w:after="0"/>
              <w:rPr>
                <w:sz w:val="24"/>
                <w:szCs w:val="24"/>
                <w:color w:val="auto"/>
              </w:rPr>
            </w:pPr>
          </w:p>
        </w:tc>
        <w:tc>
          <w:tcPr>
            <w:tcW w:w="6780" w:type="dxa"/>
            <w:vAlign w:val="bottom"/>
            <w:gridSpan w:val="7"/>
          </w:tcPr>
          <w:p>
            <w:pPr>
              <w:jc w:val="right"/>
              <w:ind w:right="1760"/>
              <w:spacing w:after="0"/>
              <w:rPr>
                <w:sz w:val="20"/>
                <w:szCs w:val="20"/>
                <w:color w:val="auto"/>
              </w:rPr>
            </w:pPr>
            <w:r>
              <w:rPr>
                <w:rFonts w:ascii="Times New Roman" w:cs="Times New Roman" w:eastAsia="Times New Roman" w:hAnsi="Times New Roman"/>
                <w:sz w:val="18"/>
                <w:szCs w:val="18"/>
                <w:color w:val="auto"/>
              </w:rPr>
              <w:t>30</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October 4, 2024</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October 4, 2024</w:t>
      </w:r>
      <w:r>
        <w:rPr>
          <w:sz w:val="20"/>
          <w:szCs w:val="20"/>
          <w:color w:val="auto"/>
        </w:rPr>
        <w:tab/>
      </w:r>
      <w:r>
        <w:rPr>
          <w:rFonts w:ascii="Times New Roman" w:cs="Times New Roman" w:eastAsia="Times New Roman" w:hAnsi="Times New Roman"/>
          <w:sz w:val="17"/>
          <w:szCs w:val="17"/>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Matthew J. Osberg</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2024</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4, 2024</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J. Osberg</w:t>
      </w:r>
    </w:p>
    <w:p>
      <w:pPr>
        <w:ind w:left="6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31, 2024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4, 2024</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31, 2024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4,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1."/>
      <w:numFmt w:val="decimal"/>
      <w:start w:val="7"/>
    </w:lvl>
  </w:abstractNum>
  <w:abstractNum w:abstractNumId="7">
    <w:nsid w:val="2D1D5AE9"/>
    <w:multiLevelType w:val="hybridMultilevel"/>
    <w:lvl w:ilvl="0">
      <w:lvlJc w:val="left"/>
      <w:lvlText w:val="%1."/>
      <w:numFmt w:val="decimal"/>
      <w:start w:val="8"/>
    </w:lvl>
  </w:abstractNum>
  <w:abstractNum w:abstractNumId="8">
    <w:nsid w:val="6763845E"/>
    <w:multiLevelType w:val="hybridMultilevel"/>
    <w:lvl w:ilvl="0">
      <w:lvlJc w:val="left"/>
      <w:lvlText w:val="%1."/>
      <w:numFmt w:val="decimal"/>
      <w:start w:val="9"/>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44" Type="http://schemas.openxmlformats.org/officeDocument/2006/relationships/hyperlink" Target="https://www.sec.gov/Archives/edgar/data/6845/000119312504079352/dex31.htm" TargetMode="External"/><Relationship Id="rId45" Type="http://schemas.openxmlformats.org/officeDocument/2006/relationships/hyperlink" Target="https://www.sec.gov/Archives/edgar/data/6845/000119312520008887/d874518dex31.htm" TargetMode="External"/><Relationship Id="rId46" Type="http://schemas.openxmlformats.org/officeDocument/2006/relationships/hyperlink" Target="https://www.sec.gov/Archives/edgar/data/0000006845/000000684521000020/apog-ex33arbylawsfinalapri.htm" TargetMode="External"/><Relationship Id="rId47" Type="http://schemas.openxmlformats.org/officeDocument/2006/relationships/hyperlink" Target="https://www.sec.gov/Archives/edgar/data/6845/000000684524000182/exhibit45plan.htm" TargetMode="External"/><Relationship Id="rId48" Type="http://schemas.openxmlformats.org/officeDocument/2006/relationships/hyperlink" Target="https://www.sec.gov/Archives/edgar/data/6845/000000684524000227/ex101creditagreement-2024x.htm" TargetMode="External"/><Relationship Id="rId49" Type="http://schemas.openxmlformats.org/officeDocument/2006/relationships/hyperlink" Target="https://www.sec.gov/Archives/edgar/data/6845/000000684524000238/ex21husky-membershipinte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2024-10-04T13:21:32Z</dcterms:created>
  <dcterms:modified xsi:type="dcterms:W3CDTF">2024-10-04T13:21:32Z</dcterms:modified>
</cp:coreProperties>
</file>