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1, 2019</w:t>
      </w:r>
    </w:p>
    <w:p>
      <w:pPr>
        <w:spacing w:after="0" w:line="270" w:lineRule="exact"/>
        <w:rPr>
          <w:sz w:val="24"/>
          <w:szCs w:val="24"/>
          <w:color w:val="auto"/>
        </w:rPr>
      </w:pPr>
    </w:p>
    <w:p>
      <w:pPr>
        <w:ind w:left="720" w:right="30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6280" w:type="dxa"/>
            <w:vAlign w:val="bottom"/>
          </w:tcPr>
          <w:p>
            <w:pPr>
              <w:jc w:val="center"/>
              <w:ind w:left="1763"/>
              <w:spacing w:after="0"/>
              <w:rPr>
                <w:sz w:val="20"/>
                <w:szCs w:val="20"/>
                <w:color w:val="auto"/>
              </w:rPr>
            </w:pPr>
            <w:r>
              <w:rPr>
                <w:rFonts w:ascii="Arial" w:cs="Arial" w:eastAsia="Arial" w:hAnsi="Arial"/>
                <w:sz w:val="18"/>
                <w:szCs w:val="18"/>
                <w:b w:val="1"/>
                <w:bCs w:val="1"/>
                <w:color w:val="auto"/>
                <w:w w:val="90"/>
              </w:rPr>
              <w:t>Commission File Number: 0-6365</w:t>
            </w:r>
          </w:p>
        </w:tc>
        <w:tc>
          <w:tcPr>
            <w:tcW w:w="1300" w:type="dxa"/>
            <w:vAlign w:val="bottom"/>
          </w:tcPr>
          <w:p>
            <w:pPr>
              <w:spacing w:after="0"/>
              <w:rPr>
                <w:sz w:val="20"/>
                <w:szCs w:val="20"/>
                <w:color w:val="auto"/>
              </w:rPr>
            </w:pPr>
          </w:p>
        </w:tc>
      </w:tr>
      <w:tr>
        <w:trPr>
          <w:trHeight w:val="270"/>
        </w:trPr>
        <w:tc>
          <w:tcPr>
            <w:tcW w:w="6280" w:type="dxa"/>
            <w:vAlign w:val="bottom"/>
          </w:tcPr>
          <w:p>
            <w:pPr>
              <w:jc w:val="center"/>
              <w:ind w:left="172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3"/>
                <w:szCs w:val="23"/>
                <w:color w:val="auto"/>
              </w:rPr>
            </w:pPr>
          </w:p>
        </w:tc>
      </w:tr>
      <w:tr>
        <w:trPr>
          <w:trHeight w:val="576"/>
        </w:trPr>
        <w:tc>
          <w:tcPr>
            <w:tcW w:w="7580" w:type="dxa"/>
            <w:vAlign w:val="bottom"/>
            <w:gridSpan w:val="2"/>
          </w:tcPr>
          <w:p>
            <w:pPr>
              <w:jc w:val="center"/>
              <w:ind w:left="463"/>
              <w:spacing w:after="0"/>
              <w:rPr>
                <w:sz w:val="20"/>
                <w:szCs w:val="20"/>
                <w:color w:val="auto"/>
              </w:rPr>
            </w:pPr>
            <w:r>
              <w:rPr>
                <w:rFonts w:ascii="Arial" w:cs="Arial" w:eastAsia="Arial" w:hAnsi="Arial"/>
                <w:sz w:val="43"/>
                <w:szCs w:val="43"/>
                <w:b w:val="1"/>
                <w:bCs w:val="1"/>
                <w:color w:val="auto"/>
                <w:w w:val="99"/>
              </w:rPr>
              <w:t>APOGEE ENTERPRISES, INC.</w:t>
            </w:r>
          </w:p>
        </w:tc>
      </w:tr>
      <w:tr>
        <w:trPr>
          <w:trHeight w:val="220"/>
        </w:trPr>
        <w:tc>
          <w:tcPr>
            <w:tcW w:w="6280" w:type="dxa"/>
            <w:vAlign w:val="bottom"/>
          </w:tcPr>
          <w:p>
            <w:pPr>
              <w:jc w:val="center"/>
              <w:ind w:left="176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9"/>
                <w:szCs w:val="19"/>
                <w:color w:val="auto"/>
              </w:rPr>
            </w:pPr>
          </w:p>
        </w:tc>
      </w:tr>
      <w:tr>
        <w:trPr>
          <w:trHeight w:val="230"/>
        </w:trPr>
        <w:tc>
          <w:tcPr>
            <w:tcW w:w="6280" w:type="dxa"/>
            <w:vAlign w:val="bottom"/>
          </w:tcPr>
          <w:p>
            <w:pPr>
              <w:jc w:val="center"/>
              <w:ind w:left="180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0"/>
                <w:szCs w:val="20"/>
                <w:color w:val="auto"/>
              </w:rPr>
            </w:pPr>
          </w:p>
        </w:tc>
      </w:tr>
      <w:tr>
        <w:trPr>
          <w:trHeight w:val="378"/>
        </w:trPr>
        <w:tc>
          <w:tcPr>
            <w:tcW w:w="6280" w:type="dxa"/>
            <w:vAlign w:val="bottom"/>
          </w:tcPr>
          <w:p>
            <w:pPr>
              <w:jc w:val="center"/>
              <w:ind w:right="3623"/>
              <w:spacing w:after="0"/>
              <w:rPr>
                <w:sz w:val="20"/>
                <w:szCs w:val="20"/>
                <w:color w:val="auto"/>
              </w:rPr>
            </w:pPr>
            <w:r>
              <w:rPr>
                <w:rFonts w:ascii="Arial" w:cs="Arial" w:eastAsia="Arial" w:hAnsi="Arial"/>
                <w:sz w:val="18"/>
                <w:szCs w:val="18"/>
                <w:b w:val="1"/>
                <w:bCs w:val="1"/>
                <w:color w:val="auto"/>
                <w:w w:val="89"/>
              </w:rPr>
              <w:t>Minnesota</w:t>
            </w:r>
          </w:p>
        </w:tc>
        <w:tc>
          <w:tcPr>
            <w:tcW w:w="1300" w:type="dxa"/>
            <w:vAlign w:val="bottom"/>
          </w:tcPr>
          <w:p>
            <w:pPr>
              <w:jc w:val="right"/>
              <w:ind w:right="21"/>
              <w:spacing w:after="0"/>
              <w:rPr>
                <w:sz w:val="20"/>
                <w:szCs w:val="20"/>
                <w:color w:val="auto"/>
              </w:rPr>
            </w:pPr>
            <w:r>
              <w:rPr>
                <w:rFonts w:ascii="Arial" w:cs="Arial" w:eastAsia="Arial" w:hAnsi="Arial"/>
                <w:sz w:val="18"/>
                <w:szCs w:val="18"/>
                <w:b w:val="1"/>
                <w:bCs w:val="1"/>
                <w:color w:val="auto"/>
              </w:rPr>
              <w:t>41-0919654</w:t>
            </w:r>
          </w:p>
        </w:tc>
      </w:tr>
      <w:tr>
        <w:trPr>
          <w:trHeight w:val="184"/>
        </w:trPr>
        <w:tc>
          <w:tcPr>
            <w:tcW w:w="6280" w:type="dxa"/>
            <w:vAlign w:val="bottom"/>
          </w:tcPr>
          <w:p>
            <w:pPr>
              <w:jc w:val="center"/>
              <w:ind w:right="3623"/>
              <w:spacing w:after="0"/>
              <w:rPr>
                <w:sz w:val="20"/>
                <w:szCs w:val="20"/>
                <w:color w:val="auto"/>
              </w:rPr>
            </w:pPr>
            <w:r>
              <w:rPr>
                <w:rFonts w:ascii="Arial" w:cs="Arial" w:eastAsia="Arial" w:hAnsi="Arial"/>
                <w:sz w:val="14"/>
                <w:szCs w:val="14"/>
                <w:color w:val="auto"/>
                <w:w w:val="95"/>
              </w:rPr>
              <w:t>(State or other jurisdiction of</w:t>
            </w:r>
          </w:p>
        </w:tc>
        <w:tc>
          <w:tcPr>
            <w:tcW w:w="1300" w:type="dxa"/>
            <w:vAlign w:val="bottom"/>
          </w:tcPr>
          <w:p>
            <w:pPr>
              <w:jc w:val="center"/>
              <w:ind w:left="161"/>
              <w:spacing w:after="0"/>
              <w:rPr>
                <w:sz w:val="20"/>
                <w:szCs w:val="20"/>
                <w:color w:val="auto"/>
              </w:rPr>
            </w:pPr>
            <w:r>
              <w:rPr>
                <w:rFonts w:ascii="Arial" w:cs="Arial" w:eastAsia="Arial" w:hAnsi="Arial"/>
                <w:sz w:val="14"/>
                <w:szCs w:val="14"/>
                <w:color w:val="auto"/>
                <w:w w:val="95"/>
              </w:rPr>
              <w:t>(I.R.S. Employer</w:t>
            </w:r>
          </w:p>
        </w:tc>
      </w:tr>
      <w:tr>
        <w:trPr>
          <w:trHeight w:val="182"/>
        </w:trPr>
        <w:tc>
          <w:tcPr>
            <w:tcW w:w="6280" w:type="dxa"/>
            <w:vAlign w:val="bottom"/>
          </w:tcPr>
          <w:p>
            <w:pPr>
              <w:jc w:val="center"/>
              <w:ind w:right="3623"/>
              <w:spacing w:after="0"/>
              <w:rPr>
                <w:sz w:val="20"/>
                <w:szCs w:val="20"/>
                <w:color w:val="auto"/>
              </w:rPr>
            </w:pPr>
            <w:r>
              <w:rPr>
                <w:rFonts w:ascii="Arial" w:cs="Arial" w:eastAsia="Arial" w:hAnsi="Arial"/>
                <w:sz w:val="14"/>
                <w:szCs w:val="14"/>
                <w:color w:val="auto"/>
                <w:w w:val="94"/>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9"/>
              </w:rPr>
              <w:t>Identification No.)</w:t>
            </w:r>
          </w:p>
        </w:tc>
      </w:tr>
      <w:tr>
        <w:trPr>
          <w:trHeight w:val="358"/>
        </w:trPr>
        <w:tc>
          <w:tcPr>
            <w:tcW w:w="6280" w:type="dxa"/>
            <w:vAlign w:val="bottom"/>
          </w:tcPr>
          <w:p>
            <w:pPr>
              <w:jc w:val="center"/>
              <w:ind w:right="3623"/>
              <w:spacing w:after="0"/>
              <w:rPr>
                <w:sz w:val="20"/>
                <w:szCs w:val="20"/>
                <w:color w:val="auto"/>
              </w:rPr>
            </w:pPr>
            <w:r>
              <w:rPr>
                <w:rFonts w:ascii="Arial" w:cs="Arial" w:eastAsia="Arial" w:hAnsi="Arial"/>
                <w:sz w:val="18"/>
                <w:szCs w:val="18"/>
                <w:b w:val="1"/>
                <w:bCs w:val="1"/>
                <w:color w:val="auto"/>
                <w:w w:val="88"/>
              </w:rPr>
              <w:t>4400 West 78</w:t>
            </w:r>
            <w:r>
              <w:rPr>
                <w:rFonts w:ascii="Arial" w:cs="Arial" w:eastAsia="Arial" w:hAnsi="Arial"/>
                <w:sz w:val="25"/>
                <w:szCs w:val="25"/>
                <w:b w:val="1"/>
                <w:bCs w:val="1"/>
                <w:color w:val="auto"/>
                <w:w w:val="88"/>
                <w:vertAlign w:val="superscript"/>
              </w:rPr>
              <w:t>th</w:t>
            </w:r>
            <w:r>
              <w:rPr>
                <w:rFonts w:ascii="Arial" w:cs="Arial" w:eastAsia="Arial" w:hAnsi="Arial"/>
                <w:sz w:val="18"/>
                <w:szCs w:val="18"/>
                <w:b w:val="1"/>
                <w:bCs w:val="1"/>
                <w:color w:val="auto"/>
                <w:w w:val="88"/>
              </w:rPr>
              <w:t xml:space="preserve"> Street – Suite 520,</w:t>
            </w:r>
          </w:p>
        </w:tc>
        <w:tc>
          <w:tcPr>
            <w:tcW w:w="1300" w:type="dxa"/>
            <w:vAlign w:val="bottom"/>
          </w:tcPr>
          <w:p>
            <w:pPr>
              <w:spacing w:after="0"/>
              <w:rPr>
                <w:sz w:val="24"/>
                <w:szCs w:val="24"/>
                <w:color w:val="auto"/>
              </w:rPr>
            </w:pPr>
          </w:p>
        </w:tc>
      </w:tr>
      <w:tr>
        <w:trPr>
          <w:trHeight w:val="234"/>
        </w:trPr>
        <w:tc>
          <w:tcPr>
            <w:tcW w:w="6280" w:type="dxa"/>
            <w:vAlign w:val="bottom"/>
          </w:tcPr>
          <w:p>
            <w:pPr>
              <w:jc w:val="center"/>
              <w:ind w:right="3643"/>
              <w:spacing w:after="0"/>
              <w:rPr>
                <w:sz w:val="20"/>
                <w:szCs w:val="20"/>
                <w:color w:val="auto"/>
              </w:rPr>
            </w:pPr>
            <w:r>
              <w:rPr>
                <w:rFonts w:ascii="Arial" w:cs="Arial" w:eastAsia="Arial" w:hAnsi="Arial"/>
                <w:sz w:val="18"/>
                <w:szCs w:val="18"/>
                <w:b w:val="1"/>
                <w:bCs w:val="1"/>
                <w:color w:val="auto"/>
                <w:w w:val="94"/>
              </w:rPr>
              <w:t>Minneapolis, MN</w:t>
            </w:r>
          </w:p>
        </w:tc>
        <w:tc>
          <w:tcPr>
            <w:tcW w:w="1300" w:type="dxa"/>
            <w:vAlign w:val="bottom"/>
          </w:tcPr>
          <w:p>
            <w:pPr>
              <w:jc w:val="right"/>
              <w:ind w:right="221"/>
              <w:spacing w:after="0"/>
              <w:rPr>
                <w:sz w:val="20"/>
                <w:szCs w:val="20"/>
                <w:color w:val="auto"/>
              </w:rPr>
            </w:pPr>
            <w:r>
              <w:rPr>
                <w:rFonts w:ascii="Arial" w:cs="Arial" w:eastAsia="Arial" w:hAnsi="Arial"/>
                <w:sz w:val="18"/>
                <w:szCs w:val="18"/>
                <w:b w:val="1"/>
                <w:bCs w:val="1"/>
                <w:color w:val="auto"/>
              </w:rPr>
              <w:t>55435</w:t>
            </w:r>
          </w:p>
        </w:tc>
      </w:tr>
      <w:tr>
        <w:trPr>
          <w:trHeight w:val="218"/>
        </w:trPr>
        <w:tc>
          <w:tcPr>
            <w:tcW w:w="6280" w:type="dxa"/>
            <w:vAlign w:val="bottom"/>
          </w:tcPr>
          <w:p>
            <w:pPr>
              <w:jc w:val="center"/>
              <w:ind w:right="3623"/>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6"/>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801" w:right="239" w:bottom="1440" w:gutter="0" w:footer="0" w:header="0"/>
        </w:sect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40" w:space="720"/>
            <w:col w:w="1840" w:space="720"/>
            <w:col w:w="3900"/>
          </w:cols>
          <w:pgMar w:left="240" w:top="801"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Common stock, par value $0.33 1/3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40" w:lineRule="exact"/>
        <w:rPr>
          <w:sz w:val="24"/>
          <w:szCs w:val="24"/>
          <w:color w:val="auto"/>
        </w:rPr>
      </w:pPr>
    </w:p>
    <w:p>
      <w:pPr>
        <w:sectPr>
          <w:pgSz w:w="11900" w:h="16838" w:orient="portrait"/>
          <w:cols w:equalWidth="0" w:num="3">
            <w:col w:w="4700" w:space="720"/>
            <w:col w:w="1900" w:space="720"/>
            <w:col w:w="3380"/>
          </w:cols>
          <w:pgMar w:left="240" w:top="801"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x</w:t>
            </w:r>
          </w:p>
        </w:tc>
        <w:tc>
          <w:tcPr>
            <w:tcW w:w="4320" w:type="dxa"/>
            <w:vAlign w:val="bottom"/>
          </w:tcPr>
          <w:p>
            <w:pPr>
              <w:ind w:left="236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ind w:left="2360"/>
              <w:spacing w:after="0"/>
              <w:rPr>
                <w:sz w:val="20"/>
                <w:szCs w:val="20"/>
                <w:color w:val="auto"/>
              </w:rPr>
            </w:pPr>
            <w:r>
              <w:rPr>
                <w:rFonts w:ascii="Arial" w:cs="Arial" w:eastAsia="Arial" w:hAnsi="Arial"/>
                <w:sz w:val="18"/>
                <w:szCs w:val="18"/>
                <w:color w:val="auto"/>
                <w:w w:val="90"/>
              </w:rPr>
              <w:t>Smaller reporting company</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spacing w:after="0"/>
              <w:rPr>
                <w:sz w:val="24"/>
                <w:szCs w:val="24"/>
                <w:color w:val="auto"/>
              </w:rPr>
            </w:pPr>
          </w:p>
        </w:tc>
      </w:tr>
    </w:tbl>
    <w:p>
      <w:pPr>
        <w:spacing w:after="0" w:line="4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3" w:lineRule="exact"/>
        <w:rPr>
          <w:sz w:val="20"/>
          <w:szCs w:val="20"/>
          <w:color w:val="auto"/>
        </w:rPr>
      </w:pPr>
    </w:p>
    <w:p>
      <w:pPr>
        <w:ind w:right="108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As of July 10, 2019, 26,518,842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460" w:space="320"/>
            <w:col w:w="80"/>
          </w:cols>
          <w:pgMar w:left="240" w:top="611" w:right="7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2">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Risk Factors</w:t>
              </w:r>
            </w:hyperlink>
          </w:p>
        </w:tc>
        <w:tc>
          <w:tcPr>
            <w:tcW w:w="400" w:type="dxa"/>
            <w:vAlign w:val="bottom"/>
          </w:tcPr>
          <w:p>
            <w:pPr>
              <w:spacing w:after="0"/>
              <w:rPr>
                <w:sz w:val="24"/>
                <w:szCs w:val="24"/>
                <w:color w:val="auto"/>
              </w:rPr>
            </w:pPr>
          </w:p>
        </w:tc>
        <w:tc>
          <w:tcPr>
            <w:tcW w:w="658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Exhibits</w:t>
              </w:r>
            </w:hyperlink>
          </w:p>
        </w:tc>
        <w:tc>
          <w:tcPr>
            <w:tcW w:w="700" w:type="dxa"/>
            <w:vAlign w:val="bottom"/>
            <w:gridSpan w:val="2"/>
          </w:tcPr>
          <w:p>
            <w:pPr>
              <w:spacing w:after="0"/>
              <w:rPr>
                <w:sz w:val="24"/>
                <w:szCs w:val="24"/>
                <w:color w:val="auto"/>
              </w:rPr>
            </w:pPr>
          </w:p>
        </w:tc>
        <w:tc>
          <w:tcPr>
            <w:tcW w:w="658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84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12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2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1, 2019</w:t>
            </w:r>
          </w:p>
        </w:tc>
        <w:tc>
          <w:tcPr>
            <w:tcW w:w="240" w:type="dxa"/>
            <w:vAlign w:val="bottom"/>
          </w:tcPr>
          <w:p>
            <w:pPr>
              <w:spacing w:after="0"/>
              <w:rPr>
                <w:sz w:val="24"/>
                <w:szCs w:val="24"/>
                <w:color w:val="auto"/>
              </w:rPr>
            </w:pPr>
          </w:p>
        </w:tc>
        <w:tc>
          <w:tcPr>
            <w:tcW w:w="136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371,898</w:t>
            </w:r>
          </w:p>
        </w:tc>
        <w:tc>
          <w:tcPr>
            <w:tcW w:w="0" w:type="dxa"/>
            <w:vAlign w:val="bottom"/>
          </w:tcPr>
          <w:p>
            <w:pPr>
              <w:spacing w:after="0"/>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315,823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185,237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46,380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1,132,239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73,017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41,119</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85,090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227,512</w:t>
            </w:r>
          </w:p>
        </w:tc>
        <w:tc>
          <w:tcPr>
            <w:tcW w:w="0" w:type="dxa"/>
            <w:vAlign w:val="bottom"/>
          </w:tcPr>
          <w:p>
            <w:pPr>
              <w:spacing w:after="0"/>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245,724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Non-current self-insurance reserves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77,182</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gridSpan w:val="4"/>
          </w:tcPr>
          <w:p>
            <w:pPr>
              <w:ind w:left="380"/>
              <w:spacing w:after="0"/>
              <w:rPr>
                <w:sz w:val="20"/>
                <w:szCs w:val="20"/>
                <w:color w:val="auto"/>
              </w:rPr>
            </w:pPr>
            <w:r>
              <w:rPr>
                <w:rFonts w:ascii="Arial" w:cs="Arial" w:eastAsia="Arial" w:hAnsi="Arial"/>
                <w:sz w:val="18"/>
                <w:szCs w:val="18"/>
                <w:color w:val="auto"/>
                <w:w w:val="92"/>
              </w:rPr>
              <w:t>Common stock of $0.33-1/3 par value; authorized 50,000,000 shares; issued and outstanding 26,530,369</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and 27,015,127 respectively</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8,843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151,842</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360,394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367,597</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Deferred compensation obligations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484,976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496,317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1,132,239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2, 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336,531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274,398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255,801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80,730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57,926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58,735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28,437</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gain on marketable securities, net of $47 and $2 of tax expense,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Unrealized gain (loss) on foreign currency hedge, net of $2 and ($92) of tax expense (benefit),</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20" w:type="dxa"/>
            <w:vAlign w:val="bottom"/>
            <w:gridSpan w:val="2"/>
          </w:tcPr>
          <w:p>
            <w:pPr>
              <w:ind w:left="5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14,562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15,443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15,373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(used)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14,050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4,094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26,183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(35,258)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11,933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Refundable and accrued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25,343</w:t>
            </w:r>
          </w:p>
        </w:tc>
      </w:tr>
      <w:tr>
        <w:trPr>
          <w:trHeight w:val="22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(16,230)</w:t>
            </w:r>
          </w:p>
        </w:tc>
      </w:tr>
      <w:tr>
        <w:trPr>
          <w:trHeight w:val="22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Borrowings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Payments on line of credit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28,956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21,620</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2,162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4"/>
                <w:szCs w:val="14"/>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Accumulated Other</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 Paid-In</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Comprehensive (Loss)</w:t>
            </w:r>
          </w:p>
        </w:tc>
      </w:tr>
      <w:tr>
        <w:trPr>
          <w:trHeight w:val="18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5"/>
              </w:rPr>
              <w:t>Common Stock</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Held in Trust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6"/>
              </w:rPr>
              <w:t>Obligation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Income</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2, 2019</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27,015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9,005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151,842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367,597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15,443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$47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181</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$2 tax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5</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2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1, 2019</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360,394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(34,501)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05"/>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Cumulative effect 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$2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loss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$92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2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 2018</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154,261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386,518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(25,601)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2, 2019. We use the same accounting policies in preparing quarterly and annual financial statements. All adjustments necessary for a fair presentation of quarterly operating results are reflected herein and are of a normal, recurring nature. The results of operations for the three-month period ended June 1, 2019 are not necessarily indicative of the results to be expected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the beginning of fiscal 2020, we adopted the guidance in ASC 842, </w:t>
      </w:r>
      <w:r>
        <w:rPr>
          <w:rFonts w:ascii="Arial" w:cs="Arial" w:eastAsia="Arial" w:hAnsi="Arial"/>
          <w:sz w:val="18"/>
          <w:szCs w:val="18"/>
          <w:i w:val="1"/>
          <w:iCs w:val="1"/>
          <w:color w:val="auto"/>
        </w:rPr>
        <w:t>Leases</w:t>
      </w:r>
      <w:r>
        <w:rPr>
          <w:rFonts w:ascii="Arial" w:cs="Arial" w:eastAsia="Arial" w:hAnsi="Arial"/>
          <w:sz w:val="18"/>
          <w:szCs w:val="18"/>
          <w:color w:val="auto"/>
        </w:rPr>
        <w:t>, following a modified retrospective approach and elected not to restate prior periods. Adoption of the new standard resulted in recording operating lease assets and liabilities of approximately $50 million as of March 3, 2019 and did not materially impact our consolidated net earnings and cash flows. Refer to additional information in Note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revises guidance for the accounting for credit losses on financial instruments within its scope. The new standard introduces an approach based on expected losses, to estimate credit losses on certain types of financial instruments and modifies the impairment model for available-for-sale debt securities. This ASU is effective for our fiscal year 2021. Entities are required to apply the standard's provisions as a cumulative-effect adjustment to retained earnings as of the beginning of the first reporting period in which the guidance is adopted. We are currently assessing this ASU's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Subsequent to the end of the quarter, we amended and extended our revolving line of credit facility. Refer to additional information in Note 6.</w:t>
      </w:r>
    </w:p>
    <w:p>
      <w:pPr>
        <w:spacing w:after="0" w:line="18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156,867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3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200,100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179,664</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355,365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336,531</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37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145,693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Construction contracts</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19,626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retainage</w:t>
            </w:r>
          </w:p>
        </w:tc>
        <w:tc>
          <w:tcPr>
            <w:tcW w:w="3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Total receivables</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214,048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Net receivables</w:t>
            </w:r>
          </w:p>
        </w:tc>
        <w:tc>
          <w:tcPr>
            <w:tcW w:w="344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209,338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32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March 2, 2019</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87,491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23,081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24,083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contract assets was due to timing of costs incurred in advance of billings. The change in contract liabilities was due to timing of project activity within our businesses that operate under long-term contracts.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three months of fiscal 2020, we recognized revenue of $14.2 million related to contract liabilities at March 2, 2019, and revenue of $1.9 million related to performance obligations satisfied in previous periods due to changes in contract estimates. In the first quarter of fiscal 2019, we recognized revenue of $9.1 million related to contract liabilities at March 4, 2018, and recognized revenue of $2.3 million related to performance obligations satisfied in previous periods due to changes in contract estimates.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June 1, 2019, the transaction price associated with unsatisfied performance obligations was approximately $766.1 million. The performance obligations are expected to be satisfied, and the corresponding revenue to be recognized, over the following estimated time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1, 2019</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394,690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267,140</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104,250</w:t>
            </w:r>
          </w:p>
        </w:tc>
      </w:tr>
      <w:tr>
        <w:trPr>
          <w:trHeight w:val="25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766,080</w:t>
            </w: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920" w:firstLine="8"/>
        <w:spacing w:after="0" w:line="506"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2, 2019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15,533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77,345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78,344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1, 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2, 2019</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2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Accrued project losses</w:t>
            </w: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Accrued self-insurance reserves</w:t>
            </w: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25,573</w:t>
            </w:r>
          </w:p>
        </w:tc>
        <w:tc>
          <w:tcPr>
            <w:tcW w:w="0" w:type="dxa"/>
            <w:vAlign w:val="bottom"/>
          </w:tcPr>
          <w:p>
            <w:pPr>
              <w:spacing w:after="0"/>
              <w:rPr>
                <w:sz w:val="1"/>
                <w:szCs w:val="1"/>
                <w:color w:val="auto"/>
              </w:rPr>
            </w:pPr>
          </w:p>
        </w:tc>
      </w:tr>
      <w:tr>
        <w:trPr>
          <w:trHeight w:val="257"/>
        </w:trPr>
        <w:tc>
          <w:tcPr>
            <w:tcW w:w="3980" w:type="dxa"/>
            <w:vAlign w:val="bottom"/>
          </w:tcPr>
          <w:p>
            <w:pPr>
              <w:ind w:left="40"/>
              <w:spacing w:after="0"/>
              <w:rPr>
                <w:sz w:val="20"/>
                <w:szCs w:val="20"/>
                <w:color w:val="auto"/>
              </w:rPr>
            </w:pPr>
            <w:r>
              <w:rPr>
                <w:rFonts w:ascii="Arial" w:cs="Arial" w:eastAsia="Arial" w:hAnsi="Arial"/>
                <w:sz w:val="18"/>
                <w:szCs w:val="18"/>
                <w:color w:val="auto"/>
              </w:rPr>
              <w:t>Total other current liabilities</w:t>
            </w:r>
          </w:p>
        </w:tc>
        <w:tc>
          <w:tcPr>
            <w:tcW w:w="258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80" w:type="dxa"/>
            <w:vAlign w:val="bottom"/>
            <w:vMerge w:val="restart"/>
          </w:tcPr>
          <w:p>
            <w:pPr>
              <w:jc w:val="right"/>
              <w:ind w:right="5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1, 2019</w:t>
            </w:r>
          </w:p>
        </w:tc>
        <w:tc>
          <w:tcPr>
            <w:tcW w:w="24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March 2, 2019</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32,683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77,182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4.  Financial Instruments</w:t>
            </w: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9"/>
          </w:tcPr>
          <w:p>
            <w:pPr>
              <w:spacing w:after="0"/>
              <w:rPr>
                <w:sz w:val="20"/>
                <w:szCs w:val="20"/>
                <w:color w:val="auto"/>
              </w:rPr>
            </w:pPr>
            <w:r>
              <w:rPr>
                <w:rFonts w:ascii="Arial" w:cs="Arial" w:eastAsia="Arial" w:hAnsi="Arial"/>
                <w:sz w:val="18"/>
                <w:szCs w:val="18"/>
                <w:color w:val="auto"/>
                <w:w w:val="95"/>
              </w:rPr>
              <w:t>We hold the following available-for-sale marketable securities, made up of municipal and corporate bonds: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24"/>
                <w:szCs w:val="24"/>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vMerge w:val="restart"/>
          </w:tcPr>
          <w:p>
            <w:pPr>
              <w:spacing w:after="0"/>
              <w:rPr>
                <w:sz w:val="24"/>
                <w:szCs w:val="2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Gross Unrealized Losses</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2, 2019</w:t>
            </w:r>
          </w:p>
        </w:tc>
        <w:tc>
          <w:tcPr>
            <w:tcW w:w="2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wholly-owned insurance subsidiary, Prism Assurance, Ltd. (Prism), which holds these municipal and corporate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amortized cost and estimated fair values of these bonds at June 1, 2019,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Estimated Fair Value</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9,429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10 years through 15 years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1, 2019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11,699</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2, 2019</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securities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Mutual funds were measured at fair value based on quoted prices for identical assets in active markets. Municipal and corporate bonds were measured at fair value based on market prices from recent trades of similar securities and are classified as short-term or long-term based on maturity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instruments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periodically enter into forward purchase foreign currency contracts, generally with an original maturity date of less than one year, to hedge foreign currency exchange rate risk. As of June 1, 2019, we held foreign exchange forward contracts with a U.S. dollar notional value of $29.8 million, with the objective of reducing the exposure to fluctuations in the Canadian dollar and the Euro. The fair value of these contracts was a liability of $0.7 million as of June 1, 2019.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2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Architectural</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Architectural Glass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Framing Systems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Optical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March 2, 2019</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June 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147,868</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185,237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Impairment</w:t>
            </w: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1, 2019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206,506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144,908</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2, 2019</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213,591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definite-lived intangible assets was $1.9 million and $4.8 million for the three-month periods ended June 1, 2019 and June 2, 2018, respectively. The amortization expense associated with debt issue costs is included in interest expense, while the remainder is in selling, general and administrative expenses in the consolidated results of operations. At June 1, 2019, the estimated future amortization expense for definite-lived intangible assets was: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Remainder of</w:t>
            </w:r>
          </w:p>
        </w:tc>
        <w:tc>
          <w:tcPr>
            <w:tcW w:w="20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Fiscal 2021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2022</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2023</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2024</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Fiscal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5,930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1, 2019, we had a committed revolving credit facility with maximum borrowings of up to $335.0 million, maturing in November 2021.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Outstanding borrowings under our committed revolving credit facility were $272.5 million, as of June 1, 2019, and $225.0 million, as of March 2, 2019.</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two financial covenants that require us to stay below a maximum debt-to-EBITDA ratio and maintain a minimum ratio of interest expense-to-EBITDA. Both ratios are computed quarterly, with EBITDA calculated on a rolling four-quarter basis. At June 1, 2019, we were in compliance with both financial covenants. Additionally, at June 1, 2019, we had a total of $25.1 million of ongoing letters of credit related to industrial revenue bonds, construction contracts and insurance collateral that expire in fiscal years 2020 to 2032 and reduce availability of funds under our credit facility.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the end of the quarter, we amended and extended this financing arrangement, consisting of a $235 million revolving credit facility, with a maturity of June 2024, and a $150 million term loan, with a maturity of June 2020. The amended and extended facility contains the same two financial covenants as described above.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June 1, 2019, our debt also included $20.4 million of industrial revenue bonds that mature in fiscal years 2021 through 2043 and $0.4 million of long-term debt in Canada. The fair value of the industrial revenue bonds approximated carrying value at June 1, 2019, due to the variable interest rates on these instruments. All debt would be classified as Level 2 within the fair value hierarchy described in Note 4.</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maintain two Canadian demand credit facilities totaling $12.0 million Canadian dollars. As of June 1, 2019 and March 2, 2019, no borrowings were outstanding under the facilities. Borrowings under these facilities are made available at the sole discretion of the lenders and are payable on demand.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$2.4 million and $1.8 million for the three months ended June 1, 2019 and June 2, 2018,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eight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6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June 1, 2019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gridSpan w:val="3"/>
          </w:tcPr>
          <w:p>
            <w:pPr>
              <w:ind w:left="4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682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700" w:type="dxa"/>
            <w:vAlign w:val="bottom"/>
            <w:gridSpan w:val="3"/>
          </w:tcPr>
          <w:p>
            <w:pPr>
              <w:ind w:left="40"/>
              <w:spacing w:after="0"/>
              <w:rPr>
                <w:sz w:val="20"/>
                <w:szCs w:val="20"/>
                <w:color w:val="auto"/>
              </w:rPr>
            </w:pPr>
            <w:r>
              <w:rPr>
                <w:rFonts w:ascii="Arial" w:cs="Arial" w:eastAsia="Arial" w:hAnsi="Arial"/>
                <w:sz w:val="18"/>
                <w:szCs w:val="18"/>
                <w:color w:val="auto"/>
              </w:rPr>
              <w:t>Total lease cost</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4,768</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Other supplemental information related to leases was as follows:</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4"/>
                <w:szCs w:val="24"/>
                <w:color w:val="auto"/>
              </w:rPr>
            </w:pPr>
          </w:p>
        </w:tc>
        <w:tc>
          <w:tcPr>
            <w:tcW w:w="6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 except weighted-average data</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4"/>
              </w:rPr>
              <w:t>June 1, 2019</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240" w:type="dxa"/>
            <w:vAlign w:val="bottom"/>
          </w:tcPr>
          <w:p>
            <w:pPr>
              <w:spacing w:after="0"/>
              <w:rPr>
                <w:sz w:val="21"/>
                <w:szCs w:val="21"/>
                <w:color w:val="auto"/>
              </w:rPr>
            </w:pPr>
          </w:p>
        </w:tc>
        <w:tc>
          <w:tcPr>
            <w:tcW w:w="126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 years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459"/>
        </w:trPr>
        <w:tc>
          <w:tcPr>
            <w:tcW w:w="7700" w:type="dxa"/>
            <w:vAlign w:val="bottom"/>
            <w:gridSpan w:val="3"/>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6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4"/>
              </w:rPr>
              <w:t>June 1, 2019</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Fiscal 2021</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53,438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47,924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leases with a related party; total rent paid for these facilities was approximately $0.5 million for the three months ended June 1, 2019, and the future minimum lease commitment is $12.5 million. As of June 1, 2019, we have additional future operating lease commitments of $15.5 million for leases that have not yet commenced, with terms ranging from one to ten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Aggregate annual future rental commitments under operating leases with noncancellable terms of more than one year at March 2, 2019 were reported under previous lease accounting standards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Thereafter</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Total</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14,888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11,787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8,772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68,657</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the ordinary course of business, predominantly in our Architectural Services and Architectural Framing Systems segments, we are required to provide surety or performance bonds that commit payments to our customers for any non-performance. At June 1, 2019, $306.3 million of our backlog was bonded by these types of bonds with a face value of $638.9 million. These bonds do not have stated expiration dates, as we are generally released from the bonds upon completion of the contract. We have not been required to make any payments under these bonds with respect to our existing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3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1,062</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22,386</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actively manage the risk of these exposures through contract negotiations, proactive project management and insurance coverages. We have recorded an estimated liability related to legacy EFCO projects of $38.0 million and $42.8 million as of June 1, 2019 and March 2,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June 1, 2019, we had $25.1 million of ongoing letters of credit, all of which have been issued under our committed revolving credit facility, as discussed in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$132.7 million as of June 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entered into four separate NMTC programs to support our operational expansion, including two transactions completed in fiscal 2019. Proceeds received from investors on these transactions are included within other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Inception date</w:t>
            </w:r>
          </w:p>
        </w:tc>
        <w:tc>
          <w:tcPr>
            <w:tcW w:w="12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Termination date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3"/>
              </w:rPr>
              <w:t>Proceeds received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Deferred costs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Net benefit</w:t>
            </w: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2013</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June 2016</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2023</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5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November 5, 2018, a shareholder filed a purported securities class action against the Company and certain named executive officers. On April 26, 2019, the new lead plaintiff filed an amended complaint, alleging that, during the purported class period of May 1, 2017 to April 10, 2019, the Company and the named executive officers made materially false or misleading statements or omissions about the Company's acquisition of EFCO Corporation on June 12, 2017, and about the Company's Architectural Glass business segment, in violation of the federal securities laws. We intend to vigorously defend this matter.</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2018, a different shareholder filed a derivative lawsuit, purportedly on behalf of the Company, against certain of our executive officers and directors claiming breaches of fiduciary duty, waste of corporate assets and unjust enrichment. This complaint alleges that the officers and directors allegedly made materially false or misleading statements or omissions about the Company's business, operations and prospects, particularly with respect to our Architectural Glass business segment, during the period of June 28, 2018 and September 17, 2018. This matter has been stayed, pending resolution of a motion to dismiss the foregoing matter. We intend to vigorously defend this matter.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$1.6 million for the three-month period ended June 1, 2019 and $1.5 million for the three-month period ended June 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three-month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2, 2019</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June 1, 2019</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2.3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2,800,517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awards were exercised for the three-months ended June 1, 2019. For the three-months ended June 2, 2018, cash proceeds from the exercise of stock options were $0.2 million and the aggregate intrinsic value of securities exercised (the amount by which the stock price on the date of exercise exceeded the stock price of the award on the date of grant) was $0.6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Nonvested share activity for the current three-month period is summarized as follows: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Nonvested shares and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Number of Shares and</w:t>
      </w:r>
      <w:r>
        <w:rPr>
          <w:sz w:val="20"/>
          <w:szCs w:val="20"/>
          <w:color w:val="auto"/>
        </w:rPr>
        <w:tab/>
      </w:r>
      <w:r>
        <w:rPr>
          <w:rFonts w:ascii="Arial" w:cs="Arial" w:eastAsia="Arial" w:hAnsi="Arial"/>
          <w:sz w:val="12"/>
          <w:szCs w:val="12"/>
          <w:b w:val="1"/>
          <w:bCs w:val="1"/>
          <w:color w:val="auto"/>
        </w:rPr>
        <w:t>Weighted Average</w:t>
      </w:r>
    </w:p>
    <w:p>
      <w:pPr>
        <w:spacing w:after="0" w:line="4" w:lineRule="exact"/>
        <w:rPr>
          <w:sz w:val="20"/>
          <w:szCs w:val="20"/>
          <w:color w:val="auto"/>
        </w:rPr>
      </w:pPr>
    </w:p>
    <w:p>
      <w:pPr>
        <w:jc w:val="both"/>
        <w:ind w:left="540"/>
        <w:spacing w:after="0"/>
        <w:tabs>
          <w:tab w:leader="none" w:pos="1640" w:val="left"/>
        </w:tabs>
        <w:rPr>
          <w:sz w:val="20"/>
          <w:szCs w:val="20"/>
          <w:color w:val="auto"/>
        </w:rPr>
      </w:pPr>
      <w:r>
        <w:rPr>
          <w:rFonts w:ascii="Arial" w:cs="Arial" w:eastAsia="Arial" w:hAnsi="Arial"/>
          <w:sz w:val="14"/>
          <w:szCs w:val="14"/>
          <w:b w:val="1"/>
          <w:bCs w:val="1"/>
          <w:color w:val="auto"/>
        </w:rPr>
        <w:t>Units</w:t>
      </w:r>
      <w:r>
        <w:rPr>
          <w:sz w:val="20"/>
          <w:szCs w:val="20"/>
          <w:color w:val="auto"/>
        </w:rPr>
        <w:tab/>
      </w:r>
      <w:r>
        <w:rPr>
          <w:rFonts w:ascii="Arial" w:cs="Arial" w:eastAsia="Arial" w:hAnsi="Arial"/>
          <w:sz w:val="14"/>
          <w:szCs w:val="14"/>
          <w:b w:val="1"/>
          <w:bCs w:val="1"/>
          <w:color w:val="auto"/>
        </w:rPr>
        <w:t>Grant Date Fair Value</w:t>
      </w:r>
    </w:p>
    <w:p>
      <w:pPr>
        <w:spacing w:after="0" w:line="9" w:lineRule="exact"/>
        <w:rPr>
          <w:sz w:val="20"/>
          <w:szCs w:val="20"/>
          <w:color w:val="auto"/>
        </w:rPr>
      </w:pPr>
    </w:p>
    <w:p>
      <w:pPr>
        <w:sectPr>
          <w:pgSz w:w="11900" w:h="16838" w:orient="portrait"/>
          <w:cols w:equalWidth="0" w:num="2">
            <w:col w:w="7560" w:space="720"/>
            <w:col w:w="31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2,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80,571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1, 2019</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291,913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45.41</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1, 2019, there was $8.2 million of total unrecognized compensation cost related to nonvested share and nonvested share unit awards, which is expected to be recognized over a weighted average period of approximately 24 months. The total fair value of shares vested during the three months ended June 1, 2019 was $3.0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2016, or state and local income tax examinations for years prior to fiscal 2013. The Company is not currently under U.S. federal examination for years subsequent to fiscal year 2015, and there is very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was approximately $5.3 million at June 1, 2019 and $5.1 million at March 2, 2019. Penalties and interest related to unrecognized tax benefits are recorded in income tax expense. The total liability for unrecognized tax benefits is expected to decrease by approximately $0.5 million during the next 12 months due to lapsing of statutes.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2, 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effect of nonvested share grants and assumed exercise of stock options</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Diluted earnings per share – weighted average common shares and potential common shares outstanding</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26,843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28,437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Stock awards excluded from the calculation of earnings per share because the effect was anti-dilutive (award</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0"/>
              <w:spacing w:after="0"/>
              <w:rPr>
                <w:sz w:val="20"/>
                <w:szCs w:val="20"/>
                <w:color w:val="auto"/>
              </w:rPr>
            </w:pPr>
            <w:r>
              <w:rPr>
                <w:rFonts w:ascii="Arial" w:cs="Arial" w:eastAsia="Arial" w:hAnsi="Arial"/>
                <w:sz w:val="18"/>
                <w:szCs w:val="18"/>
                <w:color w:val="auto"/>
              </w:rPr>
              <w:t>price greater than average market price of the shares)</w:t>
            </w:r>
          </w:p>
        </w:tc>
        <w:tc>
          <w:tcPr>
            <w:tcW w:w="1620" w:type="dxa"/>
            <w:vAlign w:val="bottom"/>
            <w:vMerge w:val="restart"/>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580" w:type="dxa"/>
            <w:vAlign w:val="bottom"/>
            <w:vMerge w:val="restart"/>
          </w:tcPr>
          <w:p>
            <w:pPr>
              <w:jc w:val="right"/>
              <w:ind w:right="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June 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June 2, 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180,522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179,037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76,925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65,147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70,727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355,365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336,531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23,041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2, 2019.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2,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2, 2019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First Quarter of Fiscal 2020 Compared to First Quarter of Fiscal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Consolidated net sales increased 5.6 percent, or $18.8 million, for the first quarter ended June 1, 2019, compared to the prior year period, driven by improved volume in the Architectural Glass segment, partially offset by a decline in the Architectural Services segment, as expected, based on timing of project activity.</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various components of operations, as a percentage of net sales,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Gross profit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Earnings before income taxes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earnings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23495</wp:posOffset>
            </wp:positionV>
            <wp:extent cx="1920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June 1, 2019</w:t>
      </w:r>
      <w:r>
        <w:rPr>
          <w:sz w:val="20"/>
          <w:szCs w:val="20"/>
          <w:color w:val="auto"/>
        </w:rPr>
        <w:tab/>
      </w:r>
      <w:r>
        <w:rPr>
          <w:rFonts w:ascii="Arial" w:cs="Arial" w:eastAsia="Arial" w:hAnsi="Arial"/>
          <w:sz w:val="13"/>
          <w:szCs w:val="13"/>
          <w:b w:val="1"/>
          <w:bCs w:val="1"/>
          <w:color w:val="auto"/>
        </w:rPr>
        <w:t>June 2, 2018</w:t>
      </w:r>
    </w:p>
    <w:p>
      <w:pPr>
        <w:spacing w:after="0" w:line="63" w:lineRule="exact"/>
        <w:rPr>
          <w:sz w:val="20"/>
          <w:szCs w:val="20"/>
          <w:color w:val="auto"/>
        </w:rPr>
      </w:pPr>
    </w:p>
    <w:p>
      <w:pPr>
        <w:jc w:val="right"/>
        <w:ind w:right="40"/>
        <w:spacing w:after="0"/>
        <w:tabs>
          <w:tab w:leader="none" w:pos="580" w:val="left"/>
        </w:tabs>
        <w:rPr>
          <w:sz w:val="20"/>
          <w:szCs w:val="20"/>
          <w:color w:val="auto"/>
        </w:rPr>
      </w:pPr>
      <w:r>
        <w:rPr>
          <w:rFonts w:ascii="Arial" w:cs="Arial" w:eastAsia="Arial" w:hAnsi="Arial"/>
          <w:sz w:val="18"/>
          <w:szCs w:val="18"/>
          <w:color w:val="auto"/>
        </w:rPr>
        <w:t>100.0 %</w:t>
      </w:r>
      <w:r>
        <w:rPr>
          <w:sz w:val="20"/>
          <w:szCs w:val="20"/>
          <w:color w:val="auto"/>
        </w:rPr>
        <w:tab/>
      </w:r>
      <w:r>
        <w:rPr>
          <w:rFonts w:ascii="Arial" w:cs="Arial" w:eastAsia="Arial" w:hAnsi="Arial"/>
          <w:sz w:val="16"/>
          <w:szCs w:val="16"/>
          <w:color w:val="auto"/>
        </w:rPr>
        <w:t>100.0 %</w:t>
      </w:r>
    </w:p>
    <w:p>
      <w:pPr>
        <w:spacing w:after="0" w:line="63"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8"/>
          <w:szCs w:val="18"/>
          <w:color w:val="auto"/>
        </w:rPr>
        <w:t>77.2</w:t>
      </w:r>
      <w:r>
        <w:rPr>
          <w:sz w:val="20"/>
          <w:szCs w:val="20"/>
          <w:color w:val="auto"/>
        </w:rPr>
        <w:tab/>
      </w:r>
      <w:r>
        <w:rPr>
          <w:rFonts w:ascii="Arial" w:cs="Arial" w:eastAsia="Arial" w:hAnsi="Arial"/>
          <w:sz w:val="16"/>
          <w:szCs w:val="16"/>
          <w:color w:val="auto"/>
        </w:rPr>
        <w:t>76.0</w:t>
      </w:r>
    </w:p>
    <w:p>
      <w:pPr>
        <w:spacing w:after="0" w:line="77"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24.0</w:t>
      </w:r>
    </w:p>
    <w:p>
      <w:pPr>
        <w:spacing w:after="0" w:line="63"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17.5</w:t>
      </w:r>
    </w:p>
    <w:p>
      <w:pPr>
        <w:spacing w:after="0" w:line="7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6.5</w:t>
      </w:r>
    </w:p>
    <w:p>
      <w:pPr>
        <w:spacing w:after="0" w:line="63" w:lineRule="exact"/>
        <w:rPr>
          <w:sz w:val="20"/>
          <w:szCs w:val="20"/>
          <w:color w:val="auto"/>
        </w:rPr>
      </w:pPr>
    </w:p>
    <w:p>
      <w:pPr>
        <w:ind w:left="600"/>
        <w:spacing w:after="0"/>
        <w:tabs>
          <w:tab w:leader="none" w:pos="2140" w:val="left"/>
        </w:tabs>
        <w:rPr>
          <w:sz w:val="20"/>
          <w:szCs w:val="20"/>
          <w:color w:val="auto"/>
        </w:rPr>
      </w:pPr>
      <w:r>
        <w:rPr>
          <w:rFonts w:ascii="Arial" w:cs="Arial" w:eastAsia="Arial" w:hAnsi="Arial"/>
          <w:sz w:val="18"/>
          <w:szCs w:val="18"/>
          <w:color w:val="auto"/>
        </w:rPr>
        <w:t>(0.7)</w:t>
      </w:r>
      <w:r>
        <w:rPr>
          <w:sz w:val="20"/>
          <w:szCs w:val="20"/>
          <w:color w:val="auto"/>
        </w:rPr>
        <w:tab/>
      </w:r>
      <w:r>
        <w:rPr>
          <w:rFonts w:ascii="Arial" w:cs="Arial" w:eastAsia="Arial" w:hAnsi="Arial"/>
          <w:sz w:val="17"/>
          <w:szCs w:val="17"/>
          <w:color w:val="auto"/>
        </w:rPr>
        <w:t>(0.5)</w:t>
      </w:r>
    </w:p>
    <w:p>
      <w:pPr>
        <w:spacing w:after="0" w:line="7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6.0</w:t>
      </w:r>
    </w:p>
    <w:p>
      <w:pPr>
        <w:spacing w:after="0" w:line="6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1.5</w:t>
      </w:r>
    </w:p>
    <w:p>
      <w:pPr>
        <w:spacing w:after="0" w:line="77" w:lineRule="exact"/>
        <w:rPr>
          <w:sz w:val="20"/>
          <w:szCs w:val="20"/>
          <w:color w:val="auto"/>
        </w:rPr>
      </w:pPr>
    </w:p>
    <w:p>
      <w:pPr>
        <w:jc w:val="right"/>
        <w:ind w:right="40"/>
        <w:spacing w:after="0"/>
        <w:tabs>
          <w:tab w:leader="none" w:pos="400" w:val="left"/>
        </w:tabs>
        <w:rPr>
          <w:sz w:val="20"/>
          <w:szCs w:val="20"/>
          <w:color w:val="auto"/>
        </w:rPr>
      </w:pPr>
      <w:r>
        <w:rPr>
          <w:rFonts w:ascii="Arial" w:cs="Arial" w:eastAsia="Arial" w:hAnsi="Arial"/>
          <w:sz w:val="18"/>
          <w:szCs w:val="18"/>
          <w:color w:val="auto"/>
        </w:rPr>
        <w:t>4.3 %</w:t>
      </w:r>
      <w:r>
        <w:rPr>
          <w:sz w:val="20"/>
          <w:szCs w:val="20"/>
          <w:color w:val="auto"/>
        </w:rPr>
        <w:tab/>
      </w: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48895</wp:posOffset>
            </wp:positionV>
            <wp:extent cx="1920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4" w:lineRule="exact"/>
        <w:rPr>
          <w:sz w:val="20"/>
          <w:szCs w:val="20"/>
          <w:color w:val="auto"/>
        </w:rPr>
      </w:pPr>
    </w:p>
    <w:p>
      <w:pPr>
        <w:jc w:val="right"/>
        <w:ind w:right="40"/>
        <w:spacing w:after="0"/>
        <w:tabs>
          <w:tab w:leader="none" w:pos="480" w:val="left"/>
        </w:tabs>
        <w:rPr>
          <w:sz w:val="20"/>
          <w:szCs w:val="20"/>
          <w:color w:val="auto"/>
        </w:rPr>
      </w:pPr>
      <w:r>
        <w:rPr>
          <w:rFonts w:ascii="Arial" w:cs="Arial" w:eastAsia="Arial" w:hAnsi="Arial"/>
          <w:sz w:val="18"/>
          <w:szCs w:val="18"/>
          <w:color w:val="auto"/>
        </w:rPr>
        <w:t>24.4 %</w:t>
      </w:r>
      <w:r>
        <w:rPr>
          <w:sz w:val="20"/>
          <w:szCs w:val="20"/>
          <w:color w:val="auto"/>
        </w:rPr>
        <w:tab/>
      </w:r>
      <w:r>
        <w:rPr>
          <w:rFonts w:ascii="Arial" w:cs="Arial" w:eastAsia="Arial" w:hAnsi="Arial"/>
          <w:sz w:val="16"/>
          <w:szCs w:val="16"/>
          <w:color w:val="auto"/>
        </w:rPr>
        <w:t>24.1 %</w:t>
      </w:r>
    </w:p>
    <w:p>
      <w:pPr>
        <w:spacing w:after="0" w:line="200" w:lineRule="exact"/>
        <w:rPr>
          <w:sz w:val="20"/>
          <w:szCs w:val="20"/>
          <w:color w:val="auto"/>
        </w:rPr>
      </w:pPr>
    </w:p>
    <w:p>
      <w:pPr>
        <w:sectPr>
          <w:pgSz w:w="11900" w:h="16838" w:orient="portrait"/>
          <w:cols w:equalWidth="0" w:num="2">
            <w:col w:w="8020" w:space="720"/>
            <w:col w:w="2680"/>
          </w:cols>
          <w:pgMar w:left="240" w:top="125" w:right="239" w:bottom="1440" w:gutter="0" w:footer="0" w:header="0"/>
          <w:type w:val="continuous"/>
        </w:sectPr>
      </w:pP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Gross profit as a percent of sales was 22.8 percent for the three-month period ended June 1, 2019, compared to 24.0 percent the three-month period ended June 2, 2018. The decline was driven by less favorable project mix in the Architectural Framing segment, somewhat offset by improved volume leverage in the Architectural Glass segment.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SG&amp;A expenses as a percent of sales declined to 16.3 percent in the three-month period ended June 1, 2019, compared to 17.5 percent in the prior year three-month period primarily due to reduced amortization on short-lived intangibles.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in the first quarter of fiscal 2020 was 24.4 percent, compared to 24.1 percent in the same period last year. The slight rate increase was driven by many factors, including increased foreign income and the ongoing impacts of tax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1, 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2,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180,522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179,037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Architectural Framing Systems net sales increased $1.5 million, or 0.8 percent, for the three-month period ended June 1, 2019, compared to the prior year period. Operating margin decreased 10 basis points for the current quarter compared to the prior year due to less favorable project mix, offset by lower amortization.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1, 2019, segment backlog was approximately $402 million, compared to approximately $400 million at fiscal 2019 year-end.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1, 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2, 2018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100,291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76,925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7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Net sales increased $23.4 million, or 30.4 percent, for the three-month period ended June 1, 2019, compared to the same period in the prior year. The increase in the current-year first quarter was the result of increased volume, price and mix driven by strong customer demand.</w:t>
      </w:r>
    </w:p>
    <w:p>
      <w:pPr>
        <w:spacing w:after="0" w:line="62"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increased 430 basis points for the three-month period of the current year, compared to the same period in the prior year, primarily driven by improved operating leverage on higher volume and improved price and mix compared to the prior year. Additionally, margin in the current year quarter includes a 60 basis point impact from start-up costs related to a new growth initiative in this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1, 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2,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65,147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70,727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4,573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Architectural Services net sales declined $5.6 million, or 7.9 percent, for the three-month period ended June 1, 2019, over the same period in the prior year, due to timing of project activity.</w:t>
      </w:r>
    </w:p>
    <w:p>
      <w:pPr>
        <w:spacing w:after="0" w:line="62"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Operating margin decreased 30 basis points for the three-month period of the current year, compared to the same period in the prior year, due to reduced leverage on the lower project volume.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1, 2019, segment backlog was approximately $483 million, compared to approximately $444 million at fiscal 2019 year-end.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1, 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2,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21,259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20,761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34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459"/>
        </w:trPr>
        <w:tc>
          <w:tcPr>
            <w:tcW w:w="348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LSO net sales increased $0.5 million, or 2.4 percent, for the three-month period ended June 1, 2019, over the same period in the prior year due to improved mix. Operating margin decreased 440 basis points for the three months ended June 1, 2019, compared to the first quarter of last year, driven by reduced cost leverage from changes in production schedules.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2,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(used)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25,343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(9,327)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purchases (sales) of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borrowings (payments)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used by operating activities was $9.7 million for the first three months of fiscal 2020, decreasing $35.1 million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prior-year period, primarily due to increased working capital related to legacy EFCO projects, as well as typical seasonal working capital needs.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$12.0 million for the first three months of fiscal 2020, primarily due to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the first three months of the prior year, net cash used by investing activities was $16.2 million, due to capital expenditures and net purchases of marketable securities. We estimate fiscal 2020 capital expenditures to be $60 to $65 million, as we continue to make investments to drive growth and productivity improvements.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At June 1, 2019, we had outstanding borrowings under our credit facility of $272.5 million and $25.1 million of ongoing letters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that reduce availability of funds under our $335.0 million committed credit facility. As defined within our amended committed revolving credit facility, we are required to comply with two financial covenants. These financial covenants require us to stay below a maximum leverage ratio and to maintain a minimum interest coverage ratio. At June 1, 2019, we were in compliance with both financial covenants. Subsequent to the end of the quarter, we amended and extended this financing arrangement, consisting of a $235 million revolving credit facility, with a maturity of June 2024, and a $150 million term loan, with a maturity of June 2020. The amended and extended facility contains the same two financial covenants.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paid dividends totaling $4.6 million ($0.175 per share) in the first three months of fiscal 2020. In the first quarter, we repurchased 531,997 shares under our authorized share repurchase program, for a total cost of $20.0 million. In the first three months of fiscal 2019, we did not repurchase any shares under our authorized share repurchase program. We have purchased a total of 5,799,912 shares, at a total cost of $169.3 million, since the fiscal 2004 inception of this program. We currently have remaining authority to repurchase an additional 1,450,088 shares under this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June 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Fiscal 2022</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2024</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Fiscal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293,309</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53,438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132,699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105,756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43,381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292,657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479,446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2020, which will equal or exceed our minimum funding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1, 2019, we had reserves of $5.3 million and $1.1 million for unrecognized tax benefits and environmental liabilities, respectively. We currently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in the ordinary course of business, to provide surety or performance bonds that commit payments to our customers for any non-performance. At June 1, 2019, $306.3 million of our backlog was bonded by these types of bonds with a face value of $638.9 million. These bonds do not have stated expiration dates, as we are generally released from the bonds upon completion of the contract. We have not been required to make any payments under these bonds with respect to our existing businesses.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statements reflect our expectations for full-year fiscal 2020 results. These statements are forward-looking, and actual results may differ materially.</w:t>
      </w:r>
    </w:p>
    <w:p>
      <w:pPr>
        <w:spacing w:after="0" w:line="1" w:lineRule="exact"/>
        <w:rPr>
          <w:sz w:val="20"/>
          <w:szCs w:val="20"/>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Revenue growth of 1 to 3 percent over fiscal 2019.</w:t>
      </w:r>
    </w:p>
    <w:p>
      <w:pPr>
        <w:spacing w:after="0" w:line="102"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margin of 8.2 to 8.6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per diluted share in the range of $3.00 to $3.20.</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of $60 to $65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2,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2, 2019.</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2, 2019.</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84"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spacing w:after="0" w:line="4"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June 1, 2019,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Murray Mayer v. Apogee Enterprises, Inc., et 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5, 2018, Murray Mayer, individually and on behalf of all others similarly situated, filed a purported securities class action lawsuit against the Company and our Chief Executive Officer and our Chief Financial Officer in the United States District Court for the District of Minnesota. On February 26, 2019, the Court appointed as lead plaintiffs the City of Cape Coral Municipal Firefighters’ Retirement Plan and the City of Cape Coral Municipal Police Officers’ Retirement Plan. On April 26, 2019, the lead plaintiffs filed an amended complaint. The amended complaint alleges that, during the purported class period of May 1, 2017 to April 10, 2019, the Company and the named executive officers made materially false and/or misleading statements or omissions about the Company's acquisition of EFCO Corporation on June 12, 2017, and about the Company's Architectural Glass business segment in violation of Sections 10(b) and 20(a) of the Securities Exchange Act of 1934. The amended complaint seeks an unspecified amount of damages, attorney's fees and costs. We intend to vigorously defend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Buley v. Apogee Enterprises, Inc. et al</w:t>
      </w:r>
    </w:p>
    <w:p>
      <w:pPr>
        <w:sectPr>
          <w:pgSz w:w="11900" w:h="16838" w:orient="portrait"/>
          <w:cols w:equalWidth="0" w:num="1">
            <w:col w:w="11420"/>
          </w:cols>
          <w:pgMar w:left="240" w:top="125" w:right="239" w:bottom="9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7"/>
          <w:szCs w:val="17"/>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alleges claims for breach of fiduciary duty, waste of corporate assets and unjust enrichment, due to the named executive officers and board members allegedly making materially false and/or misleading statements or omissions about the Company's business, operations, and prospects, particularly with respect to our Architectural Glass business segment, during the period between June 28, 2018 and September 17, 2018. The complaint seeks an unspecified amount of damages and equitable relief, including requiring the Company to offer our shareholders the opportunity to vote for certain amendments to our Bylaws or Articles of Incorporation purporting to improve identified corporate governance practices. This matter has been stayed pending resolution of a Motion to Dismiss in the Mayer action described above. We intend to vigorously defend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2, 2019.</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made by the Company of its own stock during the first quarter of fiscal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Shares Purchased (a)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 2019 to March 30,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216,000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1,766,085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March 31, 2019 to April 27, 2019</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221,671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221,671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1,544,414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28, 2019 to June 1,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126,158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94,326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563,829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531,997</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hanging="652"/>
        <w:spacing w:after="0" w:line="250"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660" w:hanging="652"/>
        <w:spacing w:after="0" w:line="24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and January 9, 2018; and by 2,000,000 shares, announced on October 3, 2018. The repurchase program does not have an expiration date.</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The company's 2019 Annual Meeting of Shareholders ("2019 Meeting") will not be held prior to July 28, 2019, or 30 days after the anniversary of the 2018 Annual Meeting of Shareholders. The Board of Directors has not set a date for the 2019 Meeting, but expects it to be held during the fourth calendar quarter of 2019. The company will announce the date and time of the 2019 Meeting, together with the deadline for the submission of shareholder proposals for the 2019 Meeting pursuant to SEC Rule 14a-8, after the Board of Directors has determined the date of the 2019 Meeting.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Item 6.</w:t>
            </w:r>
          </w:p>
        </w:tc>
        <w:tc>
          <w:tcPr>
            <w:tcW w:w="1074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r:id="rId1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840" w:type="dxa"/>
            <w:vAlign w:val="bottom"/>
            <w:shd w:val="clear" w:color="auto" w:fill="CCEEFF"/>
          </w:tcPr>
          <w:p>
            <w:pPr>
              <w:spacing w:after="0"/>
              <w:rPr>
                <w:sz w:val="17"/>
                <w:szCs w:val="17"/>
                <w:color w:val="auto"/>
              </w:rPr>
            </w:pPr>
          </w:p>
        </w:tc>
        <w:tc>
          <w:tcPr>
            <w:tcW w:w="9900" w:type="dxa"/>
            <w:vAlign w:val="bottom"/>
            <w:gridSpan w:val="9"/>
            <w:shd w:val="clear" w:color="auto" w:fill="CCEEFF"/>
          </w:tcPr>
          <w:p>
            <w:pPr>
              <w:spacing w:after="0" w:line="202"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Form of CEO Evaluation-Based Incentive Agreement. Incorporated by reference to Exhibit 10.2 to Registrant's Current Report on Form</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8-K filed on April 30, 2019.</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r:id="rId2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8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Third Amended and Restated Credit Agreement, dated June 25, 2019, by and among Apogee Enterprises, Inc., as the borrower, the</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Lenders referred to therein, Wells Fargo Bank, National Association, as Administrative Agent, Swingline Lender, and Issuing Lender,</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and U.S. Bank National Association, as Syndication Agent and Issuing Lender. Incorporated by reference to Exhibit 10.1 to Registrant's</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Current Report on Form 8-K filed on June 28, 2019.</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840" w:type="dxa"/>
            <w:vAlign w:val="bottom"/>
            <w:shd w:val="clear" w:color="auto" w:fill="CCEEFF"/>
          </w:tcPr>
          <w:p>
            <w:pPr>
              <w:spacing w:after="0"/>
              <w:rPr>
                <w:sz w:val="17"/>
                <w:szCs w:val="17"/>
                <w:color w:val="auto"/>
              </w:rPr>
            </w:pPr>
          </w:p>
        </w:tc>
        <w:tc>
          <w:tcPr>
            <w:tcW w:w="9900" w:type="dxa"/>
            <w:vAlign w:val="bottom"/>
            <w:gridSpan w:val="9"/>
            <w:shd w:val="clear" w:color="auto" w:fill="CCEEFF"/>
          </w:tcPr>
          <w:p>
            <w:pPr>
              <w:spacing w:after="0" w:line="202"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Form of Fiscal 2020 Annual Cash Incentive Award Agreement. Incorporated by reference to Exhibit 10.1 to Registrant's Current Report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252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on Form 8-K filed on July 2, 2019.</w:t>
              </w:r>
            </w:hyperlink>
          </w:p>
        </w:tc>
        <w:tc>
          <w:tcPr>
            <w:tcW w:w="734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w:anchor="page26">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Certification of Chief Executive Officer pursuant to Rule 13a-14(a) under the Securities Exchange Act of 1934.</w:t>
              </w:r>
            </w:hyperlink>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w:anchor="page27">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40" w:type="dxa"/>
            <w:vAlign w:val="bottom"/>
            <w:shd w:val="clear" w:color="auto" w:fill="CCEEFF"/>
          </w:tcPr>
          <w:p>
            <w:pPr>
              <w:spacing w:after="0"/>
              <w:rPr>
                <w:sz w:val="17"/>
                <w:szCs w:val="17"/>
                <w:color w:val="auto"/>
              </w:rPr>
            </w:pPr>
          </w:p>
        </w:tc>
        <w:tc>
          <w:tcPr>
            <w:tcW w:w="9900" w:type="dxa"/>
            <w:vAlign w:val="bottom"/>
            <w:gridSpan w:val="9"/>
            <w:shd w:val="clear" w:color="auto" w:fill="CCEEFF"/>
          </w:tcPr>
          <w:p>
            <w:pPr>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Certification of Chief Financial Officer pursuant to Rule 13a-14(a) under the Securities Exchange Act of 1934.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4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w:anchor="page28">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2"/>
              </w:rPr>
            </w:pPr>
            <w:hyperlink w:anchor="page28">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Act of 2002.</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840" w:type="dxa"/>
            <w:vAlign w:val="bottom"/>
            <w:shd w:val="clear" w:color="auto" w:fill="CCEEFF"/>
          </w:tcPr>
          <w:p>
            <w:pPr>
              <w:spacing w:after="0"/>
              <w:rPr>
                <w:sz w:val="17"/>
                <w:szCs w:val="17"/>
                <w:color w:val="auto"/>
              </w:rPr>
            </w:pPr>
          </w:p>
        </w:tc>
        <w:tc>
          <w:tcPr>
            <w:tcW w:w="9900" w:type="dxa"/>
            <w:vAlign w:val="bottom"/>
            <w:gridSpan w:val="9"/>
            <w:shd w:val="clear" w:color="auto" w:fill="CCEEFF"/>
          </w:tcPr>
          <w:p>
            <w:pPr>
              <w:spacing w:after="0" w:line="202" w:lineRule="exact"/>
              <w:rPr>
                <w:rFonts w:ascii="Arial" w:cs="Arial" w:eastAsia="Arial" w:hAnsi="Arial"/>
                <w:sz w:val="18"/>
                <w:szCs w:val="18"/>
                <w:color w:val="0000FF"/>
                <w:w w:val="92"/>
              </w:rPr>
            </w:pPr>
            <w:hyperlink w:anchor="page29">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Act of 2002.</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520" w:right="20" w:hanging="1485"/>
        <w:spacing w:after="0" w:line="293" w:lineRule="auto"/>
        <w:tabs>
          <w:tab w:leader="none" w:pos="1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Apogee Enterprises, Inc.’s Quarterly Report on Form 10-Q for the quarter ended June 1, 2019 are furnished herewith, formatted in XBRL (Extensible Business Reporting Language): (i) the Consolidated Balance Sheets as of June 1, 2019 and March 2, 2019, (ii) the Consolidated Results of Operations for the three-months ended June 1, 2019 and June 2, 2018, (iii) the Consolidated Statements of Comprehensive Earnings for the three-months ended June 1, 2019 and June 2, 2018, (iv) the Consolidated Statements of Cash Flows for the three-months ended June 2, 2019 and June 2, 2018, (v) the Consolidated Statements of Shareholders' Equity for the three-months ended June 1, 2019 and June 2, 2018, and (vi)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July 11, 2019</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July 11, 2019</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25"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2019</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2019</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June 1, 2019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11, 2019</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June 1, 2019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11,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9" Type="http://schemas.openxmlformats.org/officeDocument/2006/relationships/hyperlink" Target="http://www.sec.gov/Archives/edgar/data/6845/000119312519129740/d739175dex102.htm" TargetMode="External"/><Relationship Id="rId20" Type="http://schemas.openxmlformats.org/officeDocument/2006/relationships/hyperlink" Target="http://www.sec.gov/Archives/edgar/data/6845/000119312519185963/d772041dex101.htm" TargetMode="External"/><Relationship Id="rId21" Type="http://schemas.openxmlformats.org/officeDocument/2006/relationships/hyperlink" Target="http://www.sec.gov/Archives/edgar/data/6845/000119312519188324/d7636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2019-12-28T10:36:39Z</dcterms:created>
  <dcterms:modified xsi:type="dcterms:W3CDTF">2019-12-28T10:36:39Z</dcterms:modified>
</cp:coreProperties>
</file>