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October 6, 2026</w:t>
      </w:r>
      <w:r>
        <w:rPr>
          <w:color w:val="000000"/>
        </w:rPr>
        <w:t xml:space="preserve"> </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APOGEE ENTERPRISES, INC.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w:t>
      </w:r>
    </w:p>
    <w:tbl>
      <w:tblPr>
        <w:tblW w:w="8657" w:type="dxa"/>
        <w:jc w:val="left"/>
        <w:tblInd w:w="0" w:type="dxa"/>
        <w:tblLayout w:type="fixed"/>
        <w:tblCellMar>
          <w:top w:w="28" w:type="dxa"/>
          <w:left w:w="28" w:type="dxa"/>
          <w:bottom w:w="28" w:type="dxa"/>
          <w:right w:w="28" w:type="dxa"/>
        </w:tblCellMar>
      </w:tblPr>
      <w:tblGrid>
        <w:gridCol w:w="1148"/>
        <w:gridCol w:w="1011"/>
        <w:gridCol w:w="1020"/>
        <w:gridCol w:w="109"/>
        <w:gridCol w:w="109"/>
        <w:gridCol w:w="109"/>
        <w:gridCol w:w="385"/>
        <w:gridCol w:w="385"/>
        <w:gridCol w:w="386"/>
        <w:gridCol w:w="332"/>
        <w:gridCol w:w="332"/>
        <w:gridCol w:w="334"/>
        <w:gridCol w:w="109"/>
        <w:gridCol w:w="109"/>
        <w:gridCol w:w="109"/>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41-0919654</w:t>
            </w:r>
          </w:p>
        </w:tc>
      </w:tr>
      <w:tr>
        <w:trPr/>
        <w:tc>
          <w:tcPr>
            <w:tcW w:w="3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6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4400 West 78th Street, Suite 520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Minneapolis</w:t>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55435</w:t>
            </w:r>
          </w:p>
        </w:tc>
      </w:tr>
      <w:tr>
        <w:trPr/>
        <w:tc>
          <w:tcPr>
            <w:tcW w:w="5660"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(952) 835-1874 </w:t>
      </w:r>
    </w:p>
    <w:p>
      <w:pPr>
        <w:pStyle w:val="TextBody"/>
        <w:bidi w:val="0"/>
        <w:spacing w:before="80" w:after="283"/>
        <w:jc w:val="center"/>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18" w:type="dxa"/>
        <w:jc w:val="center"/>
        <w:tblInd w:w="0" w:type="dxa"/>
        <w:tblLayout w:type="fixed"/>
        <w:tblCellMar>
          <w:top w:w="28" w:type="dxa"/>
          <w:left w:w="28" w:type="dxa"/>
          <w:bottom w:w="28" w:type="dxa"/>
          <w:right w:w="28" w:type="dxa"/>
        </w:tblCellMar>
      </w:tblPr>
      <w:tblGrid>
        <w:gridCol w:w="1100"/>
        <w:gridCol w:w="967"/>
        <w:gridCol w:w="978"/>
        <w:gridCol w:w="109"/>
        <w:gridCol w:w="109"/>
        <w:gridCol w:w="109"/>
        <w:gridCol w:w="564"/>
        <w:gridCol w:w="564"/>
        <w:gridCol w:w="566"/>
        <w:gridCol w:w="109"/>
        <w:gridCol w:w="109"/>
        <w:gridCol w:w="109"/>
        <w:gridCol w:w="1118"/>
        <w:gridCol w:w="1118"/>
        <w:gridCol w:w="1589"/>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$0.33 1/3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(Section 230.405 of this chapter) or Rule 12b-2 of the Securities Exchange Act of 1934 (Section 240.12b-2 of this chapter).</w:t>
      </w:r>
    </w:p>
    <w:tbl>
      <w:tblPr>
        <w:tblW w:w="2696" w:type="dxa"/>
        <w:jc w:val="center"/>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6465" w:type="dxa"/>
        <w:jc w:val="left"/>
        <w:tblInd w:w="0" w:type="dxa"/>
        <w:tblLayout w:type="fixed"/>
        <w:tblCellMar>
          <w:top w:w="28" w:type="dxa"/>
          <w:left w:w="28" w:type="dxa"/>
          <w:bottom w:w="28" w:type="dxa"/>
          <w:right w:w="28" w:type="dxa"/>
        </w:tblCellMar>
      </w:tblPr>
      <w:tblGrid>
        <w:gridCol w:w="381"/>
        <w:gridCol w:w="334"/>
        <w:gridCol w:w="336"/>
        <w:gridCol w:w="1583"/>
        <w:gridCol w:w="1583"/>
        <w:gridCol w:w="224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6, 2026, Apogee Enterprises, Inc. issued a press release announcing its financial results for the second quarter of fiscal 2027. A copy of this press release is attached hereto as Exhibit 99.1 and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information furnished in Item 2.02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and shall not be deemed to be incorporated by reference into any registration statement or other document filed pursuant to the Securities Act of 1933, as amended.</w:t>
      </w:r>
      <w:r>
        <w:rPr>
          <w:color w:val="000000"/>
        </w:rPr>
        <w:t> </w:t>
      </w:r>
    </w:p>
    <w:p>
      <w:pPr>
        <w:pStyle w:val="TextBody"/>
        <w:bidi w:val="0"/>
        <w:spacing w:before="0" w:after="0"/>
        <w:jc w:val="left"/>
        <w:rPr/>
      </w:pPr>
      <w:r>
        <w:rPr/>
      </w:r>
    </w:p>
    <w:tbl>
      <w:tblPr>
        <w:tblW w:w="5100" w:type="dxa"/>
        <w:jc w:val="left"/>
        <w:tblInd w:w="0" w:type="dxa"/>
        <w:tblLayout w:type="fixed"/>
        <w:tblCellMar>
          <w:top w:w="28" w:type="dxa"/>
          <w:left w:w="28" w:type="dxa"/>
          <w:bottom w:w="28" w:type="dxa"/>
          <w:right w:w="28" w:type="dxa"/>
        </w:tblCellMar>
      </w:tblPr>
      <w:tblGrid>
        <w:gridCol w:w="381"/>
        <w:gridCol w:w="334"/>
        <w:gridCol w:w="336"/>
        <w:gridCol w:w="1185"/>
        <w:gridCol w:w="1185"/>
        <w:gridCol w:w="1679"/>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123" w:type="dxa"/>
        <w:jc w:val="center"/>
        <w:tblInd w:w="0" w:type="dxa"/>
        <w:tblLayout w:type="fixed"/>
        <w:tblCellMar>
          <w:top w:w="28" w:type="dxa"/>
          <w:left w:w="28" w:type="dxa"/>
          <w:bottom w:w="28" w:type="dxa"/>
          <w:right w:w="28" w:type="dxa"/>
        </w:tblCellMar>
      </w:tblPr>
      <w:tblGrid>
        <w:gridCol w:w="462"/>
        <w:gridCol w:w="406"/>
        <w:gridCol w:w="408"/>
        <w:gridCol w:w="109"/>
        <w:gridCol w:w="109"/>
        <w:gridCol w:w="109"/>
        <w:gridCol w:w="1033"/>
        <w:gridCol w:w="1033"/>
        <w:gridCol w:w="1037"/>
        <w:gridCol w:w="363"/>
        <w:gridCol w:w="363"/>
        <w:gridCol w:w="363"/>
        <w:gridCol w:w="363"/>
        <w:gridCol w:w="363"/>
        <w:gridCol w:w="363"/>
        <w:gridCol w:w="363"/>
        <w:gridCol w:w="363"/>
        <w:gridCol w:w="513"/>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0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0"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82926fy27q2results.htm">
              <w:r>
                <w:rPr>
                  <w:rStyle w:val="InternetLink"/>
                  <w:rFonts w:ascii="Times New Roman;serif" w:hAnsi="Times New Roman;serif"/>
                  <w:b w:val="false"/>
                  <w:color w:val="000080"/>
                  <w:sz w:val="20"/>
                  <w:u w:val="single"/>
                </w:rPr>
                <w:t xml:space="preserve">Press Release issued by Apogee Enterprises, Inc. dated </w:t>
              </w:r>
            </w:hyperlink>
            <w:hyperlink w:anchor="a82926fy27q2results.htm">
              <w:r>
                <w:rPr>
                  <w:rStyle w:val="InternetLink"/>
                  <w:rFonts w:ascii="Times New Roman;serif" w:hAnsi="Times New Roman;serif"/>
                  <w:b w:val="false"/>
                  <w:color w:val="000080"/>
                  <w:sz w:val="20"/>
                  <w:u w:val="single"/>
                </w:rPr>
                <w:t xml:space="preserve">October </w:t>
              </w:r>
            </w:hyperlink>
            <w:hyperlink w:anchor="a82926fy27q2results.htm">
              <w:r>
                <w:rPr>
                  <w:rStyle w:val="InternetLink"/>
                  <w:rFonts w:ascii="Times New Roman;serif" w:hAnsi="Times New Roman;serif"/>
                  <w:b w:val="false"/>
                  <w:color w:val="000080"/>
                  <w:sz w:val="20"/>
                  <w:u w:val="single"/>
                </w:rPr>
                <w:t>6, 2026</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
        <w:jc w:val="center"/>
        <w:rPr/>
      </w:pPr>
      <w:r>
        <w:rPr/>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164" w:type="dxa"/>
        <w:jc w:val="right"/>
        <w:tblInd w:w="0" w:type="dxa"/>
        <w:tblLayout w:type="fixed"/>
        <w:tblCellMar>
          <w:top w:w="28" w:type="dxa"/>
          <w:left w:w="28" w:type="dxa"/>
          <w:bottom w:w="28" w:type="dxa"/>
          <w:right w:w="28" w:type="dxa"/>
        </w:tblCellMar>
      </w:tblPr>
      <w:tblGrid>
        <w:gridCol w:w="319"/>
        <w:gridCol w:w="281"/>
        <w:gridCol w:w="281"/>
        <w:gridCol w:w="281"/>
        <w:gridCol w:w="281"/>
        <w:gridCol w:w="281"/>
        <w:gridCol w:w="1300"/>
        <w:gridCol w:w="1300"/>
        <w:gridCol w:w="1840"/>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APOGEE ENTERPRISES, INC.</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4440"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R. Augdahl</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R. Augdahl</w:t>
              <w:br/>
              <w:t>Executive Vice President and Chief Financial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Dated: October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781175" cy="1457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81175" cy="1457325"/>
                    </a:xfrm>
                    <a:prstGeom prst="rect">
                      <a:avLst/>
                    </a:prstGeom>
                  </pic:spPr>
                </pic:pic>
              </a:graphicData>
            </a:graphic>
          </wp:inline>
        </w:drawing>
      </w:r>
    </w:p>
    <w:p>
      <w:pPr>
        <w:pStyle w:val="TextBody"/>
        <w:bidi w:val="0"/>
        <w:spacing w:lineRule="auto" w:line="288" w:before="240" w:after="240"/>
        <w:jc w:val="left"/>
        <w:rPr>
          <w:rFonts w:ascii="Times New Roman;serif" w:hAnsi="Times New Roman;serif"/>
          <w:b/>
          <w:color w:val="000000"/>
          <w:sz w:val="32"/>
        </w:rPr>
      </w:pPr>
      <w:r>
        <w:rPr>
          <w:rFonts w:ascii="Times New Roman;serif" w:hAnsi="Times New Roman;serif"/>
          <w:b/>
          <w:color w:val="000000"/>
          <w:sz w:val="32"/>
        </w:rPr>
        <w:t>Press Release</w:t>
      </w:r>
    </w:p>
    <w:p>
      <w:pPr>
        <w:pStyle w:val="TextBody"/>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 xml:space="preserve">FOR RELEASE: October 6, 2026 </w:t>
      </w:r>
    </w:p>
    <w:p>
      <w:pPr>
        <w:pStyle w:val="TextBody"/>
        <w:bidi w:val="0"/>
        <w:spacing w:before="60" w:after="60"/>
        <w:jc w:val="left"/>
        <w:rPr/>
      </w:pPr>
      <w:r>
        <w:rPr/>
      </w:r>
    </w:p>
    <w:p>
      <w:pPr>
        <w:pStyle w:val="TextBody"/>
        <w:bidi w:val="0"/>
        <w:spacing w:lineRule="auto" w:line="268" w:before="60" w:after="60"/>
        <w:jc w:val="center"/>
        <w:rPr>
          <w:rFonts w:ascii="Times New Roman;serif" w:hAnsi="Times New Roman;serif"/>
          <w:b/>
          <w:color w:val="000000"/>
          <w:sz w:val="24"/>
        </w:rPr>
      </w:pPr>
      <w:r>
        <w:rPr>
          <w:rFonts w:ascii="Times New Roman;serif" w:hAnsi="Times New Roman;serif"/>
          <w:b/>
          <w:color w:val="000000"/>
          <w:sz w:val="24"/>
        </w:rPr>
        <w:t>APOGEE ENTERPRISES REPORTS FISCAL 2027 SECOND QUARTER RESULTS</w:t>
      </w:r>
    </w:p>
    <w:p>
      <w:pPr>
        <w:pStyle w:val="TextBody"/>
        <w:bidi w:val="0"/>
        <w:spacing w:before="60" w:after="60"/>
        <w:jc w:val="center"/>
        <w:rPr/>
      </w:pPr>
      <w:r>
        <w:rPr/>
      </w:r>
    </w:p>
    <w:p>
      <w:pPr>
        <w:pStyle w:val="TextBody"/>
        <w:bidi w:val="0"/>
        <w:spacing w:lineRule="auto" w:line="276" w:before="0" w:after="120"/>
        <w:ind w:left="0" w:right="0" w:hanging="360"/>
        <w:jc w:val="left"/>
        <w:rPr/>
      </w:pPr>
      <w:r>
        <w:rPr>
          <w:color w:val="000000"/>
        </w:rPr>
        <w:t>•</w:t>
      </w:r>
      <w:r>
        <w:rPr>
          <w:rFonts w:ascii="Times New Roman;serif" w:hAnsi="Times New Roman;serif"/>
          <w:b w:val="false"/>
          <w:i/>
          <w:color w:val="000000"/>
          <w:sz w:val="22"/>
        </w:rPr>
        <w:t>Second-quarter net sales increased 9.2% to $391.1 million</w:t>
      </w:r>
    </w:p>
    <w:p>
      <w:pPr>
        <w:pStyle w:val="TextBody"/>
        <w:bidi w:val="0"/>
        <w:spacing w:lineRule="auto" w:line="276" w:before="0" w:after="120"/>
        <w:ind w:left="0" w:right="0" w:hanging="360"/>
        <w:jc w:val="left"/>
        <w:rPr/>
      </w:pPr>
      <w:r>
        <w:rPr>
          <w:color w:val="000000"/>
        </w:rPr>
        <w:t>•</w:t>
      </w:r>
      <w:r>
        <w:rPr>
          <w:rFonts w:ascii="Times New Roman;serif" w:hAnsi="Times New Roman;serif"/>
          <w:b w:val="false"/>
          <w:i/>
          <w:color w:val="000000"/>
          <w:sz w:val="22"/>
        </w:rPr>
        <w:t>Second-quarter diluted EPS of $1.07 and adjusted diluted EPS of $1.17</w:t>
      </w:r>
    </w:p>
    <w:p>
      <w:pPr>
        <w:pStyle w:val="TextBody"/>
        <w:bidi w:val="0"/>
        <w:spacing w:lineRule="auto" w:line="276" w:before="0" w:after="120"/>
        <w:ind w:left="0" w:right="0" w:hanging="360"/>
        <w:jc w:val="left"/>
        <w:rPr/>
      </w:pPr>
      <w:r>
        <w:rPr>
          <w:color w:val="000000"/>
        </w:rPr>
        <w:t>•</w:t>
      </w:r>
      <w:r>
        <w:rPr>
          <w:rFonts w:ascii="Times New Roman;serif" w:hAnsi="Times New Roman;serif"/>
          <w:b w:val="false"/>
          <w:i/>
          <w:color w:val="000000"/>
          <w:sz w:val="22"/>
        </w:rPr>
        <w:t>Advanced strategic priorities through the acquisitions of Kalwall and Groglass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i/>
          <w:color w:val="000000"/>
          <w:sz w:val="22"/>
        </w:rPr>
        <w:t>Company raises fiscal 2027 adjusted diluted EPS guidance range to $3.00-$3.40 from $2.70-$3.25</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color w:val="000000"/>
          <w:sz w:val="22"/>
        </w:rPr>
        <w:t>MINNEAPOLIS, MN, October 6, 2026</w:t>
      </w:r>
      <w:r>
        <w:rPr>
          <w:color w:val="000000"/>
        </w:rPr>
        <w:t xml:space="preserve"> – </w:t>
      </w:r>
      <w:r>
        <w:rPr>
          <w:rFonts w:ascii="Times New Roman;serif" w:hAnsi="Times New Roman;serif"/>
          <w:b/>
          <w:color w:val="000000"/>
          <w:sz w:val="22"/>
        </w:rPr>
        <w:t>Apogee Enterprises, Inc. (Nasdaq: APOG)</w:t>
      </w:r>
      <w:r>
        <w:rPr>
          <w:rFonts w:ascii="Times New Roman;serif" w:hAnsi="Times New Roman;serif"/>
          <w:b w:val="false"/>
          <w:color w:val="000000"/>
          <w:sz w:val="22"/>
        </w:rPr>
        <w:t>, a leading provider of architectural building products and services, as well as high-performance coated materials used in a variety of applications, today reported its results for the second quarter of fiscal 2027, ended August 29, 2026. The Company reported the following selected financial results:</w:t>
      </w:r>
    </w:p>
    <w:tbl>
      <w:tblPr>
        <w:tblW w:w="8802" w:type="dxa"/>
        <w:jc w:val="left"/>
        <w:tblInd w:w="0" w:type="dxa"/>
        <w:tblLayout w:type="fixed"/>
        <w:tblCellMar>
          <w:top w:w="28" w:type="dxa"/>
          <w:left w:w="28" w:type="dxa"/>
          <w:bottom w:w="28" w:type="dxa"/>
          <w:right w:w="28" w:type="dxa"/>
        </w:tblCellMar>
      </w:tblPr>
      <w:tblGrid>
        <w:gridCol w:w="1423"/>
        <w:gridCol w:w="1251"/>
        <w:gridCol w:w="1255"/>
        <w:gridCol w:w="109"/>
        <w:gridCol w:w="109"/>
        <w:gridCol w:w="109"/>
        <w:gridCol w:w="217"/>
        <w:gridCol w:w="853"/>
        <w:gridCol w:w="279"/>
        <w:gridCol w:w="109"/>
        <w:gridCol w:w="109"/>
        <w:gridCol w:w="109"/>
        <w:gridCol w:w="217"/>
        <w:gridCol w:w="853"/>
        <w:gridCol w:w="279"/>
        <w:gridCol w:w="109"/>
        <w:gridCol w:w="109"/>
        <w:gridCol w:w="109"/>
        <w:gridCol w:w="310"/>
        <w:gridCol w:w="310"/>
        <w:gridCol w:w="311"/>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(Unaudited, $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391,135 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358,194 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Measures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6"/>
              </w:rPr>
            </w:pPr>
            <w:r>
              <w:rPr>
                <w:rFonts w:ascii="Times New Roman;serif" w:hAnsi="Times New Roman;serif"/>
                <w:b w:val="false"/>
                <w:color w:val="000000"/>
                <w:sz w:val="16"/>
              </w:rPr>
              <w:t>Earnings before interest, taxes, depreciation and amortization (EBITDA), EBITDA margin, adjusted EBITDA, adjusted EBITDA margin, and adjusted diluted earnings per share (EPS) are non-GAAP financial measures. See Use of Non-GAAP Financial Measures and reconciliations to the most directly comparable GAAP measures later in this press release.</w:t>
            </w:r>
          </w:p>
        </w:tc>
      </w:tr>
    </w:tbl>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We are pleased with the second-quarter results which exceeded our expectations, driven by strong execution across the business. The benefits of disciplined pricing, productivity initiatives, and ongoing operational improvements helped offset a mixed demand environment," said Don Nolan, Executive Chair and Chief Executive Officer.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"The momentum we established in the first half of the year, combined with our confidence in the business, supports our decision to raise full-year guidance. We also advanced our strategic priorities through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50010"/>
                <wp:effectExtent l="0" t="0" r="0" b="0"/>
                <wp:wrapNone/>
                <wp:docPr id="5" name="Frame4"/>
                <a:graphic xmlns:a="http://schemas.openxmlformats.org/drawingml/2006/main">
                  <a:graphicData uri="http://schemas.microsoft.com/office/word/2010/wordprocessingShape">
                    <wps:wsp>
                      <wps:cNvSpPr txBox="1"/>
                      <wps:spPr>
                        <a:xfrm>
                          <a:off x="0" y="0"/>
                          <a:ext cx="6480175" cy="13500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acquisitions of Kalwall and Groglass. Early performance at Kalwall has been encouraging, and we believe the addition of Groglass will further strengthen our portfolio through differentiated capabilities and increased exposure to attractive end markets that support long-term value creation."</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color w:val="000000"/>
          <w:sz w:val="24"/>
        </w:rPr>
        <w:t xml:space="preserve">Second Quarter Consolidated Results </w:t>
      </w:r>
      <w:r>
        <w:rPr>
          <w:rFonts w:ascii="Times New Roman;serif" w:hAnsi="Times New Roman;serif"/>
          <w:b w:val="false"/>
          <w:color w:val="000000"/>
          <w:sz w:val="22"/>
        </w:rPr>
        <w:t>(Second Quarter Fiscal 2027 compared to Second Quarter Fiscal 2026)</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 xml:space="preserve">Net sales increased 9.2% to $391.1 million, driven by a $16.4 million contribution from the Kalwall acquisition, price, and favorable mix, partially offset by lower volume.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Gross margin rose 150 basis points to 24.6%, primarily due to price, productivity improvements, including the net benefit from Project Fortify 2, and the accretive impact of the Kalwall acquisition, partially offset by higher material and manufacturing costs and impacts from lower volume.</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Selling, general and administrative (SG&amp;A) expenses as a percentage of net sales increased 40 basis points to 16.0%, primarily due to higher incentive compensation expense, partially offset by cost savings from Fortify Phase 2.</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Operating income increased to $33.5 million from $26.9 million, and operating margin increased 110 basis points to 8.6%.</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 xml:space="preserve">Adjusted EBITDA increased to $49.5 million, compared to $44.4 million, and adjusted EBITDA margin increased to 12.7%, compared to 12.4%.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Other income decreased to $0.5 million from $5.1 million, primarily due to a nonrecurring New Markets Tax Credit.</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Interest expense decreased to $3.6 million, compared to $4.1 million, primarily due to lower average debt balance.</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 xml:space="preserve">Diluted earnings per share (EPS) were $1.07, compared to $1.10, and adjusted diluted EPS increased to $1.17, compared to $0.98.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pPr>
      <w:r>
        <w:rPr>
          <w:rFonts w:ascii="Times New Roman;serif" w:hAnsi="Times New Roman;serif"/>
          <w:b/>
          <w:color w:val="000000"/>
          <w:sz w:val="24"/>
        </w:rPr>
        <w:t>Second Quarter Segment Results</w:t>
      </w:r>
      <w:r>
        <w:rPr>
          <w:color w:val="000000"/>
        </w:rPr>
        <w:t xml:space="preserve"> </w:t>
      </w:r>
      <w:r>
        <w:rPr>
          <w:rFonts w:ascii="Times New Roman;serif" w:hAnsi="Times New Roman;serif"/>
          <w:b w:val="false"/>
          <w:color w:val="000000"/>
          <w:sz w:val="22"/>
        </w:rPr>
        <w:t>(Second Quarter Fiscal 2027 Compared to Second Quarter Fiscal 2026)</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Architectural Metals</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Net sales increased 1.8% to $143.5 million, driven by favorable price, partially offset by lower volume. Adjusted EBITDA was $22.1 million, or 15.4% of net sales, compared to $20.8 million, or 14.8% of net sales. The higher adjusted EBITDA margin was primarily driven by price, improved productivity and cost savings from Fortify Phase 2, and favorable mix, partially offset by the net impact from higher aluminum costs and lower volume.</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Architectural Services</w:t>
      </w:r>
    </w:p>
    <w:p>
      <w:pPr>
        <w:pStyle w:val="TextBody"/>
        <w:bidi w:val="0"/>
        <w:spacing w:lineRule="auto" w:line="268" w:before="0" w:after="120"/>
        <w:jc w:val="left"/>
        <w:rPr/>
      </w:pPr>
      <w:r>
        <w:rPr>
          <w:rFonts w:ascii="Times New Roman;serif" w:hAnsi="Times New Roman;serif"/>
          <w:b w:val="false"/>
          <w:color w:val="000000"/>
          <w:sz w:val="22"/>
        </w:rPr>
        <w:t>Net sales increased 7.9% to $108.5 million, primarily due to increased volume. Adjusted EBITDA was $6.2 million, or 5.8% of net sales, compared to $5.0 million, or 5.0% of net sales. The increase in adjusted EBITDA margin was primarily driven by project mix and higher volume. Segment backlog</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at the end of the quarter was $833.0 million compared to $792.3 million at the end of fiscal year 2026.</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Architectural Glass</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Net sales increased 21.1% to $87.4 million, driven by a $16.4 million contribution from the Kalwall acquisition and favorable mix, partially offset by lower volume and price. Adjusted EBITDA was $13.0 million, or 14.9% of net sales, compared to $11.6 million, or 16.1% of net sales. The decrease in adjusted EBITDA margin was </w:t>
      </w:r>
    </w:p>
    <w:p>
      <w:pPr>
        <w:pStyle w:val="TextBody"/>
        <w:bidi w:val="0"/>
        <w:spacing w:lineRule="auto" w:line="268" w:before="0" w:after="12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8"/>
        </w:rPr>
        <w:t>Backlog is a non-GAAP financial measure. See Use of Non-GAAP Financial Measures later in this press release for more information.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26210"/>
                <wp:effectExtent l="0" t="0" r="0" b="0"/>
                <wp:wrapNone/>
                <wp:docPr id="6" name="Frame5"/>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primarily driven by price, higher manufacturing and freight costs, and lower volume, partially offset by the accretive contribution of the Kalwall acquisition and favorable mix.</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Performance Surfaces</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Net sales increased 14.2% to $55.3 million due to higher volume and price. Adjusted EBITDA was $12.4 million, or 22.5% of net sales compared to $11.2 million, or 23.2% of net sales. The decrease in adjusted EBITDA margin was primarily driven by the impact of higher material costs, partially offset by price and increased volume.</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Corporate and Other</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Corporate and other adjusted EBITDA was an expense of $4.2 million, compared to $4.3 million in the prior year. The improvement was primarily due to the benefits from cost savings related to Fortify Phase 2 and lower health insurance costs, partially offset by higher incentive compensation expense.</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Financial Condition</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Fiscal year-to-date, net cash provided by operating activities was $43.3 million, compared to $37.3 million in the prior year period. </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Fiscal year-to-date, the Company returned $27.3 million of cash to shareholders, through $16.1 million of share repurchases and $11.2 million of dividends. </w:t>
      </w:r>
    </w:p>
    <w:p>
      <w:pPr>
        <w:pStyle w:val="TextBody"/>
        <w:bidi w:val="0"/>
        <w:spacing w:lineRule="auto" w:line="268" w:before="0" w:after="120"/>
        <w:jc w:val="left"/>
        <w:rPr/>
      </w:pPr>
      <w:r>
        <w:rPr>
          <w:rFonts w:ascii="Times New Roman;serif" w:hAnsi="Times New Roman;serif"/>
          <w:b w:val="false"/>
          <w:color w:val="000000"/>
          <w:sz w:val="22"/>
        </w:rPr>
        <w:t>Quarter-end long-term debt increased to $335.5 million, bringing the Consolidated Leverage Ratio</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(as defined in the Company’s credit agreement) to 1.7x at the end of the quarter.</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Fiscal 2027 Outlook</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Reflecting stronger-than-expected first-half performance, the anticipated contributions from Kalwall and Groglass, and current macroeconomic conditions, the Company is raising its fiscal 2027 outlook. The Company now expects net sales in the range of $1.46 billion to $1.50 billion, compared with its previous range of $1.38 billion to $1.43 billion, and adjusted diluted EPS in the range of $3.00 to $3.40, compared with its previous range of $2.70 to $3.25. The Company’s outlook also assumes interest expense of approximately $15 million, an adjusted effective tax rate of approximately 26%, and capital expenditures between $35 million and $40 million.</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Conference Call Information</w:t>
      </w:r>
    </w:p>
    <w:p>
      <w:pPr>
        <w:pStyle w:val="TextBody"/>
        <w:bidi w:val="0"/>
        <w:spacing w:lineRule="auto" w:line="268" w:before="0" w:after="120"/>
        <w:jc w:val="left"/>
        <w:rPr/>
      </w:pPr>
      <w:r>
        <w:rPr>
          <w:rFonts w:ascii="Times New Roman;serif" w:hAnsi="Times New Roman;serif"/>
          <w:b w:val="false"/>
          <w:color w:val="000000"/>
          <w:sz w:val="22"/>
        </w:rPr>
        <w:t xml:space="preserve">The Company will host a conference call today at 8:00 a.m. Central Time to discuss this earnings release. This call will be webcast and is available in the Investor Relations section of the Company’s website, along with presentation slides, at </w:t>
      </w:r>
      <w:r>
        <w:rPr>
          <w:rFonts w:ascii="Times New Roman;serif" w:hAnsi="Times New Roman;serif"/>
          <w:b w:val="false"/>
          <w:color w:val="0E32E1"/>
          <w:sz w:val="22"/>
          <w:u w:val="single"/>
        </w:rPr>
        <w:t>https://www.apog.com/events-and-presentations</w:t>
      </w:r>
      <w:r>
        <w:rPr>
          <w:rFonts w:ascii="Times New Roman;serif" w:hAnsi="Times New Roman;serif"/>
          <w:b w:val="false"/>
          <w:color w:val="000000"/>
          <w:sz w:val="22"/>
        </w:rPr>
        <w:t>. A replay and transcript of the webcast will be available on the Company’s website following the conference call.</w:t>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About Apogee Enterprises</w:t>
      </w:r>
    </w:p>
    <w:p>
      <w:pPr>
        <w:pStyle w:val="TextBody"/>
        <w:bidi w:val="0"/>
        <w:spacing w:lineRule="auto" w:line="276" w:before="0" w:after="120"/>
        <w:jc w:val="left"/>
        <w:rPr/>
      </w:pPr>
      <w:r>
        <w:rPr>
          <w:rFonts w:ascii="Times New Roman;serif" w:hAnsi="Times New Roman;serif"/>
          <w:b w:val="false"/>
          <w:color w:val="000000"/>
          <w:sz w:val="22"/>
        </w:rPr>
        <w:t xml:space="preserve">Apogee Enterprises, Inc. (Nasdaq: APOG) is a leading provider of architectural building products and services, as well as high-performance coated materials used in a variety of applications. Headquartered in Minneapolis, MN, our portfolio of industry-leading products and services includes architectural glass, windows, curtainwall, storefront and entrance systems, integrated project management and installation services, and high-performance coatings that provide protection, innovative design, and enhanced performance. For more information, visit </w:t>
      </w:r>
      <w:r>
        <w:rPr>
          <w:rFonts w:ascii="Times New Roman;serif" w:hAnsi="Times New Roman;serif"/>
          <w:b w:val="false"/>
          <w:color w:val="000000"/>
          <w:sz w:val="24"/>
          <w:u w:val="single"/>
        </w:rPr>
        <w:t>www.apog.com</w:t>
      </w:r>
      <w:r>
        <w:rPr>
          <w:rFonts w:ascii="Times New Roman;serif" w:hAnsi="Times New Roman;serif"/>
          <w:b w:val="false"/>
          <w:color w:val="000000"/>
          <w:sz w:val="22"/>
        </w:rPr>
        <w:t>.</w:t>
      </w:r>
      <w:r>
        <w:rPr>
          <w:color w:val="000000"/>
        </w:rPr>
        <w:t xml:space="preserve"> </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Use of Non-GAAP Financial Measures</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Management uses non-GAAP measures to evaluate the Company’s historical and prospective financial performance, measure operational profitability on a consistent basis, as a factor in determining executive compensation, and to provide enhanced transparency to the investment community. Non-GAAP measures should be viewed in addition to, and not as a substitute for, the reported financial results of the Company </w:t>
      </w:r>
    </w:p>
    <w:p>
      <w:pPr>
        <w:pStyle w:val="TextBody"/>
        <w:bidi w:val="0"/>
        <w:spacing w:lineRule="auto" w:line="268" w:before="0" w:after="12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18"/>
        </w:rPr>
        <w:t>Consolidated Leverage Ratio is a non-GAAP financial measure. See Use of Non-GAAP Financial Measures later in this press release for more information.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26210"/>
                <wp:effectExtent l="0" t="0" r="0" b="0"/>
                <wp:wrapNone/>
                <wp:docPr id="7" name="Frame6"/>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lineRule="auto" w:line="268" w:before="0" w:after="120"/>
        <w:jc w:val="left"/>
        <w:rPr>
          <w:rFonts w:ascii="Times New Roman;serif" w:hAnsi="Times New Roman;serif"/>
          <w:b w:val="false"/>
          <w:color w:val="000000"/>
          <w:sz w:val="22"/>
        </w:rPr>
      </w:pPr>
      <w:r>
        <w:rPr>
          <w:rFonts w:ascii="Times New Roman;serif" w:hAnsi="Times New Roman;serif"/>
          <w:b w:val="false"/>
          <w:color w:val="000000"/>
          <w:sz w:val="22"/>
        </w:rPr>
        <w:t>prepared in accordance with GAAP. Other companies may calculate these measures differently, limiting the usefulness of the measures for comparison with other companies. This release and other financial communications may contain the following non-GAAP measures: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Adjusted net earnings and adjusted diluted EPS are used by the Company to provide meaningful supplemental information about its operating performance by excluding amounts that the Company does not consider to be part of core operating results, to enhance comparability of results from period to period. The Company is unable to provide a quantitative reconciliation of its forward-looking adjusted diluted EPS guidance to the most directly comparable GAAP measure without unreasonable effort because it cannot reliably predict the timing and magnitude of certain items, including acquisition-related costs, integration costs, restructuring-related items, and other discrete items that could materially affect GAAP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Adjusted EBITDA represents adjusted net earnings before interest, taxes, depreciation, and amortization. The Company uses adjusted EBITDA and adjusted EBITDA margin to assess segment performance and make decisions about the allocation of operating and capital resources by analyzing recent results, trends, and variances of each segment in relation to forecasts and historical performance.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Consolidated Leverage Ratio is calculated as Consolidated Funded Indebtedness minus Unrestricted Cash at the end of the current period, divided by Consolidated EBITDA. All capitalized and undefined terms used in this bullet and not otherwise defined herein are defined in the Company’s credit agreement dated July 19, 2024, which is included as an exhibit to the Company’s most recent Annual Report on form 10-K. The Company is unable to present a quantitative reconciliation of forward-looking expected Consolidated Leverage Ratio to its most directly comparable forward-looking GAAP financial measure without unreasonable effort because management cannot reliably predict all the necessary components of that GAAP measure. In addition, the Company believes such reconciliation could imply a degree of precision that would be confusing or misleading to investors.</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2"/>
        </w:rPr>
        <w:t>Backlog is defined as the dollar amount of signed contracts or firm orders, generally as a result of a competitive bidding process, which is expected to be recognized as revenue.</w:t>
      </w:r>
      <w:r>
        <w:rPr>
          <w:color w:val="000000"/>
        </w:rPr>
        <w:t xml:space="preserve"> </w:t>
      </w:r>
      <w:r>
        <w:rPr>
          <w:rFonts w:ascii="Times New Roman;serif" w:hAnsi="Times New Roman;serif"/>
          <w:b w:val="false"/>
          <w:color w:val="000000"/>
          <w:sz w:val="22"/>
        </w:rPr>
        <w:t>Backlog is an operating measure used by management to assess future potential sales revenue.</w:t>
      </w:r>
      <w:r>
        <w:rPr>
          <w:color w:val="000000"/>
        </w:rPr>
        <w:t xml:space="preserve"> </w:t>
      </w:r>
      <w:r>
        <w:rPr>
          <w:rFonts w:ascii="Times New Roman;serif" w:hAnsi="Times New Roman;serif"/>
          <w:b w:val="false"/>
          <w:color w:val="000000"/>
          <w:sz w:val="22"/>
        </w:rPr>
        <w:t>It is most meaningful for the Architectural Services segment, due to the longer-term nature of their projects. Backlog is not a term defined under U.S. GAAP and is not a measure of contract profitability. Backlog should not be used as the sole indicator of future revenue because the Company has a substantial number of projects with short lead times that book-and-bill within the same reporting period that are not included in backlog.</w:t>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within the meaning of the safe harbor provisions of the U.S. Private Securities Litigation Reform Act of 1995. The words “may,” “believe,” “expect,” “anticipate,” “intend,” “estimate,” “forecast,” “project,” “should,” “will,” “continue,” and similar expressions are intended to identify “forward-looking statements”. These statements reflect Apogee management’s expectations or beliefs as of the date of this release. The Company undertakes no obligation to publicly update or revise any forward-looking statements, whether as a result of new information, future events or otherwise. All forward-looking statements are qualified by factors that may affect the results, performance, financial condition, prospects and opportunities of the Company, including the following: (A) North American and global economic conditions, including the cyclical nature of the North American and Latin American non-residential construction industries, which may adversely affect demand for the Company’s products and services; (B) U.S. and global instability and uncertainty arising from events outside of our control; (C) actions of new and existing competitors; (D) departure of key personnel and ability to source sufficient labor; (E) product performance, reliability and quality issues; (F) project management and installation issues that could affect the profitability of individual contracts; (G) financial and operating results that could differ from market expectations; (H) self-insurance risk related to a material product liability or other events for which the Company is liable; (I) maintaining our information technology systems and potential cybersecurity threats; (J) cost of regulatory compliance, including environmental regulations; (K) supply chain disruptions, including fluctuations in the availability and cost of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26210"/>
                <wp:effectExtent l="0" t="0" r="0" b="0"/>
                <wp:wrapNone/>
                <wp:docPr id="8" name="Frame7"/>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5</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materials used in our products and the impact of trade policies and regulations, including existing and potential future tariffs; (L) the ability to complete announced acquisitions on expected terms and timing; the successful integration and future operating performance of acquired businesses; and the ability to achieve anticipated benefits, including cost synergies, within expected timeframes; (M) our ability to successfully manage and implement our enterprise strategy; (N) our ability to maintain effective internal controls over financial reporting; (O) our judgments regarding accounting for tax positions and resolution of tax disputes; (P) the impacts of cost inflation and interest rates; and (Q) the impact of changes in capital and credit markets on our liquidity and cost of capital. These factors are not exhaustive. Additional factors that could cause actual results to differ materially from those described in the forward-looking statements may emerge from time to time, and it is not possible for the Company to predict all such factors or assess the impact of each factor, or any combination of factors, on the Company’s business. More information concerning these and other risks is included in the Company’s Annual Report on Form 10-K and in subsequent filings with the U.S. Securities and Exchange Commission.</w:t>
      </w:r>
    </w:p>
    <w:p>
      <w:pPr>
        <w:pStyle w:val="TextBody"/>
        <w:bidi w:val="0"/>
        <w:spacing w:before="0" w:after="120"/>
        <w:jc w:val="left"/>
        <w:rPr/>
      </w:pPr>
      <w:r>
        <w:rPr/>
      </w:r>
    </w:p>
    <w:p>
      <w:pPr>
        <w:pStyle w:val="TextBody"/>
        <w:bidi w:val="0"/>
        <w:spacing w:lineRule="auto" w:line="276" w:before="0" w:after="120"/>
        <w:jc w:val="left"/>
        <w:rPr>
          <w:rFonts w:ascii="Times New Roman;serif" w:hAnsi="Times New Roman;serif"/>
          <w:b/>
          <w:color w:val="000000"/>
          <w:sz w:val="24"/>
        </w:rPr>
      </w:pPr>
      <w:r>
        <w:rPr>
          <w:rFonts w:ascii="Times New Roman;serif" w:hAnsi="Times New Roman;serif"/>
          <w:b/>
          <w:color w:val="000000"/>
          <w:sz w:val="24"/>
        </w:rPr>
        <w:t>Contact</w:t>
      </w:r>
    </w:p>
    <w:p>
      <w:pPr>
        <w:pStyle w:val="TextBody"/>
        <w:bidi w:val="0"/>
        <w:spacing w:lineRule="auto" w:line="276" w:before="0" w:after="120"/>
        <w:jc w:val="left"/>
        <w:rPr>
          <w:rFonts w:ascii="Times New Roman;serif" w:hAnsi="Times New Roman;serif"/>
          <w:b w:val="false"/>
          <w:color w:val="000000"/>
          <w:sz w:val="22"/>
        </w:rPr>
      </w:pPr>
      <w:r>
        <w:rPr>
          <w:rFonts w:ascii="Times New Roman;serif" w:hAnsi="Times New Roman;serif"/>
          <w:b w:val="false"/>
          <w:color w:val="000000"/>
          <w:sz w:val="22"/>
        </w:rPr>
        <w:t>Jeremy Steffan</w:t>
      </w:r>
    </w:p>
    <w:p>
      <w:pPr>
        <w:pStyle w:val="TextBody"/>
        <w:bidi w:val="0"/>
        <w:spacing w:lineRule="auto" w:line="276" w:before="0" w:after="120"/>
        <w:jc w:val="left"/>
        <w:rPr>
          <w:rFonts w:ascii="Times New Roman;serif" w:hAnsi="Times New Roman;serif"/>
          <w:b w:val="false"/>
          <w:color w:val="000000"/>
          <w:sz w:val="22"/>
        </w:rPr>
      </w:pPr>
      <w:r>
        <w:rPr>
          <w:rFonts w:ascii="Times New Roman;serif" w:hAnsi="Times New Roman;serif"/>
          <w:b w:val="false"/>
          <w:color w:val="000000"/>
          <w:sz w:val="22"/>
        </w:rPr>
        <w:t>Vice President, Investor Relations &amp; Communications</w:t>
      </w:r>
    </w:p>
    <w:p>
      <w:pPr>
        <w:pStyle w:val="TextBody"/>
        <w:bidi w:val="0"/>
        <w:spacing w:lineRule="auto" w:line="276" w:before="0" w:after="120"/>
        <w:jc w:val="left"/>
        <w:rPr>
          <w:rFonts w:ascii="Times New Roman;serif" w:hAnsi="Times New Roman;serif"/>
          <w:b w:val="false"/>
          <w:color w:val="000000"/>
          <w:sz w:val="22"/>
        </w:rPr>
      </w:pPr>
      <w:r>
        <w:rPr>
          <w:rFonts w:ascii="Times New Roman;serif" w:hAnsi="Times New Roman;serif"/>
          <w:b w:val="false"/>
          <w:color w:val="000000"/>
          <w:sz w:val="22"/>
        </w:rPr>
        <w:t>952.346.3502</w:t>
      </w:r>
    </w:p>
    <w:p>
      <w:pPr>
        <w:pStyle w:val="TextBody"/>
        <w:bidi w:val="0"/>
        <w:spacing w:lineRule="auto" w:line="276" w:before="0" w:after="120"/>
        <w:jc w:val="left"/>
        <w:rPr/>
      </w:pPr>
      <w:r>
        <w:rPr>
          <w:rFonts w:ascii="Times New Roman;serif" w:hAnsi="Times New Roman;serif"/>
          <w:b w:val="false"/>
          <w:color w:val="0000FF"/>
          <w:sz w:val="22"/>
          <w:u w:val="single"/>
        </w:rPr>
        <w:t>ir@apog.com</w:t>
      </w:r>
      <w:r>
        <w:rPr>
          <w:color w:val="000000"/>
        </w:rPr>
        <w:t xml:space="preserve">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26210"/>
                <wp:effectExtent l="0" t="0" r="0" b="0"/>
                <wp:wrapNone/>
                <wp:docPr id="9" name="Frame8"/>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6</w:t>
      </w:r>
    </w:p>
    <w:tbl>
      <w:tblPr>
        <w:tblW w:w="10205" w:type="dxa"/>
        <w:jc w:val="left"/>
        <w:tblInd w:w="0" w:type="dxa"/>
        <w:tblLayout w:type="fixed"/>
        <w:tblCellMar>
          <w:top w:w="28" w:type="dxa"/>
          <w:left w:w="28" w:type="dxa"/>
          <w:bottom w:w="28" w:type="dxa"/>
          <w:right w:w="28" w:type="dxa"/>
        </w:tblCellMar>
      </w:tblPr>
      <w:tblGrid>
        <w:gridCol w:w="657"/>
        <w:gridCol w:w="293"/>
        <w:gridCol w:w="295"/>
        <w:gridCol w:w="109"/>
        <w:gridCol w:w="109"/>
        <w:gridCol w:w="109"/>
        <w:gridCol w:w="197"/>
        <w:gridCol w:w="739"/>
        <w:gridCol w:w="257"/>
        <w:gridCol w:w="109"/>
        <w:gridCol w:w="109"/>
        <w:gridCol w:w="109"/>
        <w:gridCol w:w="197"/>
        <w:gridCol w:w="739"/>
        <w:gridCol w:w="257"/>
        <w:gridCol w:w="109"/>
        <w:gridCol w:w="109"/>
        <w:gridCol w:w="109"/>
        <w:gridCol w:w="241"/>
        <w:gridCol w:w="242"/>
        <w:gridCol w:w="439"/>
        <w:gridCol w:w="197"/>
        <w:gridCol w:w="739"/>
        <w:gridCol w:w="257"/>
        <w:gridCol w:w="109"/>
        <w:gridCol w:w="109"/>
        <w:gridCol w:w="109"/>
        <w:gridCol w:w="197"/>
        <w:gridCol w:w="739"/>
        <w:gridCol w:w="257"/>
        <w:gridCol w:w="109"/>
        <w:gridCol w:w="109"/>
        <w:gridCol w:w="109"/>
        <w:gridCol w:w="240"/>
        <w:gridCol w:w="243"/>
        <w:gridCol w:w="439"/>
        <w:gridCol w:w="109"/>
        <w:gridCol w:w="109"/>
        <w:gridCol w:w="109"/>
        <w:gridCol w:w="109"/>
        <w:gridCol w:w="109"/>
        <w:gridCol w:w="164"/>
      </w:tblGrid>
      <w:tr>
        <w:trPr/>
        <w:tc>
          <w:tcPr>
            <w:tcW w:w="65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496"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c>
          <w:tcPr>
            <w:tcW w:w="709" w:type="dxa"/>
            <w:gridSpan w:val="6"/>
            <w:tcBorders/>
          </w:tcPr>
          <w:p>
            <w:pPr>
              <w:pStyle w:val="TableContents"/>
              <w:bidi w:val="0"/>
              <w:spacing w:before="0" w:after="283"/>
              <w:jc w:val="left"/>
              <w:rPr>
                <w:sz w:val="4"/>
                <w:szCs w:val="4"/>
              </w:rPr>
            </w:pPr>
            <w:r>
              <w:rPr>
                <w:sz w:val="4"/>
                <w:szCs w:val="4"/>
              </w:rPr>
            </w:r>
          </w:p>
        </w:tc>
      </w:tr>
      <w:tr>
        <w:trPr/>
        <w:tc>
          <w:tcPr>
            <w:tcW w:w="9496"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Statements of Income</w:t>
            </w:r>
          </w:p>
        </w:tc>
        <w:tc>
          <w:tcPr>
            <w:tcW w:w="709" w:type="dxa"/>
            <w:gridSpan w:val="6"/>
            <w:tcBorders/>
          </w:tcPr>
          <w:p>
            <w:pPr>
              <w:pStyle w:val="TableContents"/>
              <w:bidi w:val="0"/>
              <w:spacing w:before="0" w:after="283"/>
              <w:jc w:val="left"/>
              <w:rPr>
                <w:sz w:val="4"/>
                <w:szCs w:val="4"/>
              </w:rPr>
            </w:pPr>
            <w:r>
              <w:rPr>
                <w:sz w:val="4"/>
                <w:szCs w:val="4"/>
              </w:rPr>
            </w:r>
          </w:p>
        </w:tc>
      </w:tr>
      <w:tr>
        <w:trPr/>
        <w:tc>
          <w:tcPr>
            <w:tcW w:w="9496"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709" w:type="dxa"/>
            <w:gridSpan w:val="6"/>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391,135 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358,194 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733,820 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704,816 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294,970 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275,587 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562,624 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547,084 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96,165 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82,607 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171,196 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157,732 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62,679 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55,719 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123,913 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26,888 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33,819 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30,417 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27,953 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46,350 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30,356 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23,649 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33,917 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20,962 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26210"/>
                <wp:effectExtent l="0" t="0" r="0" b="0"/>
                <wp:wrapNone/>
                <wp:docPr id="10" name="Frame9"/>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7</w:t>
      </w:r>
    </w:p>
    <w:tbl>
      <w:tblPr>
        <w:tblW w:w="6652" w:type="dxa"/>
        <w:jc w:val="left"/>
        <w:tblInd w:w="0" w:type="dxa"/>
        <w:tblLayout w:type="fixed"/>
        <w:tblCellMar>
          <w:top w:w="28" w:type="dxa"/>
          <w:left w:w="28" w:type="dxa"/>
          <w:bottom w:w="28" w:type="dxa"/>
          <w:right w:w="28" w:type="dxa"/>
        </w:tblCellMar>
      </w:tblPr>
      <w:tblGrid>
        <w:gridCol w:w="1065"/>
        <w:gridCol w:w="936"/>
        <w:gridCol w:w="938"/>
        <w:gridCol w:w="131"/>
        <w:gridCol w:w="131"/>
        <w:gridCol w:w="131"/>
        <w:gridCol w:w="235"/>
        <w:gridCol w:w="1047"/>
        <w:gridCol w:w="131"/>
        <w:gridCol w:w="131"/>
        <w:gridCol w:w="131"/>
        <w:gridCol w:w="131"/>
        <w:gridCol w:w="242"/>
        <w:gridCol w:w="1081"/>
        <w:gridCol w:w="191"/>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5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2"/>
              </w:rPr>
              <w:t>Apogee Enterprises, Inc.</w:t>
            </w:r>
          </w:p>
        </w:tc>
      </w:tr>
      <w:tr>
        <w:trPr/>
        <w:tc>
          <w:tcPr>
            <w:tcW w:w="6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Condensed Balance Sheets</w:t>
            </w:r>
          </w:p>
        </w:tc>
      </w:tr>
      <w:tr>
        <w:trPr/>
        <w:tc>
          <w:tcPr>
            <w:tcW w:w="6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28, 2026</w:t>
            </w:r>
          </w:p>
        </w:tc>
      </w:tr>
      <w:tr>
        <w:trP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472,310 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439,433 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111,261 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1,244,104 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1,122,345 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264,639 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266,856 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self-insurance reserves</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1,244,104 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1,122,345 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26210"/>
                <wp:effectExtent l="0" t="0" r="0" b="0"/>
                <wp:wrapNone/>
                <wp:docPr id="11" name="Frame10"/>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8</w:t>
      </w:r>
    </w:p>
    <w:tbl>
      <w:tblPr>
        <w:tblW w:w="9284" w:type="dxa"/>
        <w:jc w:val="left"/>
        <w:tblInd w:w="0" w:type="dxa"/>
        <w:tblLayout w:type="fixed"/>
        <w:tblCellMar>
          <w:top w:w="28" w:type="dxa"/>
          <w:left w:w="28" w:type="dxa"/>
          <w:bottom w:w="28" w:type="dxa"/>
          <w:right w:w="28" w:type="dxa"/>
        </w:tblCellMar>
      </w:tblPr>
      <w:tblGrid>
        <w:gridCol w:w="2097"/>
        <w:gridCol w:w="1842"/>
        <w:gridCol w:w="1850"/>
        <w:gridCol w:w="145"/>
        <w:gridCol w:w="145"/>
        <w:gridCol w:w="145"/>
        <w:gridCol w:w="265"/>
        <w:gridCol w:w="877"/>
        <w:gridCol w:w="148"/>
        <w:gridCol w:w="145"/>
        <w:gridCol w:w="145"/>
        <w:gridCol w:w="145"/>
        <w:gridCol w:w="262"/>
        <w:gridCol w:w="867"/>
        <w:gridCol w:w="206"/>
      </w:tblGrid>
      <w:tr>
        <w:trPr/>
        <w:tc>
          <w:tcPr>
            <w:tcW w:w="209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92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Consolidated Statement of Cash Flows</w:t>
            </w:r>
          </w:p>
        </w:tc>
      </w:tr>
      <w:tr>
        <w:trPr/>
        <w:tc>
          <w:tcPr>
            <w:tcW w:w="9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5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earnings to net cash provided by operating activities: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long-lived assets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New Markets Tax Credit transaction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 and liabilities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37,280 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 of business, net of cash acquired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(99,574)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by investing activities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(121,831)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(10,883)</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credit facilities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on revolving credit facilities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term loans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by) provided by financing activities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74,875 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(29,130)</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cash and cash equivalents</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39,526 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Activity</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 accounts payable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26210"/>
                <wp:effectExtent l="0" t="0" r="0" b="0"/>
                <wp:wrapNone/>
                <wp:docPr id="12" name="Frame11"/>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9</w:t>
      </w:r>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200"/>
        <w:gridCol w:w="753"/>
        <w:gridCol w:w="262"/>
        <w:gridCol w:w="109"/>
        <w:gridCol w:w="109"/>
        <w:gridCol w:w="109"/>
        <w:gridCol w:w="201"/>
        <w:gridCol w:w="757"/>
        <w:gridCol w:w="263"/>
        <w:gridCol w:w="109"/>
        <w:gridCol w:w="109"/>
        <w:gridCol w:w="109"/>
        <w:gridCol w:w="199"/>
        <w:gridCol w:w="750"/>
        <w:gridCol w:w="260"/>
        <w:gridCol w:w="109"/>
        <w:gridCol w:w="109"/>
        <w:gridCol w:w="109"/>
        <w:gridCol w:w="203"/>
        <w:gridCol w:w="670"/>
        <w:gridCol w:w="265"/>
        <w:gridCol w:w="109"/>
        <w:gridCol w:w="109"/>
        <w:gridCol w:w="109"/>
        <w:gridCol w:w="204"/>
        <w:gridCol w:w="709"/>
        <w:gridCol w:w="267"/>
        <w:gridCol w:w="109"/>
        <w:gridCol w:w="109"/>
        <w:gridCol w:w="109"/>
        <w:gridCol w:w="196"/>
        <w:gridCol w:w="736"/>
        <w:gridCol w:w="31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Components of Changes in Net Sales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August 29, 2026</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Performance Surfaces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0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2026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140,935 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100,490 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48,390 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358,194 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Organic business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w:t>
            </w:r>
            <w:r>
              <w:rPr>
                <w:color w:val="000000"/>
              </w:rPr>
              <w:t xml:space="preserv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2027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143,520 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108,464 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87,423 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55,257 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391,135 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business</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August 29, 2026</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0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2026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269,559 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206,995 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145,454 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90,640 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704,816 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Organic business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2027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265,963 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223,700 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155,137 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733,820 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(decline)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Organic business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40" w:after="283"/>
              <w:jc w:val="both"/>
              <w:rPr>
                <w:rFonts w:ascii="Times New Roman;serif" w:hAnsi="Times New Roman;serif"/>
                <w:b w:val="false"/>
                <w:color w:val="000000"/>
                <w:sz w:val="16"/>
              </w:rPr>
            </w:pPr>
            <w:r>
              <w:rPr>
                <w:rFonts w:ascii="Times New Roman;serif" w:hAnsi="Times New Roman;serif"/>
                <w:b w:val="false"/>
                <w:color w:val="000000"/>
                <w:sz w:val="16"/>
              </w:rPr>
              <w:t>Organic business is defined as (declines) growth in net sales from legacy businesses and from acquired businesses, twelve months after the acquisition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acquisition of Kalwall, completed on July 1,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26210"/>
                <wp:effectExtent l="0" t="0" r="0" b="0"/>
                <wp:wrapNone/>
                <wp:docPr id="13" name="Frame12"/>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10</w:t>
      </w:r>
    </w:p>
    <w:tbl>
      <w:tblPr>
        <w:tblW w:w="10205" w:type="dxa"/>
        <w:jc w:val="left"/>
        <w:tblInd w:w="0" w:type="dxa"/>
        <w:tblLayout w:type="fixed"/>
        <w:tblCellMar>
          <w:top w:w="28" w:type="dxa"/>
          <w:left w:w="28" w:type="dxa"/>
          <w:bottom w:w="28" w:type="dxa"/>
          <w:right w:w="28" w:type="dxa"/>
        </w:tblCellMar>
      </w:tblPr>
      <w:tblGrid>
        <w:gridCol w:w="588"/>
        <w:gridCol w:w="341"/>
        <w:gridCol w:w="313"/>
        <w:gridCol w:w="109"/>
        <w:gridCol w:w="109"/>
        <w:gridCol w:w="109"/>
        <w:gridCol w:w="197"/>
        <w:gridCol w:w="742"/>
        <w:gridCol w:w="258"/>
        <w:gridCol w:w="109"/>
        <w:gridCol w:w="109"/>
        <w:gridCol w:w="109"/>
        <w:gridCol w:w="197"/>
        <w:gridCol w:w="742"/>
        <w:gridCol w:w="258"/>
        <w:gridCol w:w="109"/>
        <w:gridCol w:w="109"/>
        <w:gridCol w:w="109"/>
        <w:gridCol w:w="233"/>
        <w:gridCol w:w="233"/>
        <w:gridCol w:w="439"/>
        <w:gridCol w:w="197"/>
        <w:gridCol w:w="742"/>
        <w:gridCol w:w="258"/>
        <w:gridCol w:w="109"/>
        <w:gridCol w:w="109"/>
        <w:gridCol w:w="109"/>
        <w:gridCol w:w="197"/>
        <w:gridCol w:w="742"/>
        <w:gridCol w:w="258"/>
        <w:gridCol w:w="109"/>
        <w:gridCol w:w="109"/>
        <w:gridCol w:w="109"/>
        <w:gridCol w:w="242"/>
        <w:gridCol w:w="245"/>
        <w:gridCol w:w="439"/>
        <w:gridCol w:w="109"/>
        <w:gridCol w:w="109"/>
        <w:gridCol w:w="109"/>
        <w:gridCol w:w="109"/>
        <w:gridCol w:w="109"/>
        <w:gridCol w:w="164"/>
      </w:tblGrid>
      <w:tr>
        <w:trPr/>
        <w:tc>
          <w:tcPr>
            <w:tcW w:w="5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496"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c>
          <w:tcPr>
            <w:tcW w:w="709" w:type="dxa"/>
            <w:gridSpan w:val="6"/>
            <w:tcBorders/>
          </w:tcPr>
          <w:p>
            <w:pPr>
              <w:pStyle w:val="TableContents"/>
              <w:bidi w:val="0"/>
              <w:spacing w:before="0" w:after="283"/>
              <w:jc w:val="left"/>
              <w:rPr>
                <w:sz w:val="4"/>
                <w:szCs w:val="4"/>
              </w:rPr>
            </w:pPr>
            <w:r>
              <w:rPr>
                <w:sz w:val="4"/>
                <w:szCs w:val="4"/>
              </w:rPr>
            </w:r>
          </w:p>
        </w:tc>
      </w:tr>
      <w:tr>
        <w:trPr/>
        <w:tc>
          <w:tcPr>
            <w:tcW w:w="9496"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Business Segment Information</w:t>
            </w:r>
          </w:p>
        </w:tc>
        <w:tc>
          <w:tcPr>
            <w:tcW w:w="709" w:type="dxa"/>
            <w:gridSpan w:val="6"/>
            <w:tcBorders/>
          </w:tcPr>
          <w:p>
            <w:pPr>
              <w:pStyle w:val="TableContents"/>
              <w:bidi w:val="0"/>
              <w:spacing w:before="0" w:after="283"/>
              <w:jc w:val="left"/>
              <w:rPr>
                <w:sz w:val="4"/>
                <w:szCs w:val="4"/>
              </w:rPr>
            </w:pPr>
            <w:r>
              <w:rPr>
                <w:sz w:val="4"/>
                <w:szCs w:val="4"/>
              </w:rPr>
            </w:r>
          </w:p>
        </w:tc>
      </w:tr>
      <w:tr>
        <w:trPr/>
        <w:tc>
          <w:tcPr>
            <w:tcW w:w="9496"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709" w:type="dxa"/>
            <w:gridSpan w:val="6"/>
            <w:tcBorders/>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Metals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265,963 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100,490 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206,995 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155,137 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145,454 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Surfaces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391,135 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358,194 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733,820 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704,816 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Surfaces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49,538 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44,368 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81,653 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78,752 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adjusted EBITDA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Metals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Surfaces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180"/>
        <w:jc w:val="left"/>
        <w:rPr/>
      </w:pPr>
      <w:r>
        <w:rPr>
          <w:color w:val="000000"/>
        </w:rPr>
        <w:t>•</w:t>
      </w:r>
      <w:r>
        <w:rPr>
          <w:rFonts w:ascii="Times New Roman;serif" w:hAnsi="Times New Roman;serif"/>
          <w:b w:val="false"/>
          <w:color w:val="000000"/>
          <w:sz w:val="16"/>
        </w:rPr>
        <w:t>Segment net sales is defined as net sales of the segment including revenue related to intersegment transactions.</w:t>
      </w:r>
    </w:p>
    <w:p>
      <w:pPr>
        <w:pStyle w:val="TextBody"/>
        <w:bidi w:val="0"/>
        <w:spacing w:lineRule="auto" w:line="268" w:before="0" w:after="120"/>
        <w:ind w:left="0" w:right="0" w:hanging="180"/>
        <w:jc w:val="left"/>
        <w:rPr/>
      </w:pPr>
      <w:r>
        <w:rPr>
          <w:color w:val="000000"/>
        </w:rPr>
        <w:t>•</w:t>
      </w:r>
      <w:r>
        <w:rPr>
          <w:rFonts w:ascii="Times New Roman;serif" w:hAnsi="Times New Roman;serif"/>
          <w:b w:val="false"/>
          <w:color w:val="000000"/>
          <w:sz w:val="16"/>
        </w:rPr>
        <w:t>Intersegment net sales eliminations are presented separately to exclude these sales from our consolidated total.</w:t>
      </w:r>
    </w:p>
    <w:p>
      <w:pPr>
        <w:pStyle w:val="TextBody"/>
        <w:bidi w:val="0"/>
        <w:spacing w:before="0" w:after="120"/>
        <w:jc w:val="left"/>
        <w:rPr/>
      </w:pPr>
      <w:r>
        <w:rPr/>
      </w:r>
    </w:p>
    <w:p>
      <w:pPr>
        <w:pStyle w:val="TextBody"/>
        <w:bidi w:val="0"/>
        <w:spacing w:before="0" w:after="120"/>
        <w:jc w:val="both"/>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26210"/>
                <wp:effectExtent l="0" t="0" r="0" b="0"/>
                <wp:wrapNone/>
                <wp:docPr id="14" name="Frame13"/>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11</w:t>
      </w:r>
    </w:p>
    <w:tbl>
      <w:tblPr>
        <w:tblW w:w="10205" w:type="dxa"/>
        <w:jc w:val="left"/>
        <w:tblInd w:w="0" w:type="dxa"/>
        <w:tblLayout w:type="fixed"/>
        <w:tblCellMar>
          <w:top w:w="28" w:type="dxa"/>
          <w:left w:w="28" w:type="dxa"/>
          <w:bottom w:w="28" w:type="dxa"/>
          <w:right w:w="28" w:type="dxa"/>
        </w:tblCellMar>
      </w:tblPr>
      <w:tblGrid>
        <w:gridCol w:w="804"/>
        <w:gridCol w:w="407"/>
        <w:gridCol w:w="309"/>
        <w:gridCol w:w="109"/>
        <w:gridCol w:w="109"/>
        <w:gridCol w:w="109"/>
        <w:gridCol w:w="205"/>
        <w:gridCol w:w="677"/>
        <w:gridCol w:w="252"/>
        <w:gridCol w:w="109"/>
        <w:gridCol w:w="109"/>
        <w:gridCol w:w="109"/>
        <w:gridCol w:w="225"/>
        <w:gridCol w:w="641"/>
        <w:gridCol w:w="278"/>
        <w:gridCol w:w="109"/>
        <w:gridCol w:w="109"/>
        <w:gridCol w:w="109"/>
        <w:gridCol w:w="204"/>
        <w:gridCol w:w="672"/>
        <w:gridCol w:w="250"/>
        <w:gridCol w:w="109"/>
        <w:gridCol w:w="109"/>
        <w:gridCol w:w="109"/>
        <w:gridCol w:w="207"/>
        <w:gridCol w:w="684"/>
        <w:gridCol w:w="255"/>
        <w:gridCol w:w="109"/>
        <w:gridCol w:w="109"/>
        <w:gridCol w:w="109"/>
        <w:gridCol w:w="208"/>
        <w:gridCol w:w="713"/>
        <w:gridCol w:w="115"/>
        <w:gridCol w:w="109"/>
        <w:gridCol w:w="109"/>
        <w:gridCol w:w="109"/>
        <w:gridCol w:w="196"/>
        <w:gridCol w:w="646"/>
        <w:gridCol w:w="295"/>
      </w:tblGrid>
      <w:tr>
        <w:trPr/>
        <w:tc>
          <w:tcPr>
            <w:tcW w:w="8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EBITDA and Adjusted EBITDA Margin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August 29, 2026</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18,221 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7,804 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22,380 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22,116 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12,278 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47,162 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22,116 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12,992 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12,410 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49,538 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804"/>
        <w:gridCol w:w="407"/>
        <w:gridCol w:w="309"/>
        <w:gridCol w:w="109"/>
        <w:gridCol w:w="109"/>
        <w:gridCol w:w="109"/>
        <w:gridCol w:w="205"/>
        <w:gridCol w:w="677"/>
        <w:gridCol w:w="252"/>
        <w:gridCol w:w="109"/>
        <w:gridCol w:w="109"/>
        <w:gridCol w:w="109"/>
        <w:gridCol w:w="225"/>
        <w:gridCol w:w="641"/>
        <w:gridCol w:w="278"/>
        <w:gridCol w:w="109"/>
        <w:gridCol w:w="109"/>
        <w:gridCol w:w="109"/>
        <w:gridCol w:w="204"/>
        <w:gridCol w:w="672"/>
        <w:gridCol w:w="250"/>
        <w:gridCol w:w="109"/>
        <w:gridCol w:w="109"/>
        <w:gridCol w:w="109"/>
        <w:gridCol w:w="207"/>
        <w:gridCol w:w="684"/>
        <w:gridCol w:w="255"/>
        <w:gridCol w:w="109"/>
        <w:gridCol w:w="109"/>
        <w:gridCol w:w="109"/>
        <w:gridCol w:w="208"/>
        <w:gridCol w:w="713"/>
        <w:gridCol w:w="115"/>
        <w:gridCol w:w="109"/>
        <w:gridCol w:w="109"/>
        <w:gridCol w:w="109"/>
        <w:gridCol w:w="196"/>
        <w:gridCol w:w="646"/>
        <w:gridCol w:w="295"/>
      </w:tblGrid>
      <w:tr>
        <w:trPr/>
        <w:tc>
          <w:tcPr>
            <w:tcW w:w="8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EBITDA and Adjusted EBITDA Margin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August 30, 2025</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20,874 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8,429 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23,649 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25,070 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11,647 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10,034 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44,535 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costs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NMTC settlement gain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20,828 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5,016 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11,647 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11,221 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44,368 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943"/>
        <w:gridCol w:w="2950"/>
        <w:gridCol w:w="109"/>
        <w:gridCol w:w="109"/>
        <w:gridCol w:w="109"/>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Acquisition-related costs for the Kalwall acquisition and pending Groglass acquisition in fiscal 2027 and the UW Solutions acquisition in fiscal 2026, respectively, which management does not consider reflective of core operating performance for the periods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Restructuring costs related to Project Fortify Phase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Settlement of a New Market Tax Credit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26210"/>
                <wp:effectExtent l="0" t="0" r="0" b="0"/>
                <wp:wrapNone/>
                <wp:docPr id="15" name="Frame14"/>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12</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804"/>
        <w:gridCol w:w="407"/>
        <w:gridCol w:w="309"/>
        <w:gridCol w:w="109"/>
        <w:gridCol w:w="109"/>
        <w:gridCol w:w="109"/>
        <w:gridCol w:w="205"/>
        <w:gridCol w:w="677"/>
        <w:gridCol w:w="252"/>
        <w:gridCol w:w="109"/>
        <w:gridCol w:w="109"/>
        <w:gridCol w:w="109"/>
        <w:gridCol w:w="207"/>
        <w:gridCol w:w="684"/>
        <w:gridCol w:w="255"/>
        <w:gridCol w:w="109"/>
        <w:gridCol w:w="109"/>
        <w:gridCol w:w="109"/>
        <w:gridCol w:w="203"/>
        <w:gridCol w:w="672"/>
        <w:gridCol w:w="250"/>
        <w:gridCol w:w="109"/>
        <w:gridCol w:w="109"/>
        <w:gridCol w:w="109"/>
        <w:gridCol w:w="207"/>
        <w:gridCol w:w="684"/>
        <w:gridCol w:w="255"/>
        <w:gridCol w:w="109"/>
        <w:gridCol w:w="109"/>
        <w:gridCol w:w="109"/>
        <w:gridCol w:w="208"/>
        <w:gridCol w:w="712"/>
        <w:gridCol w:w="115"/>
        <w:gridCol w:w="109"/>
        <w:gridCol w:w="109"/>
        <w:gridCol w:w="109"/>
        <w:gridCol w:w="196"/>
        <w:gridCol w:w="646"/>
        <w:gridCol w:w="295"/>
      </w:tblGrid>
      <w:tr>
        <w:trPr/>
        <w:tc>
          <w:tcPr>
            <w:tcW w:w="8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EBITDA and Adjusted EBITDA Margin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August 29, 2026</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27,981 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10,860 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10,976 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33,917 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35,816 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17,979 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78,507 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35,816 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18,885 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18,987 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81,653 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804"/>
        <w:gridCol w:w="407"/>
        <w:gridCol w:w="309"/>
        <w:gridCol w:w="109"/>
        <w:gridCol w:w="109"/>
        <w:gridCol w:w="109"/>
        <w:gridCol w:w="205"/>
        <w:gridCol w:w="677"/>
        <w:gridCol w:w="252"/>
        <w:gridCol w:w="109"/>
        <w:gridCol w:w="109"/>
        <w:gridCol w:w="109"/>
        <w:gridCol w:w="205"/>
        <w:gridCol w:w="678"/>
        <w:gridCol w:w="262"/>
        <w:gridCol w:w="109"/>
        <w:gridCol w:w="109"/>
        <w:gridCol w:w="109"/>
        <w:gridCol w:w="203"/>
        <w:gridCol w:w="672"/>
        <w:gridCol w:w="250"/>
        <w:gridCol w:w="109"/>
        <w:gridCol w:w="109"/>
        <w:gridCol w:w="109"/>
        <w:gridCol w:w="207"/>
        <w:gridCol w:w="684"/>
        <w:gridCol w:w="255"/>
        <w:gridCol w:w="109"/>
        <w:gridCol w:w="109"/>
        <w:gridCol w:w="109"/>
        <w:gridCol w:w="208"/>
        <w:gridCol w:w="712"/>
        <w:gridCol w:w="115"/>
        <w:gridCol w:w="109"/>
        <w:gridCol w:w="109"/>
        <w:gridCol w:w="109"/>
        <w:gridCol w:w="196"/>
        <w:gridCol w:w="646"/>
        <w:gridCol w:w="296"/>
      </w:tblGrid>
      <w:tr>
        <w:trPr/>
        <w:tc>
          <w:tcPr>
            <w:tcW w:w="8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Non-GAAP Financial Measures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EBITDA and Adjusted EBITDA Margin</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August 30, 2025</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24,543 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18,631 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10,377 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32,967 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25,064 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63,220 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costs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NMTC settlement gain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943"/>
        <w:gridCol w:w="2950"/>
        <w:gridCol w:w="109"/>
        <w:gridCol w:w="109"/>
        <w:gridCol w:w="109"/>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Acquisition-related costs for the Kalwall acquisition and pending Groglass acquisition in fiscal 2027 and the UW Solutions acquisition in fiscal 2026, respectively, which management does not consider reflective of core operating performance for the periods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Restructuring costs related to Project Fortify Phase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Settlement of a New Market Tax Credit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Apogee Enterprises,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26210"/>
                <wp:effectExtent l="0" t="0" r="0" b="0"/>
                <wp:wrapNone/>
                <wp:docPr id="16" name="Frame15"/>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Page 13</w:t>
      </w:r>
    </w:p>
    <w:tbl>
      <w:tblPr>
        <w:tblW w:w="6210" w:type="dxa"/>
        <w:jc w:val="left"/>
        <w:tblInd w:w="0" w:type="dxa"/>
        <w:tblLayout w:type="fixed"/>
        <w:tblCellMar>
          <w:top w:w="28" w:type="dxa"/>
          <w:left w:w="28" w:type="dxa"/>
          <w:bottom w:w="28" w:type="dxa"/>
          <w:right w:w="28" w:type="dxa"/>
        </w:tblCellMar>
      </w:tblPr>
      <w:tblGrid>
        <w:gridCol w:w="1986"/>
        <w:gridCol w:w="1746"/>
        <w:gridCol w:w="2478"/>
      </w:tblGrid>
      <w:tr>
        <w:trPr/>
        <w:tc>
          <w:tcPr>
            <w:tcW w:w="198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Apogee Enterprises, Inc.</w:t>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Non-GAAP Financial Measures</w:t>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Adjusted net earnings and adjusted diluted earnings per share</w:t>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050" w:type="dxa"/>
        <w:jc w:val="left"/>
        <w:tblInd w:w="0" w:type="dxa"/>
        <w:tblLayout w:type="fixed"/>
        <w:tblCellMar>
          <w:top w:w="28" w:type="dxa"/>
          <w:left w:w="28" w:type="dxa"/>
          <w:bottom w:w="28" w:type="dxa"/>
          <w:right w:w="28" w:type="dxa"/>
        </w:tblCellMar>
      </w:tblPr>
      <w:tblGrid>
        <w:gridCol w:w="1161"/>
        <w:gridCol w:w="1020"/>
        <w:gridCol w:w="1029"/>
        <w:gridCol w:w="109"/>
        <w:gridCol w:w="109"/>
        <w:gridCol w:w="109"/>
        <w:gridCol w:w="266"/>
        <w:gridCol w:w="877"/>
        <w:gridCol w:w="147"/>
        <w:gridCol w:w="109"/>
        <w:gridCol w:w="109"/>
        <w:gridCol w:w="109"/>
        <w:gridCol w:w="266"/>
        <w:gridCol w:w="877"/>
        <w:gridCol w:w="147"/>
        <w:gridCol w:w="266"/>
        <w:gridCol w:w="877"/>
        <w:gridCol w:w="147"/>
        <w:gridCol w:w="109"/>
        <w:gridCol w:w="109"/>
        <w:gridCol w:w="109"/>
        <w:gridCol w:w="266"/>
        <w:gridCol w:w="877"/>
        <w:gridCol w:w="147"/>
        <w:gridCol w:w="109"/>
        <w:gridCol w:w="109"/>
        <w:gridCol w:w="109"/>
        <w:gridCol w:w="109"/>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costs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NMTC settlement gain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Income tax impact on above adjustments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24,401 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21,098 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36,520 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32,948 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Acquisition-related costs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Restructuring costs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NMTC settlement gain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Income tax impact on above adjustments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20,901 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21,590 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21,014 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21,562 </w:t>
            </w:r>
          </w:p>
        </w:tc>
        <w:tc>
          <w:tcPr>
            <w:tcW w:w="1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Acquisition-related costs for the Kalwall acquisition and pending Groglass acquisition in fiscal 2027 and the UW Solutions acquisition in fiscal 2026, respectively, which management does not consider reflective of core operating performance for the periods presented.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Restructuring costs related to Project Fortify Phase 2 in fiscal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Settlement of a New Market Tax Credit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Income tax impact reflects the estimated blended statutory tax rate for the jurisdictions in which the charge or income occurred.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26210"/>
                <wp:effectExtent l="0" t="0" r="0" b="0"/>
                <wp:wrapNone/>
                <wp:docPr id="17" name="Frame16"/>
                <a:graphic xmlns:a="http://schemas.openxmlformats.org/drawingml/2006/main">
                  <a:graphicData uri="http://schemas.microsoft.com/office/word/2010/wordprocessingShape">
                    <wps:wsp>
                      <wps:cNvSpPr txBox="1"/>
                      <wps:spPr>
                        <a:xfrm>
                          <a:off x="0" y="0"/>
                          <a:ext cx="6480175" cy="1426210"/>
                        </a:xfrm>
                        <a:prstGeom prst="rect"/>
                        <a:solidFill>
                          <a:srgbClr val="FFFFFF"/>
                        </a:solidFill>
                      </wps:spPr>
                      <wps:txbx>
                        <w:txbxContent>
                          <w:p>
                            <w:pPr>
                              <w:pStyle w:val="TextBody"/>
                              <w:bidi w:val="0"/>
                              <w:spacing w:before="0" w:after="120"/>
                              <w:jc w:val="center"/>
                              <w:rPr/>
                            </w:pPr>
                            <w:r>
                              <w:rPr/>
                            </w:r>
                            <w:r>
                              <w:br w:type="page"/>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br/>
                        <w:t>    </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color w:val="000000"/>
                          <w:sz w:val="18"/>
                        </w:rPr>
                        <w:t>Apogee Enterprises, Inc.</w:t>
                      </w:r>
                      <w:r>
                        <w:rPr>
                          <w:color w:val="000000"/>
                        </w:rPr>
                        <w:t xml:space="preserve"> • </w:t>
                      </w:r>
                      <w:r>
                        <w:rPr>
                          <w:rFonts w:ascii="Times New Roman;serif" w:hAnsi="Times New Roman;serif"/>
                          <w:b w:val="false"/>
                          <w:color w:val="000000"/>
                          <w:sz w:val="18"/>
                        </w:rPr>
                        <w:t>4400 West 78</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Street • Minneapolis, MN 55435 • (952) 835-1874 • www.apog.com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5107</Words>
  <Characters>28558</Characters>
  <CharactersWithSpaces>32836</CharactersWithSpaces>
  <Paragraphs>1536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