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2"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46" w:lineRule="exact"/>
        <w:rPr>
          <w:sz w:val="24"/>
          <w:szCs w:val="24"/>
          <w:color w:val="auto"/>
        </w:rPr>
      </w:pPr>
    </w:p>
    <w:p>
      <w:pPr>
        <w:ind w:left="4060" w:right="2340" w:hanging="4025"/>
        <w:spacing w:after="0" w:line="234" w:lineRule="auto"/>
        <w:tabs>
          <w:tab w:leader="none" w:pos="488"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August 31, 2019</w:t>
      </w:r>
    </w:p>
    <w:p>
      <w:pPr>
        <w:spacing w:after="0" w:line="63"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796" w:right="239" w:bottom="1440" w:gutter="0" w:footer="0" w:header="0"/>
        </w:sectPr>
      </w:pPr>
    </w:p>
    <w:p>
      <w:pPr>
        <w:spacing w:after="0" w:line="125"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159" w:lineRule="exact"/>
        <w:rPr>
          <w:sz w:val="24"/>
          <w:szCs w:val="24"/>
          <w:color w:val="auto"/>
        </w:rPr>
      </w:pPr>
    </w:p>
    <w:p>
      <w:pPr>
        <w:sectPr>
          <w:pgSz w:w="11900" w:h="16838" w:orient="portrait"/>
          <w:cols w:equalWidth="0" w:num="2">
            <w:col w:w="6160" w:space="540"/>
            <w:col w:w="4720"/>
          </w:cols>
          <w:pgMar w:left="240" w:top="796"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0-6365</w:t>
      </w:r>
    </w:p>
    <w:p>
      <w:pPr>
        <w:spacing w:after="0" w:line="59"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APOGEE ENTERPRISES,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_________________________________</w:t>
      </w:r>
    </w:p>
    <w:p>
      <w:pPr>
        <w:sectPr>
          <w:pgSz w:w="11900" w:h="16838" w:orient="portrait"/>
          <w:cols w:equalWidth="0" w:num="1">
            <w:col w:w="11420"/>
          </w:cols>
          <w:pgMar w:left="240" w:top="796" w:right="239" w:bottom="1440" w:gutter="0" w:footer="0" w:header="0"/>
          <w:type w:val="continuous"/>
        </w:sectPr>
      </w:pPr>
    </w:p>
    <w:p>
      <w:pPr>
        <w:spacing w:after="0" w:line="146" w:lineRule="exact"/>
        <w:rPr>
          <w:sz w:val="24"/>
          <w:szCs w:val="24"/>
          <w:color w:val="auto"/>
        </w:rPr>
      </w:pPr>
    </w:p>
    <w:p>
      <w:pPr>
        <w:ind w:left="1920"/>
        <w:spacing w:after="0"/>
        <w:rPr>
          <w:sz w:val="20"/>
          <w:szCs w:val="20"/>
          <w:color w:val="auto"/>
        </w:rPr>
      </w:pPr>
      <w:r>
        <w:rPr>
          <w:rFonts w:ascii="Arial" w:cs="Arial" w:eastAsia="Arial" w:hAnsi="Arial"/>
          <w:sz w:val="15"/>
          <w:szCs w:val="15"/>
          <w:b w:val="1"/>
          <w:bCs w:val="1"/>
          <w:color w:val="auto"/>
        </w:rPr>
        <w:t>Minnesota</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41-0919654</w:t>
      </w:r>
    </w:p>
    <w:p>
      <w:pPr>
        <w:spacing w:after="0" w:line="170" w:lineRule="exact"/>
        <w:rPr>
          <w:sz w:val="24"/>
          <w:szCs w:val="24"/>
          <w:color w:val="auto"/>
        </w:rPr>
      </w:pPr>
    </w:p>
    <w:p>
      <w:pPr>
        <w:sectPr>
          <w:pgSz w:w="11900" w:h="16838" w:orient="portrait"/>
          <w:cols w:equalWidth="0" w:num="2">
            <w:col w:w="8300" w:space="720"/>
            <w:col w:w="2400"/>
          </w:cols>
          <w:pgMar w:left="240" w:top="796" w:right="239" w:bottom="1440" w:gutter="0" w:footer="0" w:header="0"/>
          <w:type w:val="continuous"/>
        </w:sectPr>
      </w:pPr>
    </w:p>
    <w:p>
      <w:pPr>
        <w:ind w:left="5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70" w:lineRule="exact"/>
        <w:rPr>
          <w:sz w:val="24"/>
          <w:szCs w:val="24"/>
          <w:color w:val="auto"/>
        </w:rPr>
      </w:pPr>
    </w:p>
    <w:p>
      <w:pPr>
        <w:sectPr>
          <w:pgSz w:w="11900" w:h="16838" w:orient="portrait"/>
          <w:cols w:equalWidth="0" w:num="2">
            <w:col w:w="7660" w:space="720"/>
            <w:col w:w="3040"/>
          </w:cols>
          <w:pgMar w:left="240" w:top="796" w:right="239" w:bottom="1440" w:gutter="0" w:footer="0" w:header="0"/>
          <w:type w:val="continuous"/>
        </w:sectPr>
      </w:pPr>
    </w:p>
    <w:p>
      <w:pPr>
        <w:ind w:left="1120"/>
        <w:spacing w:after="0"/>
        <w:rPr>
          <w:sz w:val="20"/>
          <w:szCs w:val="20"/>
          <w:color w:val="auto"/>
        </w:rPr>
      </w:pPr>
      <w:r>
        <w:rPr>
          <w:rFonts w:ascii="Arial" w:cs="Arial" w:eastAsia="Arial" w:hAnsi="Arial"/>
          <w:sz w:val="15"/>
          <w:szCs w:val="15"/>
          <w:b w:val="1"/>
          <w:bCs w:val="1"/>
          <w:color w:val="auto"/>
        </w:rPr>
        <w:t>4400 West 78th Street, Suite 520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Minneapolis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55435</w:t>
      </w:r>
    </w:p>
    <w:p>
      <w:pPr>
        <w:spacing w:after="0" w:line="89" w:lineRule="exact"/>
        <w:rPr>
          <w:sz w:val="24"/>
          <w:szCs w:val="24"/>
          <w:color w:val="auto"/>
        </w:rPr>
      </w:pPr>
    </w:p>
    <w:p>
      <w:pPr>
        <w:sectPr>
          <w:pgSz w:w="11900" w:h="16838" w:orient="portrait"/>
          <w:cols w:equalWidth="0" w:num="4">
            <w:col w:w="4100" w:space="720"/>
            <w:col w:w="900" w:space="540"/>
            <w:col w:w="2240" w:space="720"/>
            <w:col w:w="2200"/>
          </w:cols>
          <w:pgMar w:left="240" w:top="796" w:right="239"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43" w:lineRule="exact"/>
        <w:rPr>
          <w:sz w:val="24"/>
          <w:szCs w:val="24"/>
          <w:color w:val="auto"/>
        </w:rPr>
      </w:pPr>
    </w:p>
    <w:p>
      <w:pPr>
        <w:sectPr>
          <w:pgSz w:w="11900" w:h="16838" w:orient="portrait"/>
          <w:cols w:equalWidth="0" w:num="2">
            <w:col w:w="8400" w:space="720"/>
            <w:col w:w="2300"/>
          </w:cols>
          <w:pgMar w:left="240" w:top="796"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 (952) 835-1874</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796" w:right="239" w:bottom="1440" w:gutter="0" w:footer="0" w:header="0"/>
          <w:type w:val="continuous"/>
        </w:sect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240" w:space="720"/>
            <w:col w:w="1840" w:space="720"/>
            <w:col w:w="3900"/>
          </w:cols>
          <w:pgMar w:left="240" w:top="796" w:right="2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Common stock, par value $0.33 1/3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APOG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40" w:lineRule="exact"/>
        <w:rPr>
          <w:sz w:val="24"/>
          <w:szCs w:val="24"/>
          <w:color w:val="auto"/>
        </w:rPr>
      </w:pPr>
    </w:p>
    <w:p>
      <w:pPr>
        <w:sectPr>
          <w:pgSz w:w="11900" w:h="16838" w:orient="portrait"/>
          <w:cols w:equalWidth="0" w:num="3">
            <w:col w:w="4700" w:space="720"/>
            <w:col w:w="1900" w:space="720"/>
            <w:col w:w="3380"/>
          </w:cols>
          <w:pgMar w:left="240" w:top="796" w:right="239" w:bottom="1440" w:gutter="0" w:footer="0" w:header="0"/>
          <w:type w:val="continuous"/>
        </w:sect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27"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o No</w:t>
      </w:r>
    </w:p>
    <w:p>
      <w:pPr>
        <w:spacing w:after="0" w:line="93"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96" w:right="2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500"/>
              <w:spacing w:after="0"/>
              <w:rPr>
                <w:sz w:val="20"/>
                <w:szCs w:val="20"/>
                <w:color w:val="auto"/>
              </w:rPr>
            </w:pPr>
            <w:r>
              <w:rPr>
                <w:rFonts w:ascii="Arial" w:cs="Arial" w:eastAsia="Arial" w:hAnsi="Arial"/>
                <w:sz w:val="18"/>
                <w:szCs w:val="18"/>
                <w:color w:val="auto"/>
              </w:rPr>
              <w:t>x</w:t>
            </w:r>
          </w:p>
        </w:tc>
        <w:tc>
          <w:tcPr>
            <w:tcW w:w="4280" w:type="dxa"/>
            <w:vAlign w:val="bottom"/>
          </w:tcPr>
          <w:p>
            <w:pPr>
              <w:ind w:left="2320"/>
              <w:spacing w:after="0"/>
              <w:rPr>
                <w:sz w:val="20"/>
                <w:szCs w:val="20"/>
                <w:color w:val="auto"/>
              </w:rPr>
            </w:pPr>
            <w:r>
              <w:rPr>
                <w:rFonts w:ascii="Arial" w:cs="Arial" w:eastAsia="Arial" w:hAnsi="Arial"/>
                <w:sz w:val="18"/>
                <w:szCs w:val="18"/>
                <w:color w:val="auto"/>
              </w:rPr>
              <w:t>Accelerated filer</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500"/>
              <w:spacing w:after="0"/>
              <w:rPr>
                <w:sz w:val="20"/>
                <w:szCs w:val="20"/>
                <w:color w:val="auto"/>
              </w:rPr>
            </w:pPr>
            <w:r>
              <w:rPr>
                <w:rFonts w:ascii="Arial" w:cs="Arial" w:eastAsia="Arial" w:hAnsi="Arial"/>
                <w:sz w:val="18"/>
                <w:szCs w:val="18"/>
                <w:color w:val="auto"/>
              </w:rPr>
              <w:t>o</w:t>
            </w:r>
          </w:p>
        </w:tc>
        <w:tc>
          <w:tcPr>
            <w:tcW w:w="4280" w:type="dxa"/>
            <w:vAlign w:val="bottom"/>
          </w:tcPr>
          <w:p>
            <w:pPr>
              <w:ind w:left="2320"/>
              <w:spacing w:after="0"/>
              <w:rPr>
                <w:sz w:val="20"/>
                <w:szCs w:val="20"/>
                <w:color w:val="auto"/>
              </w:rPr>
            </w:pPr>
            <w:r>
              <w:rPr>
                <w:rFonts w:ascii="Arial" w:cs="Arial" w:eastAsia="Arial" w:hAnsi="Arial"/>
                <w:sz w:val="18"/>
                <w:szCs w:val="18"/>
                <w:color w:val="auto"/>
                <w:w w:val="90"/>
              </w:rPr>
              <w:t>Smaller reporting company</w:t>
            </w:r>
          </w:p>
        </w:tc>
      </w:tr>
      <w:tr>
        <w:trPr>
          <w:trHeight w:val="41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spacing w:after="0"/>
              <w:rPr>
                <w:sz w:val="24"/>
                <w:szCs w:val="24"/>
                <w:color w:val="auto"/>
              </w:rPr>
            </w:pPr>
          </w:p>
        </w:tc>
      </w:tr>
    </w:tbl>
    <w:p>
      <w:pPr>
        <w:spacing w:after="0" w:line="2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0"/>
          <w:szCs w:val="20"/>
          <w:color w:val="auto"/>
        </w:rPr>
      </w:pPr>
    </w:p>
    <w:p>
      <w:pPr>
        <w:ind w:right="10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x No As of October 1, 2019, 26,554,597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w:t>
      </w:r>
    </w:p>
    <w:p>
      <w:pPr>
        <w:spacing w:after="0" w:line="15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460" w:space="320"/>
            <w:col w:w="160"/>
          </w:cols>
          <w:pgMar w:left="240" w:top="611" w:right="7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2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Page</w:t>
            </w:r>
          </w:p>
        </w:tc>
      </w:tr>
      <w:tr>
        <w:trPr>
          <w:trHeight w:val="223"/>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5"/>
          </w:tcPr>
          <w:p>
            <w:pPr>
              <w:spacing w:after="0"/>
              <w:rPr>
                <w:rFonts w:ascii="Arial" w:cs="Arial" w:eastAsia="Arial" w:hAnsi="Arial"/>
                <w:sz w:val="18"/>
                <w:szCs w:val="18"/>
                <w:b w:val="1"/>
                <w:bCs w:val="1"/>
                <w:color w:val="0000FF"/>
                <w:w w:val="92"/>
              </w:rPr>
            </w:pPr>
            <w:hyperlink w:anchor="page4">
              <w:r>
                <w:rPr>
                  <w:rFonts w:ascii="Arial" w:cs="Arial" w:eastAsia="Arial" w:hAnsi="Arial"/>
                  <w:sz w:val="18"/>
                  <w:szCs w:val="18"/>
                  <w:b w:val="1"/>
                  <w:bCs w:val="1"/>
                  <w:color w:val="0000FF"/>
                  <w:w w:val="92"/>
                </w:rPr>
                <w:t>Financial Information</w:t>
              </w:r>
            </w:hyperlink>
          </w:p>
        </w:tc>
        <w:tc>
          <w:tcPr>
            <w:tcW w:w="6180" w:type="dxa"/>
            <w:vAlign w:val="bottom"/>
            <w:gridSpan w:val="11"/>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Borders>
              <w:top w:val="single" w:sz="8" w:color="0000FF"/>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5420" w:type="dxa"/>
            <w:vAlign w:val="bottom"/>
            <w:gridSpan w:val="8"/>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Results of Operations</w:t>
              </w:r>
            </w:hyperlink>
          </w:p>
        </w:tc>
        <w:tc>
          <w:tcPr>
            <w:tcW w:w="2220" w:type="dxa"/>
            <w:vAlign w:val="bottom"/>
            <w:gridSpan w:val="5"/>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Earnings</w:t>
              </w:r>
            </w:hyperlink>
          </w:p>
        </w:tc>
        <w:tc>
          <w:tcPr>
            <w:tcW w:w="4040" w:type="dxa"/>
            <w:vAlign w:val="bottom"/>
            <w:gridSpan w:val="3"/>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220" w:type="dxa"/>
            <w:vAlign w:val="bottom"/>
            <w:gridSpan w:val="5"/>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Shareholders' Equity</w:t>
              </w:r>
            </w:hyperlink>
          </w:p>
        </w:tc>
        <w:tc>
          <w:tcPr>
            <w:tcW w:w="436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220" w:type="dxa"/>
            <w:vAlign w:val="bottom"/>
            <w:gridSpan w:val="5"/>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Controls and Procedures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3"/>
              </w:rPr>
            </w:pPr>
            <w:hyperlink w:anchor="page23">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2"/>
          </w:tcPr>
          <w:p>
            <w:pPr>
              <w:spacing w:after="0"/>
              <w:rPr>
                <w:sz w:val="24"/>
                <w:szCs w:val="24"/>
                <w:color w:val="auto"/>
              </w:rPr>
            </w:pPr>
          </w:p>
        </w:tc>
        <w:tc>
          <w:tcPr>
            <w:tcW w:w="612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2220" w:type="dxa"/>
            <w:vAlign w:val="bottom"/>
            <w:gridSpan w:val="5"/>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4">
              <w:r>
                <w:rPr>
                  <w:rFonts w:ascii="Arial" w:cs="Arial" w:eastAsia="Arial" w:hAnsi="Arial"/>
                  <w:sz w:val="18"/>
                  <w:szCs w:val="18"/>
                  <w:color w:val="0000FF"/>
                  <w:w w:val="87"/>
                </w:rPr>
                <w:t>Risk Factors</w:t>
              </w:r>
            </w:hyperlink>
          </w:p>
        </w:tc>
        <w:tc>
          <w:tcPr>
            <w:tcW w:w="400" w:type="dxa"/>
            <w:vAlign w:val="bottom"/>
          </w:tcPr>
          <w:p>
            <w:pPr>
              <w:spacing w:after="0"/>
              <w:rPr>
                <w:sz w:val="24"/>
                <w:szCs w:val="24"/>
                <w:color w:val="auto"/>
              </w:rPr>
            </w:pPr>
          </w:p>
        </w:tc>
        <w:tc>
          <w:tcPr>
            <w:tcW w:w="6580" w:type="dxa"/>
            <w:vAlign w:val="bottom"/>
            <w:gridSpan w:val="13"/>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4"/>
          </w:tcPr>
          <w:p>
            <w:pPr>
              <w:spacing w:after="0"/>
              <w:rPr>
                <w:rFonts w:ascii="Arial" w:cs="Arial" w:eastAsia="Arial" w:hAnsi="Arial"/>
                <w:sz w:val="18"/>
                <w:szCs w:val="18"/>
                <w:color w:val="0000FF"/>
                <w:w w:val="88"/>
              </w:rPr>
            </w:pPr>
            <w:hyperlink w:anchor="page24">
              <w:r>
                <w:rPr>
                  <w:rFonts w:ascii="Arial" w:cs="Arial" w:eastAsia="Arial" w:hAnsi="Arial"/>
                  <w:sz w:val="18"/>
                  <w:szCs w:val="18"/>
                  <w:color w:val="0000FF"/>
                  <w:w w:val="88"/>
                </w:rPr>
                <w:t>Unregistered Sales of Equity Securities and Use of Proceeds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34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Exhibits</w:t>
              </w:r>
            </w:hyperlink>
          </w:p>
        </w:tc>
        <w:tc>
          <w:tcPr>
            <w:tcW w:w="700" w:type="dxa"/>
            <w:vAlign w:val="bottom"/>
            <w:gridSpan w:val="2"/>
          </w:tcPr>
          <w:p>
            <w:pPr>
              <w:spacing w:after="0"/>
              <w:rPr>
                <w:sz w:val="24"/>
                <w:szCs w:val="24"/>
                <w:color w:val="auto"/>
              </w:rPr>
            </w:pPr>
          </w:p>
        </w:tc>
        <w:tc>
          <w:tcPr>
            <w:tcW w:w="6580" w:type="dxa"/>
            <w:vAlign w:val="bottom"/>
            <w:gridSpan w:val="13"/>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507"/>
        </w:trPr>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Arial" w:cs="Arial" w:eastAsia="Arial" w:hAnsi="Arial"/>
                <w:sz w:val="18"/>
                <w:szCs w:val="18"/>
                <w:color w:val="auto"/>
              </w:rPr>
              <w:t>3</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840" w:type="dxa"/>
            <w:vAlign w:val="bottom"/>
            <w:gridSpan w:val="2"/>
          </w:tcPr>
          <w:p>
            <w:pPr>
              <w:ind w:left="290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7580" w:type="dxa"/>
            <w:vAlign w:val="bottom"/>
            <w:gridSpan w:val="3"/>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8120" w:type="dxa"/>
            <w:vAlign w:val="bottom"/>
            <w:gridSpan w:val="4"/>
          </w:tcPr>
          <w:p>
            <w:pPr>
              <w:ind w:left="40"/>
              <w:spacing w:after="0"/>
              <w:rPr>
                <w:sz w:val="20"/>
                <w:szCs w:val="20"/>
                <w:color w:val="auto"/>
              </w:rPr>
            </w:pPr>
            <w:r>
              <w:rPr>
                <w:rFonts w:ascii="Arial" w:cs="Arial" w:eastAsia="Arial" w:hAnsi="Arial"/>
                <w:sz w:val="14"/>
                <w:szCs w:val="14"/>
                <w:i w:val="1"/>
                <w:iCs w:val="1"/>
                <w:color w:val="auto"/>
              </w:rPr>
              <w:t>In thousands, except stock data</w:t>
            </w: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 2019</w:t>
            </w:r>
          </w:p>
        </w:tc>
        <w:tc>
          <w:tcPr>
            <w:tcW w:w="240" w:type="dxa"/>
            <w:vAlign w:val="bottom"/>
          </w:tcPr>
          <w:p>
            <w:pPr>
              <w:spacing w:after="0"/>
              <w:rPr>
                <w:sz w:val="24"/>
                <w:szCs w:val="24"/>
                <w:color w:val="auto"/>
              </w:rPr>
            </w:pPr>
          </w:p>
        </w:tc>
        <w:tc>
          <w:tcPr>
            <w:tcW w:w="1360" w:type="dxa"/>
            <w:vAlign w:val="bottom"/>
          </w:tcPr>
          <w:p>
            <w:pPr>
              <w:jc w:val="right"/>
              <w:ind w:right="271"/>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1"/>
              </w:rPr>
              <w:t>Assets</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6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17,087</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12,154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Receivables, net of allowance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201,913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192,767</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74,284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20,721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371,898</w:t>
            </w:r>
          </w:p>
        </w:tc>
        <w:tc>
          <w:tcPr>
            <w:tcW w:w="0" w:type="dxa"/>
            <w:vAlign w:val="bottom"/>
          </w:tcPr>
          <w:p>
            <w:pPr>
              <w:spacing w:after="0"/>
              <w:rPr>
                <w:sz w:val="1"/>
                <w:szCs w:val="1"/>
                <w:color w:val="auto"/>
              </w:rPr>
            </w:pP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319,234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315,823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185,803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185,832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46,380</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1,138,826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1,068,168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gridSpan w:val="2"/>
          </w:tcPr>
          <w:p>
            <w:pPr>
              <w:spacing w:after="0"/>
              <w:rPr>
                <w:sz w:val="4"/>
                <w:szCs w:val="4"/>
                <w:color w:val="auto"/>
              </w:rPr>
            </w:pPr>
          </w:p>
        </w:tc>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68,456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72,219</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Accrued payroll and related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41,119</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21,478</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Current portion of debt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155,400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92,696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371,262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227,512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245,724</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Non-current self-insurance reserves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21,433</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79,128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77,182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 (Note 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2"/>
              </w:rPr>
              <w:t>Common stock of $0.33-1/3 par value; authorized 50,000,000 shares; issued and outstanding 26,554,597</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and 27,015,127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151,735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151,842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367,597</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Common stock held in trust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Deferred compensation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(32,127)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503,081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496,317</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1,138,826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1,068,168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0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August 31,</w:t>
            </w:r>
          </w:p>
        </w:tc>
        <w:tc>
          <w:tcPr>
            <w:tcW w:w="100" w:type="dxa"/>
            <w:vAlign w:val="bottom"/>
          </w:tcPr>
          <w:p>
            <w:pPr>
              <w:spacing w:after="0"/>
              <w:rPr>
                <w:sz w:val="13"/>
                <w:szCs w:val="13"/>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September 1, 2018</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August 31,</w:t>
            </w:r>
          </w:p>
        </w:tc>
        <w:tc>
          <w:tcPr>
            <w:tcW w:w="180" w:type="dxa"/>
            <w:vAlign w:val="bottom"/>
          </w:tcPr>
          <w:p>
            <w:pPr>
              <w:spacing w:after="0"/>
              <w:rPr>
                <w:sz w:val="13"/>
                <w:szCs w:val="13"/>
                <w:color w:val="auto"/>
              </w:rPr>
            </w:pPr>
          </w:p>
        </w:tc>
        <w:tc>
          <w:tcPr>
            <w:tcW w:w="118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w w:val="97"/>
              </w:rPr>
              <w:t>September 1,</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357,058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698,664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270,851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277,667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545,250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533,468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165,196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58,631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55,806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116,558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114,542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50,654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and other expense, net</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47,187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19,279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per share - basic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26,413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28,128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28,127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26,736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28,379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28,377</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3"/>
              </w:rPr>
              <w:t>August 31, 2019</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September 1, 2018</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August 31,</w:t>
            </w:r>
          </w:p>
        </w:tc>
        <w:tc>
          <w:tcPr>
            <w:tcW w:w="180" w:type="dxa"/>
            <w:vAlign w:val="bottom"/>
          </w:tcPr>
          <w:p>
            <w:pPr>
              <w:spacing w:after="0"/>
              <w:rPr>
                <w:sz w:val="13"/>
                <w:szCs w:val="13"/>
                <w:color w:val="auto"/>
              </w:rPr>
            </w:pPr>
          </w:p>
        </w:tc>
        <w:tc>
          <w:tcPr>
            <w:tcW w:w="118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7"/>
              </w:rPr>
              <w:t>September 1,</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comprehensive earnings (loss):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Unrealized gain (loss) on marketable securities, net of $2, ($11), $49</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and ($9) of tax expense (benefit),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620" w:type="dxa"/>
            <w:vAlign w:val="bottom"/>
            <w:gridSpan w:val="2"/>
          </w:tcPr>
          <w:p>
            <w:pPr>
              <w:ind w:left="380"/>
              <w:spacing w:after="0"/>
              <w:rPr>
                <w:sz w:val="20"/>
                <w:szCs w:val="20"/>
                <w:color w:val="auto"/>
              </w:rPr>
            </w:pPr>
            <w:r>
              <w:rPr>
                <w:rFonts w:ascii="Arial" w:cs="Arial" w:eastAsia="Arial" w:hAnsi="Arial"/>
                <w:sz w:val="18"/>
                <w:szCs w:val="18"/>
                <w:color w:val="auto"/>
                <w:w w:val="99"/>
              </w:rPr>
              <w:t>Unrealized gain (loss) on derivative instruments, net of $25, ($17),</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540"/>
              <w:spacing w:after="0"/>
              <w:rPr>
                <w:sz w:val="20"/>
                <w:szCs w:val="20"/>
                <w:color w:val="auto"/>
              </w:rPr>
            </w:pPr>
            <w:r>
              <w:rPr>
                <w:rFonts w:ascii="Arial" w:cs="Arial" w:eastAsia="Arial" w:hAnsi="Arial"/>
                <w:sz w:val="18"/>
                <w:szCs w:val="18"/>
                <w:color w:val="auto"/>
              </w:rPr>
              <w:t>$27 and ($109) of tax expense (benefit), respectively</w:t>
            </w:r>
          </w:p>
        </w:tc>
        <w:tc>
          <w:tcPr>
            <w:tcW w:w="16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comprehensive earnings (loss)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21,836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17,033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34,905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31,596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9"/>
              </w:rPr>
              <w:t>August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4"/>
              </w:rPr>
              <w:t>September 1,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34,722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35,887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22,759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26,457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6,061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New Markets Tax Credit transaction, net of deferred costs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6,052</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2,747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(39,191)</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(15,409)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Refundable and accrued income taxes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2,130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47,929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(24,241)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Sales/maturities of marketable securities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4,943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8"/>
                <w:szCs w:val="18"/>
                <w:color w:val="auto"/>
              </w:rPr>
              <w:t>Net cash used by investing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(29,799)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Borrowings on line of credit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205,000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issuance of 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Payments on line of credit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(196,500)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 and retirement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(8,823)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8"/>
                <w:szCs w:val="18"/>
                <w:color w:val="auto"/>
              </w:rPr>
              <w:t>Net cash used by financing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35,965</w:t>
            </w: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Activity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Capital expenditures in 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1,756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4"/>
                <w:szCs w:val="14"/>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b w:val="1"/>
                <w:bCs w:val="1"/>
                <w:color w:val="auto"/>
                <w:w w:val="88"/>
              </w:rPr>
              <w:t>Accumulated Other</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Additional Paid-In</w:t>
            </w:r>
          </w:p>
        </w:tc>
        <w:tc>
          <w:tcPr>
            <w:tcW w:w="20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Comprehensive (Loss)</w:t>
            </w:r>
          </w:p>
        </w:tc>
      </w:tr>
      <w:tr>
        <w:trPr>
          <w:trHeight w:val="18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5"/>
              </w:rPr>
              <w:t>Common Stock</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8"/>
              </w:rPr>
              <w:t>Held in Trust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6"/>
              </w:rPr>
              <w:t>Obligation</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Income</w:t>
            </w:r>
          </w:p>
        </w:tc>
      </w:tr>
      <w:tr>
        <w:trPr>
          <w:trHeight w:val="25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2, 2019</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27,015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9,005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151,842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367,597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755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(32,127)</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15,443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Unrealized gain on marketable securities,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of $47 tax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181</w:t>
            </w:r>
          </w:p>
        </w:tc>
      </w:tr>
      <w:tr>
        <w:trPr>
          <w:trHeight w:val="1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Unrealized gain on foreign currency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hedge, net of $2 tax expense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5</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Share repurchases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(3,051)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(16,782)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57"/>
        </w:trPr>
        <w:tc>
          <w:tcPr>
            <w:tcW w:w="25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1, 2019</w:t>
            </w:r>
          </w:p>
        </w:tc>
        <w:tc>
          <w:tcPr>
            <w:tcW w:w="1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26,530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8,843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150,240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360,394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(767)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767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(34,501)</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19,279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Unrealized gain on marketable securities,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of $2 tax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w:t>
            </w:r>
          </w:p>
        </w:tc>
      </w:tr>
      <w:tr>
        <w:trPr>
          <w:trHeight w:val="1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Unrealized gain on foreign currency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hedge, net of $25 tax expense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84</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2,465</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1"/>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August 31, 2019</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26,554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8,851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151,735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374,439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(778)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778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(31,944)</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1"/>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 2018</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28,158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9,386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152,763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373,259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(922)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922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(24,053)</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Cumulative effect adjustment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2,999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Reclassification of tax effects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15,373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Unrealized gain on marketable securities,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of $2 tax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r>
      <w:tr>
        <w:trPr>
          <w:trHeight w:val="1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Unrealized loss on foreign currency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hedge, net of $92 tax 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57"/>
        </w:trPr>
        <w:tc>
          <w:tcPr>
            <w:tcW w:w="25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 2018</w:t>
            </w:r>
          </w:p>
        </w:tc>
        <w:tc>
          <w:tcPr>
            <w:tcW w:w="1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28,226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9,409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154,261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386,518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(831)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831</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(25,601)</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20,514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Unrealized loss on marketable securities,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of $11 tax benefit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Unrealized loss on foreign currency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hedge, net of $17 tax 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(3,383)</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1"/>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September 1, 2018</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28,260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9,420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155,898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402,619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(842)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842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(29,081)</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002"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002"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March 2, 2019. We use the same accounting policies in preparing quarterly and annual financial statements. All adjustments necessary for a fair presentation of quarterly operating results are reflected herein and are of a normal, recurring nature. The results of operations for the six-month period ended August 31, 2019 are not necessarily indicative of the results to be expected for the full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At the beginning of fiscal 2020, we adopted the guidance in ASC 842, </w:t>
      </w:r>
      <w:r>
        <w:rPr>
          <w:rFonts w:ascii="Arial" w:cs="Arial" w:eastAsia="Arial" w:hAnsi="Arial"/>
          <w:sz w:val="18"/>
          <w:szCs w:val="18"/>
          <w:i w:val="1"/>
          <w:iCs w:val="1"/>
          <w:color w:val="auto"/>
        </w:rPr>
        <w:t>Leases</w:t>
      </w:r>
      <w:r>
        <w:rPr>
          <w:rFonts w:ascii="Arial" w:cs="Arial" w:eastAsia="Arial" w:hAnsi="Arial"/>
          <w:sz w:val="18"/>
          <w:szCs w:val="18"/>
          <w:color w:val="auto"/>
        </w:rPr>
        <w:t>, following a modified retrospective approach and elected not to restate prior periods. Adoption of the new standard resulted in recording operating lease assets and liabilities of approximately $50 million as of March 3, 2019 and did not materially impact our consolidated net earnings and cash flows. Refer to additional information in Note 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revises guidance for the accounting for credit losses on financial instruments within its scope. The new standard introduces an approach based on expected losses, to estimate credit losses on certain types of financial instruments and modifies the impairment model for available-for-sale debt securities. This ASU is effective for our fiscal year 2021. Entities are required to apply the standard's provisions as a cumulative-effect adjustment to retained earnings as of the beginning of the first reporting period in which the guidance is adopted. We are currently assessing this ASU's impact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evaluated subsequent events for potential recognition and disclosure through the date of this filing and determined that there were no subsequent events that required recognition or disclosure in the consolidated financial statements.</w:t>
      </w:r>
    </w:p>
    <w:p>
      <w:pPr>
        <w:spacing w:after="0" w:line="18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13 for disclosure of revenue by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August 31, 2019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September 1, 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3"/>
              </w:rPr>
              <w:t>August 31,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September 1, 2018</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Recognized at shipment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164,336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323,401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Recognized over time</w:t>
            </w:r>
          </w:p>
        </w:tc>
        <w:tc>
          <w:tcPr>
            <w:tcW w:w="1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192,722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195,599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392,822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375,263</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357,058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362,133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712,424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698,664</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Trade and construction accounts receivable consist of amounts billed and due from customers. The amounts due are stated at their estimated net realizable value. We maintain an allowance for doubtful accounts to provide for the estimated amount of receivables that will not be collected. This allowance is based on an assessment of customer creditworthiness, historical payment experience and the age of outstanding receivables. Retainage on construction contracts represents amounts withheld by our customers on long-term projects until the project reaches a level of completion where amounts are released.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3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August 31, 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w:t>
            </w:r>
          </w:p>
        </w:tc>
        <w:tc>
          <w:tcPr>
            <w:tcW w:w="37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153,765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145,693</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Construction contracts</w:t>
            </w:r>
          </w:p>
        </w:tc>
        <w:tc>
          <w:tcPr>
            <w:tcW w:w="3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17,822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retainage</w:t>
            </w:r>
          </w:p>
        </w:tc>
        <w:tc>
          <w:tcPr>
            <w:tcW w:w="3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32,396</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Total receivables</w:t>
            </w: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206,634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197,139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Net receivables</w:t>
            </w:r>
          </w:p>
        </w:tc>
        <w:tc>
          <w:tcPr>
            <w:tcW w:w="344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201,913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192,767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320" w:type="dxa"/>
            <w:vAlign w:val="bottom"/>
            <w:vMerge w:val="restart"/>
          </w:tcPr>
          <w:p>
            <w:pPr>
              <w:jc w:val="right"/>
              <w:ind w:right="16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August 31, 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March 2, 2019</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87,491</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22,980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24,083</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contract assets was due to timing of costs incurred in advance of billings, primarily on a legacy EFCO project. The change in contract liabilities was due to timing of project activity within our businesses that operate under long-term contracts.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contract-related disclosures</w:t>
            </w:r>
          </w:p>
        </w:tc>
        <w:tc>
          <w:tcPr>
            <w:tcW w:w="1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August 31, 2019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1"/>
              </w:rPr>
              <w:t>September 1, 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August 31,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September 1, 2018</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recognized related to contract liabilities from prior year-end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10,380</w:t>
            </w: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Revenue recognized related to prior satisfaction of performance</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6,430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3,798</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August 31, 2019, the transaction price associated with unsatisfied performance obligations was approximately $775.7 million. The performance obligations are expected to be satisfied, and the corresponding revenue to be recognized, over the following estimated time periods: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August 31, 2019</w:t>
            </w: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442,666</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Within two years</w:t>
            </w: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286,223</w:t>
            </w: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Beyond</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46,800</w:t>
            </w:r>
          </w:p>
        </w:tc>
      </w:tr>
      <w:tr>
        <w:trPr>
          <w:trHeight w:val="25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775,689</w:t>
            </w: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7920" w:firstLine="8"/>
        <w:spacing w:after="0" w:line="506"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 Inventories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August 31, 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43,890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17,071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15,533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18,921</w:t>
            </w:r>
          </w:p>
        </w:tc>
        <w:tc>
          <w:tcPr>
            <w:tcW w:w="0" w:type="dxa"/>
            <w:vAlign w:val="bottom"/>
          </w:tcPr>
          <w:p>
            <w:pPr>
              <w:spacing w:after="0"/>
              <w:rPr>
                <w:sz w:val="1"/>
                <w:szCs w:val="1"/>
                <w:color w:val="auto"/>
              </w:rPr>
            </w:pP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74,284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August 31, 2019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Accrued project losses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29,221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37,085</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Accrued self-insurance reserves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25,573</w:t>
            </w:r>
          </w:p>
        </w:tc>
        <w:tc>
          <w:tcPr>
            <w:tcW w:w="0" w:type="dxa"/>
            <w:vAlign w:val="bottom"/>
          </w:tcPr>
          <w:p>
            <w:pPr>
              <w:spacing w:after="0"/>
              <w:rPr>
                <w:sz w:val="1"/>
                <w:szCs w:val="1"/>
                <w:color w:val="auto"/>
              </w:rPr>
            </w:pP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other current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87,174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92,696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August 31, 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2, 2019</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benefit from New Market Tax Credit transactions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26,458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Retirement plan obligations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7,633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plan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34,058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32,683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77,182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Through our wholly-owned insurance subsidiary, Prism Assurance, Ltd. (Prism), we hold the following available-for-sale marketable securities, made up of municipal and corporate bonds: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4"/>
                <w:szCs w:val="14"/>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Unrealized Gains</w:t>
            </w:r>
          </w:p>
        </w:tc>
        <w:tc>
          <w:tcPr>
            <w:tcW w:w="100" w:type="dxa"/>
            <w:vAlign w:val="bottom"/>
            <w:vMerge w:val="restart"/>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0"/>
              </w:rPr>
              <w:t>Gross Unrealized Losses</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39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11,796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March 2, 2019</w:t>
            </w:r>
          </w:p>
        </w:tc>
        <w:tc>
          <w:tcPr>
            <w:tcW w:w="2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12,481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these bonds at August 31, 2019, by contractual maturity, are shown below. Expected maturities may differ from contractual maturities, as borrowers may have the right to call or prepay obligations with or without penalty.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Estimated Fair Value</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9,289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after five years through 10 years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Due after 10 years through 15 years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beyond 15 years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11,796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11,985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ind w:right="360"/>
        <w:spacing w:after="0" w:line="261" w:lineRule="auto"/>
        <w:rPr>
          <w:sz w:val="20"/>
          <w:szCs w:val="20"/>
          <w:color w:val="auto"/>
        </w:rPr>
      </w:pPr>
      <w:r>
        <w:rPr>
          <w:rFonts w:ascii="Arial" w:cs="Arial" w:eastAsia="Arial" w:hAnsi="Arial"/>
          <w:sz w:val="18"/>
          <w:szCs w:val="18"/>
          <w:color w:val="auto"/>
        </w:rPr>
        <w:t>In August 2019, we entered into an interest rate swap to hedge exposure to variability in cash flows from interest payments on our floating-rate revolving credit facility. As of August 31, 2019, the interest rate swap contract had a notional value of $85 million.</w:t>
      </w:r>
    </w:p>
    <w:p>
      <w:pPr>
        <w:spacing w:after="0" w:line="18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periodically enter into forward purchase foreign currency cash flow hedge contracts, generally with an original maturity date of less than one year, to hedge foreign currency exchange rate risk. As of August 31, 2019, we held foreign exchange forward contracts with a U.S. dollar notional value of $27.8 million, with the objective of reducing the exposure to fluctuations in the Canadian dollar and the Euro.</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August 31, 2019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forward/option contract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Interest rate swap contract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2, 2019</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Foreign currency forward/option contract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market funds and commercial paper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and corporate bonds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interest rate swap is measured at fair value using unobservable market inputs, based off of benchmark interest rates. Forward foreign exchange contracts are measured at fair value using unobservable market inputs, such as quotations on forward foreign exchange points and foreign currency exchange rates. Derivative positions are primarily valued using standard calculations and models that use as their basis readily observable market parameters. Industry standard data providers are our primary source for forward and spot rate information for both interest and currency rates.</w:t>
      </w:r>
    </w:p>
    <w:p>
      <w:pPr>
        <w:spacing w:after="0" w:line="17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Architectural</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Architectural Glass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Architectural</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Large-Scale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Framing Systems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Optical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180,956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Goodwill adjustments for purchase accounting</w:t>
            </w:r>
          </w:p>
        </w:tc>
        <w:tc>
          <w:tcPr>
            <w:tcW w:w="160" w:type="dxa"/>
            <w:vAlign w:val="bottom"/>
          </w:tcPr>
          <w:p>
            <w:pPr>
              <w:spacing w:after="0"/>
              <w:rPr>
                <w:sz w:val="21"/>
                <w:szCs w:val="21"/>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vMerge w:val="restart"/>
          </w:tcPr>
          <w:p>
            <w:pPr>
              <w:jc w:val="right"/>
              <w:ind w:right="13"/>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March 2, 2019</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148,446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25,709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185,832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August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148,404</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185,803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Impairment</w:t>
            </w:r>
          </w:p>
        </w:tc>
        <w:tc>
          <w:tcPr>
            <w:tcW w:w="2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2"/>
                <w:szCs w:val="12"/>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August 31, 2019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40,974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99,203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45,402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206,633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144,605</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2, 2019</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213,591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on definite-lived intangible assets was $3.8 million and $7.9 million for the six-month periods ended August 31, 2019 and September 1, 2018, respectively. Amortization expense is included in selling, general and administrative expenses in the consolidated results of operations, other than amortization on debt issue costs, which is included in interest expense. At August 31, 2019, the estimated future amortization expense for definite-lived intangible assets was: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Remainder of</w:t>
            </w:r>
          </w:p>
        </w:tc>
        <w:tc>
          <w:tcPr>
            <w:tcW w:w="200" w:type="dxa"/>
            <w:vAlign w:val="bottom"/>
          </w:tcPr>
          <w:p>
            <w:pPr>
              <w:spacing w:after="0"/>
              <w:rPr>
                <w:sz w:val="14"/>
                <w:szCs w:val="14"/>
                <w:color w:val="auto"/>
              </w:rPr>
            </w:pPr>
          </w:p>
        </w:tc>
        <w:tc>
          <w:tcPr>
            <w:tcW w:w="10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8"/>
              </w:rPr>
              <w:t>Fiscal 2021</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2022</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2023</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2024</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Fiscal 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7,916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7,911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7,746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2019, our total debt outstanding was $272.8 million, compared to $245.8 million as of March 2, 2019. During the second quarter ended August 31, 2019, we amended the borrowing capacity of our prior credit facility to be $235 million with a maturity of June 2024 and we established a $150 million term loan with a maturity of June 2020. Outstanding borrowings under the revolving credit facility were $102.0 million, as of August 31, 2019, and $225.0 million, as of March 2, 2019.</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our prior facility, our amended revolving credit facility and term loan contains two financial covenants that require us to stay below a maximum debt-to-EBITDA ratio and maintain a minimum ratio of interest expense-to-EBITDA. Both ratios are computed quarterly, with EBITDA calculated on a rolling four-quarter basis. At August 31, 2019, we were in compliance with both financial covenants. Additionally, at August 31, 2019, we had a total of $24.7 million of ongoing letters of credit related to industrial revenue bonds, construction contracts and insurance collateral that expire in fiscal years 2021 to 2032 and reduce borrowing capacity under the revolving credit facility.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August 31, 2019, debt included $20.4 million of industrial revenue bonds that mature in fiscal years 2021 through 2043 and $0.4 million of long-term debt in Canada. The fair value of the industrial revenue bonds approximated carrying value at August 31, 2019, due to the variable interest rates on these instruments. All debt would be classified as Level 2 within the fair value hierarchy described in Note 4.</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also maintain two Canadian demand credit facilities totaling $12.0 million Canadian dollars. As of August 31, 2019 and March 2, 2019, no borrowings were outstanding under the facilities. Borrowings under these facilities are made available at the sole discretion of the lenders and are payable on demand.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were $5.3 million and $4.3 million for the six months ended August 31, 2019 and September 1, 2018,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and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 We are not a lessor in any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August 31, 2019</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August 31, 2019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3,490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4,653</w:t>
            </w:r>
          </w:p>
        </w:tc>
        <w:tc>
          <w:tcPr>
            <w:tcW w:w="1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9,422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Other supplemental information related to leases was as follows:</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i w:val="1"/>
                <w:iCs w:val="1"/>
                <w:color w:val="auto"/>
              </w:rPr>
              <w:t>In thousands except weighted-average data</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August 31, 2019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6.0 years</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675"/>
        </w:trPr>
        <w:tc>
          <w:tcPr>
            <w:tcW w:w="7660" w:type="dxa"/>
            <w:vAlign w:val="bottom"/>
            <w:gridSpan w:val="2"/>
          </w:tcPr>
          <w:p>
            <w:pPr>
              <w:spacing w:after="0"/>
              <w:rPr>
                <w:sz w:val="20"/>
                <w:szCs w:val="20"/>
                <w:color w:val="auto"/>
              </w:rPr>
            </w:pPr>
            <w:r>
              <w:rPr>
                <w:rFonts w:ascii="Arial" w:cs="Arial" w:eastAsia="Arial" w:hAnsi="Arial"/>
                <w:sz w:val="18"/>
                <w:szCs w:val="18"/>
                <w:color w:val="auto"/>
              </w:rPr>
              <w:t>Future maturities of lease liabilities are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August 31, 2019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Fiscal 2021</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11,256</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9,891</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Fiscal 2023</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8,989</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Fiscal 2025</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10,659</w:t>
            </w:r>
          </w:p>
        </w:tc>
        <w:tc>
          <w:tcPr>
            <w:tcW w:w="0" w:type="dxa"/>
            <w:vAlign w:val="bottom"/>
          </w:tcPr>
          <w:p>
            <w:pPr>
              <w:spacing w:after="0"/>
              <w:rPr>
                <w:sz w:val="1"/>
                <w:szCs w:val="1"/>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61,674</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54,138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two operating leases with a related party; total rent paid for these facilities was approximately $1.0 million for the six months ended August 31, 2019, and the future minimum lease commitment is $12.2 million. As of August 31, 2019, we have additional future operating lease commitments of $6.0 million for leases that have not yet commenced, with terms ranging from one to seven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Aggregate annual future rental commitments under operating leases with noncancellable terms of more than one year at March 2, 2019 were reported under previous lease accounting standards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14,888</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11,787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9,669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8,772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6,735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16,806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68,657</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August 31, 2019, $695.7 million of these types of bonds were outstanding on our backlog and recently completed projects. These bonds do not have stated expiration dates. We have not been required to make any payments under these bonds with respect to our existing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and project-related contingencies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2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August 31, 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September 1, 2018</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22,517</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Additional accruals</w:t>
            </w:r>
          </w:p>
        </w:tc>
        <w:tc>
          <w:tcPr>
            <w:tcW w:w="28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2,087</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14,862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20,024</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 We have recorded an estimated liability related to legacy EFCO projects of $34.2 million and $42.8 million as of August 31, 2019 and March 2, 2019, respectively. We are actively pursuing available options to recover costs related to these exposures.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August 31, 2019, we had $24.7 million of ongoing letters of credit, all of which have been issued under our committed revolving credit facility, as discussed in Note 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for raw material commitments and capital expenditures totaled $124.2 million as of August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(NMTC) transactions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entered into four separate NMTC programs to support our operational expansion, including two transactions completed in fiscal 2019. Proceeds received from investors on these transactions are included within other non-current liabilities on our consolidated balance sheets. The NMTC arrangements are subject to 100 percent tax recapture for a period of seven years from the date of each respective transaction. Therefore, upon the termination of each arrangement, these proceeds will be recognized in earnings in exchange for the transfer of tax credits. The direct and incremental costs incurred in structuring these arrangements have been deferred and are included in other non-current assets on our consolidated balance sheets. These costs will be recognized in conjunction with the recognition of the related proceeds on each arrangement. During the construction phase,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our outstanding NMTC transactions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Inception date</w:t>
            </w:r>
          </w:p>
        </w:tc>
        <w:tc>
          <w:tcPr>
            <w:tcW w:w="14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Termination date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2"/>
              </w:rPr>
              <w:t>Proceeds received</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Deferred costs</w:t>
            </w: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Net benefit</w:t>
            </w: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2013</w:t>
            </w:r>
          </w:p>
        </w:tc>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June 2016</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May 2023</w:t>
            </w: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0.9</w:t>
            </w:r>
          </w:p>
        </w:tc>
        <w:tc>
          <w:tcPr>
            <w:tcW w:w="3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2018</w:t>
            </w:r>
          </w:p>
        </w:tc>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2025</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0.9</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September 2018</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August 2025</w:t>
            </w: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0.8</w:t>
            </w:r>
          </w:p>
        </w:tc>
        <w:tc>
          <w:tcPr>
            <w:tcW w:w="3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November 5, 2018, a shareholder filed a purported securities class action against the Company and certain named executive officers. On April 26, 2019, the new lead plaintiff filed an amended complaint, alleging that, during the purported class period of May 1, 2017 to April 10, 2019, the Company and the named executive officers made materially false or misleading statements or omissions about the Company's acquisition of EFCO Corporation on June 12, 2017, and about the Company's Architectural Glass business segment, in violation of the federal securities laws. We intend to vigorously defend this matter.</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17, 2018, a different shareholder filed a derivative lawsuit, purportedly on behalf of the Company, against certain of our executive officers and directors claiming breaches of fiduciary duty, waste of corporate assets and unjust enrichment. This complaint alleges that the officers and directors allegedly made materially false or misleading statements or omissions about the Company's business, operations and prospects, particularly with respect to our Architectural Glass business segment, during the period between June 28, 2018 and September 17, 2018. This matter has been stayed, pending resolution of a motion to dismiss the foregoing matter. We intend to vigorously defend this matter.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8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share-based compensation expense included in the results of operations was $3.2 million for the six-month period ended August 31, 2019 and $3.1 million for the six-month period ended September 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six-month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Stock options and SARs</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2, 2019</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100,341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Awards exercised</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August 31, 2019</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100,341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2.0 years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2,868,749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awards were exercised for the six-months ended August 31, 2019. For the six-months ended September 1, 2018, cash proceeds from the exercise of stock options were $0.2 million and the aggregate intrinsic value of securities exercised (the amount by which the stock price on the date of exercise exceeded the stock price of the award on the date of grant) was $0.6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shares and share units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Nonvested share activity for the current six-month period is summarized as follows: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Nonvested shares and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Number of Shares and</w:t>
      </w:r>
      <w:r>
        <w:rPr>
          <w:sz w:val="20"/>
          <w:szCs w:val="20"/>
          <w:color w:val="auto"/>
        </w:rPr>
        <w:tab/>
      </w:r>
      <w:r>
        <w:rPr>
          <w:rFonts w:ascii="Arial" w:cs="Arial" w:eastAsia="Arial" w:hAnsi="Arial"/>
          <w:sz w:val="12"/>
          <w:szCs w:val="12"/>
          <w:b w:val="1"/>
          <w:bCs w:val="1"/>
          <w:color w:val="auto"/>
        </w:rPr>
        <w:t>Weighted Average</w:t>
      </w:r>
    </w:p>
    <w:p>
      <w:pPr>
        <w:spacing w:after="0" w:line="4" w:lineRule="exact"/>
        <w:rPr>
          <w:sz w:val="20"/>
          <w:szCs w:val="20"/>
          <w:color w:val="auto"/>
        </w:rPr>
      </w:pPr>
    </w:p>
    <w:p>
      <w:pPr>
        <w:jc w:val="both"/>
        <w:ind w:left="540"/>
        <w:spacing w:after="0"/>
        <w:tabs>
          <w:tab w:leader="none" w:pos="1640" w:val="left"/>
        </w:tabs>
        <w:rPr>
          <w:sz w:val="20"/>
          <w:szCs w:val="20"/>
          <w:color w:val="auto"/>
        </w:rPr>
      </w:pPr>
      <w:r>
        <w:rPr>
          <w:rFonts w:ascii="Arial" w:cs="Arial" w:eastAsia="Arial" w:hAnsi="Arial"/>
          <w:sz w:val="14"/>
          <w:szCs w:val="14"/>
          <w:b w:val="1"/>
          <w:bCs w:val="1"/>
          <w:color w:val="auto"/>
        </w:rPr>
        <w:t>Units</w:t>
      </w:r>
      <w:r>
        <w:rPr>
          <w:sz w:val="20"/>
          <w:szCs w:val="20"/>
          <w:color w:val="auto"/>
        </w:rPr>
        <w:tab/>
      </w:r>
      <w:r>
        <w:rPr>
          <w:rFonts w:ascii="Arial" w:cs="Arial" w:eastAsia="Arial" w:hAnsi="Arial"/>
          <w:sz w:val="14"/>
          <w:szCs w:val="14"/>
          <w:b w:val="1"/>
          <w:bCs w:val="1"/>
          <w:color w:val="auto"/>
        </w:rPr>
        <w:t>Grant Date Fair Value</w:t>
      </w:r>
    </w:p>
    <w:p>
      <w:pPr>
        <w:spacing w:after="0" w:line="9" w:lineRule="exact"/>
        <w:rPr>
          <w:sz w:val="20"/>
          <w:szCs w:val="20"/>
          <w:color w:val="auto"/>
        </w:rPr>
      </w:pPr>
    </w:p>
    <w:p>
      <w:pPr>
        <w:sectPr>
          <w:pgSz w:w="11900" w:h="16838" w:orient="portrait"/>
          <w:cols w:equalWidth="0" w:num="2">
            <w:col w:w="7560" w:space="720"/>
            <w:col w:w="314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56"/>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2,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286,613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125,571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39.53</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47.35</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August 31, 2019</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286,151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August 31, 2019, there was $8.5 million of total unrecognized compensation cost related to nonvested share and nonvested share unit awards, which is expected to be recognized over a weighted average period of approximately 22 months. The total fair value of shares vested during the six months ended August 31, 2019 was $4.9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sponsors two frozen defined-benefit pension plans: an unfunded Officers’ Supplemental Executive Retirement Plan and the Tubelite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Hourly Employees’ Pension Plan. Components of net periodic benefit cost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August 31, 2019</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September 1, 2018</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August 31,</w:t>
            </w:r>
          </w:p>
        </w:tc>
        <w:tc>
          <w:tcPr>
            <w:tcW w:w="220" w:type="dxa"/>
            <w:vAlign w:val="bottom"/>
          </w:tcPr>
          <w:p>
            <w:pPr>
              <w:spacing w:after="0"/>
              <w:rPr>
                <w:sz w:val="13"/>
                <w:szCs w:val="13"/>
                <w:color w:val="auto"/>
              </w:rPr>
            </w:pPr>
          </w:p>
        </w:tc>
        <w:tc>
          <w:tcPr>
            <w:tcW w:w="1260" w:type="dxa"/>
            <w:vAlign w:val="bottom"/>
          </w:tcPr>
          <w:p>
            <w:pPr>
              <w:jc w:val="right"/>
              <w:ind w:right="276"/>
              <w:spacing w:after="0" w:line="153" w:lineRule="exact"/>
              <w:rPr>
                <w:sz w:val="20"/>
                <w:szCs w:val="20"/>
                <w:color w:val="auto"/>
              </w:rPr>
            </w:pPr>
            <w:r>
              <w:rPr>
                <w:rFonts w:ascii="Arial" w:cs="Arial" w:eastAsia="Arial" w:hAnsi="Arial"/>
                <w:sz w:val="14"/>
                <w:szCs w:val="14"/>
                <w:b w:val="1"/>
                <w:bCs w:val="1"/>
                <w:color w:val="auto"/>
              </w:rPr>
              <w:t>September 1,</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Expected return on assets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unrecognized net loss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2016, or state and local income tax examinations for years prior to fiscal 2013. The Company is not currently under U.S. federal examination for years subsequent to fiscal year 2015, and there is limited audit activity of the Company’s income tax returns in U.S. state jurisdictions or international jurisdictions.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liability for unrecognized tax benefits was approximately $5.5 million at August 31, 2019 and $5.1 million at March 2, 2019. Penalties and interest related to unrecognized tax benefits are recorded in income tax expense. The total liability for unrecognized tax benefits is expected to decrease by approximately $0.5 million during the next 12 months due to lapsing of statutes.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August 31, 2019</w:t>
            </w:r>
          </w:p>
        </w:tc>
        <w:tc>
          <w:tcPr>
            <w:tcW w:w="120" w:type="dxa"/>
            <w:vAlign w:val="bottom"/>
            <w:vMerge w:val="restart"/>
          </w:tcPr>
          <w:p>
            <w:pPr>
              <w:spacing w:after="0"/>
              <w:rPr>
                <w:sz w:val="13"/>
                <w:szCs w:val="13"/>
                <w:color w:val="auto"/>
              </w:rPr>
            </w:pPr>
          </w:p>
        </w:tc>
        <w:tc>
          <w:tcPr>
            <w:tcW w:w="13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9"/>
              </w:rPr>
              <w:t>September 1, 2018</w:t>
            </w:r>
          </w:p>
        </w:tc>
        <w:tc>
          <w:tcPr>
            <w:tcW w:w="140" w:type="dxa"/>
            <w:vAlign w:val="bottom"/>
            <w:vMerge w:val="restart"/>
          </w:tcPr>
          <w:p>
            <w:pPr>
              <w:spacing w:after="0"/>
              <w:rPr>
                <w:sz w:val="13"/>
                <w:szCs w:val="13"/>
                <w:color w:val="auto"/>
              </w:rPr>
            </w:pPr>
          </w:p>
        </w:tc>
        <w:tc>
          <w:tcPr>
            <w:tcW w:w="144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August 31,</w:t>
            </w:r>
          </w:p>
        </w:tc>
        <w:tc>
          <w:tcPr>
            <w:tcW w:w="136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September 1,</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Basic earnings per share – weighted average common shares outstanding</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26,413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28,128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26,505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28,127</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0"/>
              </w:rPr>
              <w:t>Weighted average effect of nonvested share grants and assumed exercise of</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stock options</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 – weighted average common shares and</w:t>
            </w:r>
          </w:p>
        </w:tc>
        <w:tc>
          <w:tcPr>
            <w:tcW w:w="138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26,736</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28,379</w:t>
            </w:r>
          </w:p>
        </w:tc>
        <w:tc>
          <w:tcPr>
            <w:tcW w:w="1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26,789</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28,377</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potential common shares outstanding</w:t>
            </w: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8"/>
                <w:szCs w:val="18"/>
                <w:color w:val="auto"/>
                <w:w w:val="93"/>
              </w:rPr>
              <w:t>Stock awards excluded from the calculation of earnings per share because</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gridSpan w:val="2"/>
            <w:vMerge w:val="continue"/>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00"/>
              <w:spacing w:after="0"/>
              <w:rPr>
                <w:sz w:val="20"/>
                <w:szCs w:val="20"/>
                <w:color w:val="auto"/>
              </w:rPr>
            </w:pPr>
            <w:r>
              <w:rPr>
                <w:rFonts w:ascii="Arial" w:cs="Arial" w:eastAsia="Arial" w:hAnsi="Arial"/>
                <w:sz w:val="18"/>
                <w:szCs w:val="18"/>
                <w:color w:val="auto"/>
                <w:w w:val="99"/>
              </w:rPr>
              <w:t>the effect was anti-dilutive (award price greater than average market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price of the shares)</w:t>
            </w:r>
          </w:p>
        </w:tc>
        <w:tc>
          <w:tcPr>
            <w:tcW w:w="1380" w:type="dxa"/>
            <w:vAlign w:val="bottom"/>
            <w:vMerge w:val="restart"/>
          </w:tcPr>
          <w:p>
            <w:pPr>
              <w:jc w:val="right"/>
              <w:ind w:right="56"/>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360" w:type="dxa"/>
            <w:vAlign w:val="bottom"/>
            <w:vMerge w:val="restart"/>
          </w:tcPr>
          <w:p>
            <w:pPr>
              <w:jc w:val="right"/>
              <w:ind w:right="34"/>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1340" w:type="dxa"/>
            <w:vAlign w:val="bottom"/>
            <w:vMerge w:val="restart"/>
          </w:tcPr>
          <w:p>
            <w:pPr>
              <w:jc w:val="right"/>
              <w:ind w:right="18"/>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360" w:type="dxa"/>
            <w:vAlign w:val="bottom"/>
            <w:vMerge w:val="restart"/>
          </w:tcPr>
          <w:p>
            <w:pPr>
              <w:jc w:val="right"/>
              <w:ind w:right="16"/>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four reporting segments: Architectural Framing Systems, Architectural Glass, Architectural Services and Large-Scale Optical (LSO).</w:t>
      </w:r>
    </w:p>
    <w:p>
      <w:pPr>
        <w:spacing w:after="0" w:line="35" w:lineRule="exact"/>
        <w:rPr>
          <w:sz w:val="20"/>
          <w:szCs w:val="20"/>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six operating segments into this reporting segment based on their similar products, customers, distribution methods, production processes and economic characteristics.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Architectural Services segment designs, engineers, fabricates and installs the walls of glass, windows and other curtainwall products making up the outside skin of commercial and institutional buildings.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LSO segment manufactures value-added glass and acrylic products primarily for framing and display applications.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August 31, 2019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1, 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August 31,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September 1, 2018</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Framing Systems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187,394</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189,850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367,916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368,887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Glass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199,429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165,009</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Services</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76,496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126,744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147,223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Large-Scale Optical</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41,145</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Intersegment eliminations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(23,600)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357,058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362,133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712,424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698,664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Operating income (loss) from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Framing Systems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30,650</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Glass</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12,859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Large-Scale Optical</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8,807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37"/>
        </w:trPr>
        <w:tc>
          <w:tcPr>
            <w:tcW w:w="5960" w:type="dxa"/>
            <w:vAlign w:val="bottom"/>
            <w:gridSpan w:val="2"/>
          </w:tcPr>
          <w:p>
            <w:pPr>
              <w:ind w:left="5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27,576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28,660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50,616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50,654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of the Company’s Annual Report on Form 10-K for the fiscal year ended March 2, 2019.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of the Company’s Annual Report on Form 10-K for the fiscal year ended March 2,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are a world leader in certain technologies involving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March 2, 2019 and the consolidated financial statements, including the notes to consolidated financial statements, included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Second Quarter First Six Months of Fiscal 2020 Compared to Second Quarter and First Six Months of Fiscal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net sales decreased 1.4 percent, or $5.1 million, for the second quarter ended August 31, 2019, and increased 2.0 percent, or $13.8 million, for the six-month period, compared to the same periods in the prior year. In the quarter, the decrease in sales was driven by an expected decline based on project schedules in the Architectural Services segment, partially offset by improved volume in the Architectural Glass segment. In the six-month period, sales growth was driven by improved volume in the Architectural Glass segment, partially offset by a decline in the Architectural Services segment, as expected, based on timing of project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between various components of operations, as a percentage of net sales,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August 31, 2019</w:t>
            </w: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1, 2018</w:t>
            </w: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August 31, 2019</w:t>
            </w:r>
          </w:p>
        </w:tc>
        <w:tc>
          <w:tcPr>
            <w:tcW w:w="1440" w:type="dxa"/>
            <w:vAlign w:val="bottom"/>
          </w:tcPr>
          <w:p>
            <w:pPr>
              <w:jc w:val="right"/>
              <w:ind w:right="72"/>
              <w:spacing w:after="0"/>
              <w:rPr>
                <w:sz w:val="20"/>
                <w:szCs w:val="20"/>
                <w:color w:val="auto"/>
              </w:rPr>
            </w:pPr>
            <w:r>
              <w:rPr>
                <w:rFonts w:ascii="Arial" w:cs="Arial" w:eastAsia="Arial" w:hAnsi="Arial"/>
                <w:sz w:val="14"/>
                <w:szCs w:val="14"/>
                <w:b w:val="1"/>
                <w:bCs w:val="1"/>
                <w:color w:val="auto"/>
              </w:rPr>
              <w:t>September 1, 2018</w:t>
            </w: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Effective tax rate</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jc w:val="both"/>
        <w:ind w:left="60"/>
        <w:spacing w:after="0" w:line="273" w:lineRule="auto"/>
        <w:rPr>
          <w:sz w:val="20"/>
          <w:szCs w:val="20"/>
          <w:color w:val="auto"/>
        </w:rPr>
      </w:pPr>
      <w:r>
        <w:rPr>
          <w:rFonts w:ascii="Arial" w:cs="Arial" w:eastAsia="Arial" w:hAnsi="Arial"/>
          <w:sz w:val="17"/>
          <w:szCs w:val="17"/>
          <w:color w:val="auto"/>
        </w:rPr>
        <w:t>Gross profit as a percent of sales was 24.1 percent and 23.5 percent for the three and six-month periods ended August 31, 2019, compared to 23.3 percent and 23.6 percent for the three and six-month periods ended September 1, 2018. The increase in the current quarter was largely driven by improved volume leverage in the Architectural Glass segment. In the six-month period, gross profit improvements in Architectural Glass were offset by a less favorable project mix in the Architectural Framing segment, and timing of project activity in the Architectural Services segment.</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21"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SG&amp;A expenses as a percent of sales were 16.4 percent in each of the three and six-month periods ended August 31, 2019, compared to 15.4 percent and 16.4 percent in the prior year three and six-month periods, respectively. SG&amp;A increased 100 basis points in the second quarter of fiscal 2020 compared to fiscal 2019 due to increased compensation and benefits and costs related to cost-savings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in the second quarter of fiscal 2020 was 24.0 percent, compared to 23.8 percent in the same period last year, and 24.2 percent for the first six months of fiscal 2020, compared to 23.9 percent in the prior-year period. The slight rate increase was driven by several factors, including increased foreign income and the impact of state taxes.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August 31, 2019</w:t>
            </w:r>
          </w:p>
        </w:tc>
        <w:tc>
          <w:tcPr>
            <w:tcW w:w="1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September 1, 2018</w:t>
            </w:r>
          </w:p>
        </w:tc>
        <w:tc>
          <w:tcPr>
            <w:tcW w:w="100" w:type="dxa"/>
            <w:vAlign w:val="bottom"/>
            <w:vMerge w:val="restart"/>
          </w:tcPr>
          <w:p>
            <w:pPr>
              <w:spacing w:after="0"/>
              <w:rPr>
                <w:sz w:val="13"/>
                <w:szCs w:val="13"/>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August 31, 2019</w:t>
            </w:r>
          </w:p>
        </w:tc>
        <w:tc>
          <w:tcPr>
            <w:tcW w:w="100" w:type="dxa"/>
            <w:vAlign w:val="bottom"/>
          </w:tcPr>
          <w:p>
            <w:pPr>
              <w:spacing w:after="0"/>
              <w:rPr>
                <w:sz w:val="13"/>
                <w:szCs w:val="13"/>
                <w:color w:val="auto"/>
              </w:rPr>
            </w:pPr>
          </w:p>
        </w:tc>
        <w:tc>
          <w:tcPr>
            <w:tcW w:w="13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September 1, 2018</w:t>
            </w:r>
          </w:p>
        </w:tc>
        <w:tc>
          <w:tcPr>
            <w:tcW w:w="100" w:type="dxa"/>
            <w:vAlign w:val="bottom"/>
            <w:vMerge w:val="restart"/>
          </w:tcPr>
          <w:p>
            <w:pPr>
              <w:spacing w:after="0"/>
              <w:rPr>
                <w:sz w:val="13"/>
                <w:szCs w:val="13"/>
                <w:color w:val="auto"/>
              </w:rPr>
            </w:pPr>
          </w:p>
        </w:tc>
        <w:tc>
          <w:tcPr>
            <w:tcW w:w="10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187,394</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189,850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367,916</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368,887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15,523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18,312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27,796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30,650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Architectural Framing Systems net sales declined $2.5 million, or 1.3 percent, and $1.0 million, or 0.3 percent, for the three and six-month periods ended August 31, 2019, compared to the prior-year periods. Operating margin decreased 130 and 70 basis points, respectively, for the three and six-month periods of the current year, compared to the same periods in the prior year, primarily due to less favorable project mix. Last year's second quarter included $1.1 million of expense for the amortization of short-lived acquired intangible assets.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August 31, 2019, segment backlog was approximately $385 million, compared to approximately $402 million last quarter.</w:t>
      </w:r>
    </w:p>
    <w:p>
      <w:pPr>
        <w:spacing w:after="0" w:line="117"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color w:val="auto"/>
        </w:rPr>
        <w:t>Backlog represents the dollar amount of signed contracts or firm orders, generally as a result of a competitive bidding process, which is expected to be recognized as revenue primarily in the near-term. Backlog is not a term defined under U.S. GAAP and is not a measure of contract profitability. Backlog should not be used as the sole indicator of future segment revenue because we have a substantial amount of projects with short lead times that book-and-bill within the same reporting period and are not included in backlog. We have strong visibility beyond backlog, as projects awarded, verbal commitments and bidding activities are monitored separately and not included in backlog. We use backlog as one of the metrics to evaluate sales trends in our long lead-time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August 31, 2019</w:t>
            </w:r>
          </w:p>
        </w:tc>
        <w:tc>
          <w:tcPr>
            <w:tcW w:w="100" w:type="dxa"/>
            <w:vAlign w:val="bottom"/>
          </w:tcPr>
          <w:p>
            <w:pPr>
              <w:spacing w:after="0"/>
              <w:rPr>
                <w:sz w:val="13"/>
                <w:szCs w:val="13"/>
                <w:color w:val="auto"/>
              </w:rPr>
            </w:pPr>
          </w:p>
        </w:tc>
        <w:tc>
          <w:tcPr>
            <w:tcW w:w="13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September 1, 2018</w:t>
            </w:r>
          </w:p>
        </w:tc>
        <w:tc>
          <w:tcPr>
            <w:tcW w:w="120" w:type="dxa"/>
            <w:vAlign w:val="bottom"/>
            <w:vMerge w:val="restart"/>
          </w:tcPr>
          <w:p>
            <w:pPr>
              <w:spacing w:after="0"/>
              <w:rPr>
                <w:sz w:val="13"/>
                <w:szCs w:val="13"/>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1"/>
              </w:rPr>
              <w:t>August 31, 2019</w:t>
            </w:r>
          </w:p>
        </w:tc>
        <w:tc>
          <w:tcPr>
            <w:tcW w:w="100" w:type="dxa"/>
            <w:vAlign w:val="bottom"/>
          </w:tcPr>
          <w:p>
            <w:pPr>
              <w:spacing w:after="0"/>
              <w:rPr>
                <w:sz w:val="13"/>
                <w:szCs w:val="13"/>
                <w:color w:val="auto"/>
              </w:rPr>
            </w:pPr>
          </w:p>
        </w:tc>
        <w:tc>
          <w:tcPr>
            <w:tcW w:w="13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September 1, 2018</w:t>
            </w:r>
          </w:p>
        </w:tc>
        <w:tc>
          <w:tcPr>
            <w:tcW w:w="100" w:type="dxa"/>
            <w:vAlign w:val="bottom"/>
            <w:vMerge w:val="restart"/>
          </w:tcPr>
          <w:p>
            <w:pPr>
              <w:spacing w:after="0"/>
              <w:rPr>
                <w:sz w:val="13"/>
                <w:szCs w:val="13"/>
                <w:color w:val="auto"/>
              </w:rPr>
            </w:pPr>
          </w:p>
        </w:tc>
        <w:tc>
          <w:tcPr>
            <w:tcW w:w="96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99,138</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88,084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199,429</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165,009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12,859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Net sales increased $11.1 million, or 12.5 percent, and $34.4 million, or 20.9 percent, for the three and six-month periods ended August 31, 2019, compared to the same periods in the prior year. The increase in both periods of fiscal 2020 compared to fiscal 2019 was the result of increased volume and improved mix driven by strong customer demand.</w:t>
      </w:r>
    </w:p>
    <w:p>
      <w:pPr>
        <w:spacing w:after="0" w:line="73"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Operating margin increased 450 and 440 basis points for the three and six-month periods of the current year, compared to the same periods in the prior year, primarily driven by improved productivity and operating leverage on higher volume and improved price and mix in the current year compared to the prior year. Additionally, margins in the three- and six-month periods ended August 31, 2019 included an approximately 100 basis point impact from start-up costs related to a new growth initiative in this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5"/>
              </w:rPr>
              <w:t>August 31, 2019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September 1, 2018</w:t>
            </w:r>
          </w:p>
        </w:tc>
        <w:tc>
          <w:tcPr>
            <w:tcW w:w="100" w:type="dxa"/>
            <w:vAlign w:val="bottom"/>
            <w:vMerge w:val="restart"/>
          </w:tcPr>
          <w:p>
            <w:pPr>
              <w:spacing w:after="0"/>
              <w:rPr>
                <w:sz w:val="13"/>
                <w:szCs w:val="13"/>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August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1,</w:t>
            </w:r>
          </w:p>
        </w:tc>
        <w:tc>
          <w:tcPr>
            <w:tcW w:w="10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61,597</w:t>
            </w:r>
          </w:p>
        </w:tc>
        <w:tc>
          <w:tcPr>
            <w:tcW w:w="52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76,496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126,744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147,223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3,976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8,549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7"/>
              <w:spacing w:after="0"/>
              <w:rPr>
                <w:sz w:val="20"/>
                <w:szCs w:val="20"/>
                <w:color w:val="auto"/>
              </w:rPr>
            </w:pPr>
            <w:r>
              <w:rPr>
                <w:rFonts w:ascii="Arial" w:cs="Arial" w:eastAsia="Arial" w:hAnsi="Arial"/>
                <w:sz w:val="18"/>
                <w:szCs w:val="18"/>
                <w:color w:val="auto"/>
              </w:rPr>
              <w:t>12,775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Architectural Services net sales declined $14.9 million, or 19.5 percent, and $20.5 million, or 13.9 percent, for the three and six-month periods ended August 31, 2019, over the same periods in the prior year on lower volume due to timing of project activity, as expected.</w:t>
      </w:r>
    </w:p>
    <w:p>
      <w:pPr>
        <w:spacing w:after="0" w:line="62"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Operating margin decreased 350 and 200 basis points for the three and six-month periods of the current year, compared to the same periods in the prior year, due to reduced leverage on the lower project volume.</w:t>
      </w:r>
    </w:p>
    <w:p>
      <w:pPr>
        <w:spacing w:after="0" w:line="62" w:lineRule="exact"/>
        <w:rPr>
          <w:sz w:val="20"/>
          <w:szCs w:val="20"/>
          <w:color w:val="auto"/>
        </w:rPr>
      </w:pPr>
    </w:p>
    <w:p>
      <w:pPr>
        <w:jc w:val="both"/>
        <w:ind w:left="60" w:right="20"/>
        <w:spacing w:after="0" w:line="277" w:lineRule="auto"/>
        <w:rPr>
          <w:sz w:val="20"/>
          <w:szCs w:val="20"/>
          <w:color w:val="auto"/>
        </w:rPr>
      </w:pPr>
      <w:r>
        <w:rPr>
          <w:rFonts w:ascii="Arial" w:cs="Arial" w:eastAsia="Arial" w:hAnsi="Arial"/>
          <w:sz w:val="18"/>
          <w:szCs w:val="18"/>
          <w:color w:val="auto"/>
        </w:rPr>
        <w:t>As of August 31, 2019, segment backlog was approximately $502 million, compared to approximately $483 million last quarter. Backlog is defined within the Architectural Framing Systems discussion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August 31, 2019</w:t>
            </w:r>
          </w:p>
        </w:tc>
        <w:tc>
          <w:tcPr>
            <w:tcW w:w="1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September 1, 2018</w:t>
            </w:r>
          </w:p>
        </w:tc>
        <w:tc>
          <w:tcPr>
            <w:tcW w:w="100" w:type="dxa"/>
            <w:vAlign w:val="bottom"/>
            <w:vMerge w:val="restart"/>
          </w:tcPr>
          <w:p>
            <w:pPr>
              <w:spacing w:after="0"/>
              <w:rPr>
                <w:sz w:val="13"/>
                <w:szCs w:val="13"/>
                <w:color w:val="auto"/>
              </w:rPr>
            </w:pPr>
          </w:p>
        </w:tc>
        <w:tc>
          <w:tcPr>
            <w:tcW w:w="10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August 31, 2019</w:t>
            </w:r>
          </w:p>
        </w:tc>
        <w:tc>
          <w:tcPr>
            <w:tcW w:w="100" w:type="dxa"/>
            <w:vAlign w:val="bottom"/>
          </w:tcPr>
          <w:p>
            <w:pPr>
              <w:spacing w:after="0"/>
              <w:rPr>
                <w:sz w:val="13"/>
                <w:szCs w:val="13"/>
                <w:color w:val="auto"/>
              </w:rPr>
            </w:pPr>
          </w:p>
        </w:tc>
        <w:tc>
          <w:tcPr>
            <w:tcW w:w="13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September 1, 2018</w:t>
            </w:r>
          </w:p>
        </w:tc>
        <w:tc>
          <w:tcPr>
            <w:tcW w:w="100" w:type="dxa"/>
            <w:vAlign w:val="bottom"/>
            <w:vMerge w:val="restart"/>
          </w:tcPr>
          <w:p>
            <w:pPr>
              <w:spacing w:after="0"/>
              <w:rPr>
                <w:sz w:val="13"/>
                <w:szCs w:val="13"/>
                <w:color w:val="auto"/>
              </w:rPr>
            </w:pPr>
          </w:p>
        </w:tc>
        <w:tc>
          <w:tcPr>
            <w:tcW w:w="10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20,785</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20,383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42,045</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41,145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4,630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8,807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9,218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LSO net sales increased slightly for the three and six-month periods ended August 31, 2019, over the same periods in the prior year due to improved product mix. Operating margin increased 150 basis points for the quarter ended August 31, 2019, compared to the second quarter of last year, driven by the favorable product mix. Operating margin decreased 150 basis points for the six-month period of the current year compared to the same period in the prior year, driven by reduced cost leverage from changes in production schedules.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Selected cash flow data</w:t>
            </w: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August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September 1,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17,802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47,929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(24,241)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Borrowings on line of credit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205,000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issuance of 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Payments on line of credit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(196,500)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Repurchase and retirement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(8,823)</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was $17.8 million for the first six months of fiscal 2020, a decrease of $30.1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prior-year period, primarily due to increased working capital requirements related to legacy EFCO projects, as well as timing of other working capital needs.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$23.0 million for the first six months of fiscal 2020, primarily due to capital expenditures,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first six months of the prior year, net cash used by investing activities was $29.8 million, due to capital expenditures and net purchases of marketable securities. We estimate fiscal 2020 capital expenditures to be $60 to $65 million, as we continue to make investments to drive growth and productivity improvements.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was $4.7 million for the first six months of fiscal 2020, compared to $1.3 million for the prior-year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During the second quarter ended August 31, 2019, we amended our credit facility to consist of a $235 million revolving credit facility with a maturity of June 2024, and a $150 million term loan with a maturity of June 2020. At August 31, 2019, we had outstanding borrowings of $102.0 million and $24.7 million of ongoing letters of credit that reduce availability of funds under our revolving credit facility. At August 31, 2019, we were in compliance with financial covenants as defined in this credit facility.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paid dividends totaling $9.2 million ($0.35 per share) in the first six months of fiscal 2020 compared to $8.8 million ($0.315 per share) in the comparable prior-year period. In the first six months of fiscal 2020, we repurchased 531,997 shares under our authorized share repurchase program, all during the first quarter, for a total cost of $20.0 million. In the first six months of fiscal</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2019, we did not repurchase any shares under our authorized share repurchase program. We have purchased a total of 5,799,912 shares, at a total cost of $169.3 million, since the fiscal 2004 inception of this program. We currently have remaining authority to repurchase an additional 1,450,088 shares under this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Financing Activities. </w:t>
      </w:r>
      <w:r>
        <w:rPr>
          <w:rFonts w:ascii="Arial" w:cs="Arial" w:eastAsia="Arial" w:hAnsi="Arial"/>
          <w:sz w:val="18"/>
          <w:szCs w:val="18"/>
          <w:color w:val="auto"/>
        </w:rPr>
        <w:t>The following summarizes our significant contractual obligations that impact our liquidity as of August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Payments Due by Fiscal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0"/>
              </w:rPr>
              <w:t>Fiscal 2021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Fiscal 2022</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Fiscal 2023</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Fiscal 2024</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Fiscal 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272,785</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Operating leases (undiscounted)</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9,891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8,989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7,067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61,674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87,242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124,249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Total cash obligations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95,723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202,664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115,191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10,073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7,067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27,990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458,708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acquire the use of certain assets through operating leases, such as property, manufacturing equipment, vehicles and other equipment. Purchase obligations in the table above relate to raw material commitments and capital expenditures.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$0.7 million to our defined-benefit pension plans in fiscal 2020, which will equal or exceed our minimum funding requirements.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August 31, 2019, we had reserves of $5.5 million and $1.0 million for unrecognized tax benefits and environmental liabilities, respectively. We currently expect approximately $0.5 million of the unrecognized tax benefits to lapse during the next 12 months. We are unable to reasonably estimate in which future periods the remaining unrecognized tax benefits and environmental liabilities will ultimately be settled.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required, in the ordinary course of business, to provide surety or performance bonds that commit payments to our customers for any non-performance. At August 31, 2019, $695.7 million of these types of bonds were outstanding on our backlog and recently completed projects. These bonds do not have stated expiration dates. We have not been required to make any payments under these bonds with respect to our existing businesses.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our ability to generate strong cash from operations and our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statements reflect our expectations for full-year fiscal 2020 results. These statements are forward-looking, and actual results may differ materially.</w:t>
      </w:r>
    </w:p>
    <w:p>
      <w:pPr>
        <w:spacing w:after="0" w:line="1" w:lineRule="exact"/>
        <w:rPr>
          <w:sz w:val="20"/>
          <w:szCs w:val="20"/>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Revenue growth of 1 to 3 percent over fiscal 2019.</w:t>
      </w:r>
    </w:p>
    <w:p>
      <w:pPr>
        <w:spacing w:after="0" w:line="102"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margin of 8.2 to 8.6 percent.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per diluted share in the range of $3.00 to $3.20.</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 of $60 to $65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March 2,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Refer to an update to our critical accounting policies included within Item 1, Notes to the Consolidated Financial Statements (Note 1). No other changes have occurred to the critical accounting policies set forth in our Annual Report on Form 10-K for the fiscal year ended March 2, 2019.</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material changes have occurred to the disclosures of quantitative and qualitative market risk set forth in our Annual Report on Form 10-K for the fiscal year ended March 2,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53"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August 31, 2019, that has materially affected, or is reasonably likely to materially affect, the Company’s internal control over financial reporting.</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Murray Mayer v. Apogee Enterprises, Inc., et 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5, 2018, Murray Mayer, individually and on behalf of all others similarly situated, filed a purported securities class action lawsuit against the Company and our Chief Executive Officer and our Chief Financial Officer in the United States District Court for the District of Minnesota. On February 26, 2019, the Court appointed as lead plaintiffs the City of Cape Coral Municipal Firefighters’ Retirement Plan and the City of Cape Coral Municipal Police Officers’ Retirement Plan. On April 26, 2019, the lead plaintiffs filed an amended complaint. The amended complaint alleges that, during the purported class period of May 1, 2017 to April 10, 2019, the Company and the named executive officers made materially false and/or misleading statements or omissions about the Company's acquisition of EFCO Corporation on June 12, 2017, and about the Company's Architectural Glass business segment in violation of Sections 10(b) and 20(a) of the Securities Exchange Act of 1934. The amended complaint seeks an unspecified amount of damages, attorney's fees and costs. We intend to vigorously defend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Buley v. Apogee Enterprises, Inc. et al</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17, 2018, Justin Buley filed a derivative lawsuit, purportedly on behalf of the Company, against our Chief Executive Officer, our Chief Financial Officer and eight of the nine non-executive members of our Board of Directors, in the Fourth Judicial District of the State of Minnesota. The complaint alleges claims for breach of fiduciary duty, waste of corporate assets and unjust enrichment, due to the named executive officers and board members allegedly making materially false and/or misleading statements or omissions about the Company's business, operations, and prospects, particularly with respect to our Architectural Glass business segment, during the period between June 28, 2018 and September 17, 2018. The complaint seeks an unspecified amount of damages and equitable relief, including requiring the Company to offer our shareholders the opportunity to vote for certain amendments to our Bylaws or Articles of Incorporation purporting to improve identified corporate governance practices. This matter has been stayed pending resolution of a Motion to Dismiss in the Mayer action described above. We intend to vigorously defend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or additions to our risk factors discussed in our Annual Report on Form 10-K for the fiscal year ended March 2, 2019.</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second quarter of fiscal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 or</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Shares Purchased (a)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 (b)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2, 2019 to June 29, 2019</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38.27</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1,450,088</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June 30, 2019 to July 27, 2019</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1"/>
                <w:szCs w:val="21"/>
                <w:color w:val="auto"/>
              </w:rPr>
            </w:pP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1,450,088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28, 2019 to August 31, 2019</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1,450,088</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19,522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1,450,088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hanging="652"/>
        <w:spacing w:after="0" w:line="250"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surrendered to us by plan participants to satisfy stock-for-stock option exercises or withholding tax obligations related to share-based compensation. We did not purchase any shares pursuant to our publicly announced repurchase program during the fiscal quarter.</w:t>
      </w:r>
    </w:p>
    <w:p>
      <w:pPr>
        <w:jc w:val="both"/>
        <w:ind w:left="660" w:hanging="652"/>
        <w:spacing w:after="0" w:line="248"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and January 9, 2018; and by 2,000,000 shares, announced on October 3, 2018. The repurchase program does not have an expiration date.</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ind w:left="60"/>
        <w:spacing w:after="0" w:line="312" w:lineRule="auto"/>
        <w:rPr>
          <w:sz w:val="20"/>
          <w:szCs w:val="20"/>
          <w:color w:val="auto"/>
        </w:rPr>
      </w:pPr>
      <w:r>
        <w:rPr>
          <w:rFonts w:ascii="Arial" w:cs="Arial" w:eastAsia="Arial" w:hAnsi="Arial"/>
          <w:sz w:val="16"/>
          <w:szCs w:val="16"/>
          <w:color w:val="auto"/>
        </w:rPr>
        <w:t>The Board of Directors has not set a date for the Annual Meeting of Shareholders ("Annual Meeting"), but expects it to be held during the fourth quarter of our fiscal year 2020. The company will announce the date and time of the Annual Meeting, together with the deadline for the submission of shareholder proposals for the Annual Meeting pursuant to SEC Rule 14a-8, after the Board of Directors has determined the date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Item 6.</w:t>
            </w:r>
          </w:p>
        </w:tc>
        <w:tc>
          <w:tcPr>
            <w:tcW w:w="10740" w:type="dxa"/>
            <w:vAlign w:val="bottom"/>
            <w:gridSpan w:val="8"/>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135"/>
        </w:trPr>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203"/>
        </w:trPr>
        <w:tc>
          <w:tcPr>
            <w:tcW w:w="680" w:type="dxa"/>
            <w:vAlign w:val="bottom"/>
            <w:tcBorders>
              <w:left w:val="single" w:sz="8" w:color="CCEEFF"/>
            </w:tcBorders>
            <w:gridSpan w:val="2"/>
            <w:shd w:val="clear" w:color="auto" w:fill="CCEEFF"/>
          </w:tcPr>
          <w:p>
            <w:pPr>
              <w:jc w:val="right"/>
              <w:ind w:right="320"/>
              <w:spacing w:after="0" w:line="202" w:lineRule="exact"/>
              <w:rPr>
                <w:rFonts w:ascii="Arial" w:cs="Arial" w:eastAsia="Arial" w:hAnsi="Arial"/>
                <w:sz w:val="18"/>
                <w:szCs w:val="18"/>
                <w:color w:val="0000FF"/>
                <w:w w:val="96"/>
              </w:rPr>
            </w:pPr>
            <w:hyperlink r:id="rId1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840" w:type="dxa"/>
            <w:vAlign w:val="bottom"/>
            <w:shd w:val="clear" w:color="auto" w:fill="CCEEFF"/>
          </w:tcPr>
          <w:p>
            <w:pPr>
              <w:spacing w:after="0"/>
              <w:rPr>
                <w:sz w:val="17"/>
                <w:szCs w:val="17"/>
                <w:color w:val="auto"/>
              </w:rPr>
            </w:pPr>
          </w:p>
        </w:tc>
        <w:tc>
          <w:tcPr>
            <w:tcW w:w="9900" w:type="dxa"/>
            <w:vAlign w:val="bottom"/>
            <w:tcBorders>
              <w:right w:val="single" w:sz="8" w:color="CCEEFF"/>
            </w:tcBorders>
            <w:gridSpan w:val="7"/>
            <w:shd w:val="clear" w:color="auto" w:fill="CCEEFF"/>
          </w:tcPr>
          <w:p>
            <w:pPr>
              <w:spacing w:after="0" w:line="202" w:lineRule="exact"/>
              <w:rPr>
                <w:rFonts w:ascii="Arial" w:cs="Arial" w:eastAsia="Arial" w:hAnsi="Arial"/>
                <w:sz w:val="18"/>
                <w:szCs w:val="18"/>
                <w:color w:val="0000FF"/>
                <w:w w:val="94"/>
              </w:rPr>
            </w:pPr>
            <w:hyperlink r:id="rId12">
              <w:r>
                <w:rPr>
                  <w:rFonts w:ascii="Arial" w:cs="Arial" w:eastAsia="Arial" w:hAnsi="Arial"/>
                  <w:sz w:val="18"/>
                  <w:szCs w:val="18"/>
                  <w:color w:val="0000FF"/>
                  <w:w w:val="94"/>
                </w:rPr>
                <w:t>Amendment to the Confidentiality Agreement, dated August 5, 2019, by and among Apogee Enterprises, Inc., and Engaged Capital</w:t>
              </w:r>
            </w:hyperlink>
          </w:p>
        </w:tc>
      </w:tr>
      <w:tr>
        <w:trPr>
          <w:trHeight w:val="20"/>
        </w:trPr>
        <w:tc>
          <w:tcPr>
            <w:tcW w:w="340" w:type="dxa"/>
            <w:vAlign w:val="bottom"/>
            <w:tcBorders>
              <w:left w:val="single" w:sz="8" w:color="CCEEFF"/>
            </w:tcBorders>
            <w:shd w:val="clear" w:color="auto" w:fill="0000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tcBorders>
              <w:right w:val="single" w:sz="8" w:color="CCEEFF"/>
            </w:tcBorders>
            <w:shd w:val="clear" w:color="auto" w:fill="0000FF"/>
          </w:tcPr>
          <w:p>
            <w:pPr>
              <w:spacing w:after="0" w:line="20" w:lineRule="exact"/>
              <w:rPr>
                <w:sz w:val="1"/>
                <w:szCs w:val="1"/>
                <w:color w:val="auto"/>
              </w:rPr>
            </w:pPr>
          </w:p>
        </w:tc>
      </w:tr>
      <w:tr>
        <w:trPr>
          <w:trHeight w:val="196"/>
        </w:trPr>
        <w:tc>
          <w:tcPr>
            <w:tcW w:w="3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900" w:type="dxa"/>
            <w:vAlign w:val="bottom"/>
            <w:tcBorders>
              <w:right w:val="single" w:sz="8" w:color="CCEEFF"/>
            </w:tcBorders>
            <w:gridSpan w:val="7"/>
            <w:shd w:val="clear" w:color="auto" w:fill="CCEEFF"/>
          </w:tcPr>
          <w:p>
            <w:pPr>
              <w:spacing w:after="0" w:line="196" w:lineRule="exact"/>
              <w:rPr>
                <w:rFonts w:ascii="Arial" w:cs="Arial" w:eastAsia="Arial" w:hAnsi="Arial"/>
                <w:sz w:val="18"/>
                <w:szCs w:val="18"/>
                <w:color w:val="0000FF"/>
                <w:w w:val="93"/>
              </w:rPr>
            </w:pPr>
            <w:hyperlink r:id="rId12">
              <w:r>
                <w:rPr>
                  <w:rFonts w:ascii="Arial" w:cs="Arial" w:eastAsia="Arial" w:hAnsi="Arial"/>
                  <w:sz w:val="18"/>
                  <w:szCs w:val="18"/>
                  <w:color w:val="0000FF"/>
                  <w:w w:val="93"/>
                </w:rPr>
                <w:t>LLC, Engaged Capital Flagship Master Fund, LP, Engaged Capital Co-Invest VIII, LP, Engaged Capital Flagship Fund, LP, Engaged</w:t>
              </w:r>
            </w:hyperlink>
          </w:p>
        </w:tc>
      </w:tr>
      <w:tr>
        <w:trPr>
          <w:trHeight w:val="20"/>
        </w:trPr>
        <w:tc>
          <w:tcPr>
            <w:tcW w:w="3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tcBorders>
              <w:right w:val="single" w:sz="8" w:color="CCEEFF"/>
            </w:tcBorders>
            <w:shd w:val="clear" w:color="auto" w:fill="0000FF"/>
          </w:tcPr>
          <w:p>
            <w:pPr>
              <w:spacing w:after="0" w:line="20" w:lineRule="exact"/>
              <w:rPr>
                <w:sz w:val="1"/>
                <w:szCs w:val="1"/>
                <w:color w:val="auto"/>
              </w:rPr>
            </w:pPr>
          </w:p>
        </w:tc>
      </w:tr>
      <w:tr>
        <w:trPr>
          <w:trHeight w:val="196"/>
        </w:trPr>
        <w:tc>
          <w:tcPr>
            <w:tcW w:w="340" w:type="dxa"/>
            <w:vAlign w:val="bottom"/>
            <w:tcBorders>
              <w:left w:val="single" w:sz="8" w:color="CCEEFF"/>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7"/>
            <w:shd w:val="clear" w:color="auto" w:fill="CCEEFF"/>
          </w:tcPr>
          <w:p>
            <w:pPr>
              <w:spacing w:after="0" w:line="196" w:lineRule="exact"/>
              <w:rPr>
                <w:rFonts w:ascii="Arial" w:cs="Arial" w:eastAsia="Arial" w:hAnsi="Arial"/>
                <w:sz w:val="18"/>
                <w:szCs w:val="18"/>
                <w:color w:val="0000FF"/>
                <w:w w:val="97"/>
              </w:rPr>
            </w:pPr>
            <w:hyperlink r:id="rId12">
              <w:r>
                <w:rPr>
                  <w:rFonts w:ascii="Arial" w:cs="Arial" w:eastAsia="Arial" w:hAnsi="Arial"/>
                  <w:sz w:val="18"/>
                  <w:szCs w:val="18"/>
                  <w:color w:val="0000FF"/>
                  <w:w w:val="97"/>
                </w:rPr>
                <w:t>Capital Flagship Fund, Ltd., Engaged Capital Holdings, LLC and Glenn W. Welling. Incorporated by reference to Exhibit 10.1 to</w:t>
              </w:r>
            </w:hyperlink>
          </w:p>
        </w:tc>
      </w:tr>
      <w:tr>
        <w:trPr>
          <w:trHeight w:val="196"/>
        </w:trPr>
        <w:tc>
          <w:tcPr>
            <w:tcW w:w="3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900" w:type="dxa"/>
            <w:vAlign w:val="bottom"/>
            <w:tcBorders>
              <w:right w:val="single" w:sz="8" w:color="CCEEFF"/>
            </w:tcBorders>
            <w:gridSpan w:val="7"/>
            <w:shd w:val="clear" w:color="auto" w:fill="CCEEFF"/>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Registrant's Current Report on Form 8-K filed on August 6, 2019.</w:t>
              </w:r>
            </w:hyperlink>
          </w:p>
        </w:tc>
      </w:tr>
      <w:tr>
        <w:trPr>
          <w:trHeight w:val="264"/>
        </w:trPr>
        <w:tc>
          <w:tcPr>
            <w:tcW w:w="340" w:type="dxa"/>
            <w:vAlign w:val="bottom"/>
            <w:tcBorders>
              <w:top w:val="single" w:sz="8" w:color="CCEEFF"/>
              <w:left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0000FF"/>
            </w:tcBorders>
            <w:shd w:val="clear" w:color="auto" w:fill="CCEEFF"/>
          </w:tcPr>
          <w:p>
            <w:pPr>
              <w:spacing w:after="0"/>
              <w:rPr>
                <w:sz w:val="22"/>
                <w:szCs w:val="22"/>
                <w:color w:val="auto"/>
              </w:rPr>
            </w:pPr>
          </w:p>
        </w:tc>
        <w:tc>
          <w:tcPr>
            <w:tcW w:w="3860" w:type="dxa"/>
            <w:vAlign w:val="bottom"/>
            <w:tcBorders>
              <w:top w:val="single" w:sz="8" w:color="0000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28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60" w:type="dxa"/>
            <w:vAlign w:val="bottom"/>
            <w:tcBorders>
              <w:top w:val="single" w:sz="8" w:color="CCEEFF"/>
              <w:right w:val="single" w:sz="8" w:color="CCEEFF"/>
            </w:tcBorders>
            <w:shd w:val="clear" w:color="auto" w:fill="CCEEFF"/>
          </w:tcPr>
          <w:p>
            <w:pPr>
              <w:spacing w:after="0"/>
              <w:rPr>
                <w:sz w:val="22"/>
                <w:szCs w:val="22"/>
                <w:color w:val="auto"/>
              </w:rPr>
            </w:pPr>
          </w:p>
        </w:tc>
      </w:tr>
      <w:tr>
        <w:trPr>
          <w:trHeight w:val="203"/>
        </w:trPr>
        <w:tc>
          <w:tcPr>
            <w:tcW w:w="680" w:type="dxa"/>
            <w:vAlign w:val="bottom"/>
            <w:gridSpan w:val="2"/>
          </w:tcPr>
          <w:p>
            <w:pPr>
              <w:jc w:val="right"/>
              <w:ind w:right="320"/>
              <w:spacing w:after="0" w:line="202" w:lineRule="exact"/>
              <w:rPr>
                <w:rFonts w:ascii="Arial" w:cs="Arial" w:eastAsia="Arial" w:hAnsi="Arial"/>
                <w:sz w:val="18"/>
                <w:szCs w:val="18"/>
                <w:color w:val="0000FF"/>
                <w:w w:val="96"/>
              </w:rPr>
            </w:pPr>
            <w:hyperlink r:id="rId1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840" w:type="dxa"/>
            <w:vAlign w:val="bottom"/>
          </w:tcPr>
          <w:p>
            <w:pPr>
              <w:spacing w:after="0"/>
              <w:rPr>
                <w:sz w:val="17"/>
                <w:szCs w:val="17"/>
                <w:color w:val="auto"/>
              </w:rPr>
            </w:pPr>
          </w:p>
        </w:tc>
        <w:tc>
          <w:tcPr>
            <w:tcW w:w="9900" w:type="dxa"/>
            <w:vAlign w:val="bottom"/>
            <w:gridSpan w:val="7"/>
          </w:tcPr>
          <w:p>
            <w:pPr>
              <w:spacing w:after="0" w:line="202"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Employee Noncompetition and Confidentiality Agreement, dated August 5, 2019, between Apogee Enterprises, Inc. and Brent Jewell.</w:t>
              </w:r>
            </w:hyperlink>
          </w:p>
        </w:tc>
      </w:tr>
      <w:tr>
        <w:trPr>
          <w:trHeight w:val="196"/>
        </w:trPr>
        <w:tc>
          <w:tcPr>
            <w:tcW w:w="34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90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Incorporated by reference to Exhibit 10.1 to Registrant's Current Report on Form 8-K filed on August 9, 2019.</w:t>
              </w:r>
            </w:hyperlink>
          </w:p>
        </w:tc>
      </w:tr>
      <w:tr>
        <w:trPr>
          <w:trHeight w:val="264"/>
        </w:trPr>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386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86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03"/>
        </w:trPr>
        <w:tc>
          <w:tcPr>
            <w:tcW w:w="680" w:type="dxa"/>
            <w:vAlign w:val="bottom"/>
            <w:tcBorders>
              <w:left w:val="single" w:sz="8" w:color="CCEEFF"/>
            </w:tcBorders>
            <w:gridSpan w:val="2"/>
            <w:shd w:val="clear" w:color="auto" w:fill="CCEEFF"/>
          </w:tcPr>
          <w:p>
            <w:pPr>
              <w:jc w:val="right"/>
              <w:ind w:right="320"/>
              <w:spacing w:after="0" w:line="202" w:lineRule="exact"/>
              <w:rPr>
                <w:rFonts w:ascii="Arial" w:cs="Arial" w:eastAsia="Arial" w:hAnsi="Arial"/>
                <w:sz w:val="18"/>
                <w:szCs w:val="18"/>
                <w:color w:val="0000FF"/>
                <w:w w:val="96"/>
              </w:rPr>
            </w:pPr>
            <w:hyperlink r:id="rId1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840" w:type="dxa"/>
            <w:vAlign w:val="bottom"/>
            <w:shd w:val="clear" w:color="auto" w:fill="CCEEFF"/>
          </w:tcPr>
          <w:p>
            <w:pPr>
              <w:spacing w:after="0"/>
              <w:rPr>
                <w:sz w:val="17"/>
                <w:szCs w:val="17"/>
                <w:color w:val="auto"/>
              </w:rPr>
            </w:pPr>
          </w:p>
        </w:tc>
        <w:tc>
          <w:tcPr>
            <w:tcW w:w="9900" w:type="dxa"/>
            <w:vAlign w:val="bottom"/>
            <w:tcBorders>
              <w:right w:val="single" w:sz="8" w:color="CCEEFF"/>
            </w:tcBorders>
            <w:gridSpan w:val="7"/>
            <w:shd w:val="clear" w:color="auto" w:fill="CCEEFF"/>
          </w:tcPr>
          <w:p>
            <w:pPr>
              <w:spacing w:after="0" w:line="202"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Amendment, dated September 12, 2019, to the Confidentiality Agreement, by and among Apogee Enterprises, Inc., and Engaged Capital</w:t>
              </w:r>
            </w:hyperlink>
          </w:p>
        </w:tc>
      </w:tr>
      <w:tr>
        <w:trPr>
          <w:trHeight w:val="196"/>
        </w:trPr>
        <w:tc>
          <w:tcPr>
            <w:tcW w:w="340" w:type="dxa"/>
            <w:vAlign w:val="bottom"/>
            <w:tcBorders>
              <w:top w:val="single" w:sz="8" w:color="0000FF"/>
              <w:lef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0000FF"/>
              <w:right w:val="single" w:sz="8" w:color="CCEEFF"/>
            </w:tcBorders>
            <w:gridSpan w:val="7"/>
            <w:shd w:val="clear" w:color="auto" w:fill="CCEEFF"/>
          </w:tcPr>
          <w:p>
            <w:pPr>
              <w:spacing w:after="0" w:line="196" w:lineRule="exact"/>
              <w:rPr>
                <w:rFonts w:ascii="Arial" w:cs="Arial" w:eastAsia="Arial" w:hAnsi="Arial"/>
                <w:sz w:val="18"/>
                <w:szCs w:val="18"/>
                <w:color w:val="0000FF"/>
                <w:w w:val="93"/>
              </w:rPr>
            </w:pPr>
            <w:hyperlink r:id="rId14">
              <w:r>
                <w:rPr>
                  <w:rFonts w:ascii="Arial" w:cs="Arial" w:eastAsia="Arial" w:hAnsi="Arial"/>
                  <w:sz w:val="18"/>
                  <w:szCs w:val="18"/>
                  <w:color w:val="0000FF"/>
                  <w:w w:val="93"/>
                </w:rPr>
                <w:t>LLC, Engaged Capital Flagship Master Fund, LP, Engaged Capital Co-Invest VIII, LP, Engaged Capital Flagship Fund, LP, Engaged</w:t>
              </w:r>
            </w:hyperlink>
          </w:p>
        </w:tc>
      </w:tr>
      <w:tr>
        <w:trPr>
          <w:trHeight w:val="20"/>
        </w:trPr>
        <w:tc>
          <w:tcPr>
            <w:tcW w:w="3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tcBorders>
              <w:right w:val="single" w:sz="8" w:color="CCEEFF"/>
            </w:tcBorders>
            <w:shd w:val="clear" w:color="auto" w:fill="0000FF"/>
          </w:tcPr>
          <w:p>
            <w:pPr>
              <w:spacing w:after="0" w:line="20" w:lineRule="exact"/>
              <w:rPr>
                <w:sz w:val="1"/>
                <w:szCs w:val="1"/>
                <w:color w:val="auto"/>
              </w:rPr>
            </w:pPr>
          </w:p>
        </w:tc>
      </w:tr>
      <w:tr>
        <w:trPr>
          <w:trHeight w:val="196"/>
        </w:trPr>
        <w:tc>
          <w:tcPr>
            <w:tcW w:w="340" w:type="dxa"/>
            <w:vAlign w:val="bottom"/>
            <w:tcBorders>
              <w:left w:val="single" w:sz="8" w:color="CCEEFF"/>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7"/>
            <w:shd w:val="clear" w:color="auto" w:fill="CCEEFF"/>
          </w:tcPr>
          <w:p>
            <w:pPr>
              <w:spacing w:after="0" w:line="196" w:lineRule="exact"/>
              <w:rPr>
                <w:rFonts w:ascii="Arial" w:cs="Arial" w:eastAsia="Arial" w:hAnsi="Arial"/>
                <w:sz w:val="18"/>
                <w:szCs w:val="18"/>
                <w:color w:val="0000FF"/>
                <w:w w:val="97"/>
              </w:rPr>
            </w:pPr>
            <w:hyperlink r:id="rId14">
              <w:r>
                <w:rPr>
                  <w:rFonts w:ascii="Arial" w:cs="Arial" w:eastAsia="Arial" w:hAnsi="Arial"/>
                  <w:sz w:val="18"/>
                  <w:szCs w:val="18"/>
                  <w:color w:val="0000FF"/>
                  <w:w w:val="97"/>
                </w:rPr>
                <w:t>Capital Flagship Fund, Ltd., Engaged Capital Holdings, LLC and Glenn W. Welling. Incorporated by reference to Exhibit 10.1 to</w:t>
              </w:r>
            </w:hyperlink>
          </w:p>
        </w:tc>
      </w:tr>
      <w:tr>
        <w:trPr>
          <w:trHeight w:val="196"/>
        </w:trPr>
        <w:tc>
          <w:tcPr>
            <w:tcW w:w="3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900" w:type="dxa"/>
            <w:vAlign w:val="bottom"/>
            <w:tcBorders>
              <w:right w:val="single" w:sz="8" w:color="CCEEFF"/>
            </w:tcBorders>
            <w:gridSpan w:val="7"/>
            <w:shd w:val="clear" w:color="auto" w:fill="CCEEFF"/>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Registrant's Current Report on Form 8-K filed on September 13, 2019.</w:t>
              </w:r>
            </w:hyperlink>
          </w:p>
        </w:tc>
      </w:tr>
      <w:tr>
        <w:trPr>
          <w:trHeight w:val="264"/>
        </w:trPr>
        <w:tc>
          <w:tcPr>
            <w:tcW w:w="340" w:type="dxa"/>
            <w:vAlign w:val="bottom"/>
            <w:tcBorders>
              <w:top w:val="single" w:sz="8" w:color="CCEEFF"/>
              <w:left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0000FF"/>
            </w:tcBorders>
            <w:shd w:val="clear" w:color="auto" w:fill="CCEEFF"/>
          </w:tcPr>
          <w:p>
            <w:pPr>
              <w:spacing w:after="0"/>
              <w:rPr>
                <w:sz w:val="22"/>
                <w:szCs w:val="22"/>
                <w:color w:val="auto"/>
              </w:rPr>
            </w:pPr>
          </w:p>
        </w:tc>
        <w:tc>
          <w:tcPr>
            <w:tcW w:w="3860" w:type="dxa"/>
            <w:vAlign w:val="bottom"/>
            <w:tcBorders>
              <w:top w:val="single" w:sz="8" w:color="0000FF"/>
            </w:tcBorders>
            <w:shd w:val="clear" w:color="auto" w:fill="CCEEFF"/>
          </w:tcPr>
          <w:p>
            <w:pPr>
              <w:spacing w:after="0"/>
              <w:rPr>
                <w:sz w:val="22"/>
                <w:szCs w:val="22"/>
                <w:color w:val="auto"/>
              </w:rPr>
            </w:pPr>
          </w:p>
        </w:tc>
        <w:tc>
          <w:tcPr>
            <w:tcW w:w="340" w:type="dxa"/>
            <w:vAlign w:val="bottom"/>
            <w:tcBorders>
              <w:top w:val="single" w:sz="8" w:color="0000FF"/>
            </w:tcBorders>
            <w:shd w:val="clear" w:color="auto" w:fill="CCEEFF"/>
          </w:tcPr>
          <w:p>
            <w:pPr>
              <w:spacing w:after="0"/>
              <w:rPr>
                <w:sz w:val="22"/>
                <w:szCs w:val="22"/>
                <w:color w:val="auto"/>
              </w:rPr>
            </w:pPr>
          </w:p>
        </w:tc>
        <w:tc>
          <w:tcPr>
            <w:tcW w:w="28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60" w:type="dxa"/>
            <w:vAlign w:val="bottom"/>
            <w:tcBorders>
              <w:top w:val="single" w:sz="8" w:color="CCEEFF"/>
              <w:right w:val="single" w:sz="8" w:color="CCEEFF"/>
            </w:tcBorders>
            <w:shd w:val="clear" w:color="auto" w:fill="CCEEFF"/>
          </w:tcPr>
          <w:p>
            <w:pPr>
              <w:spacing w:after="0"/>
              <w:rPr>
                <w:sz w:val="22"/>
                <w:szCs w:val="22"/>
                <w:color w:val="auto"/>
              </w:rPr>
            </w:pPr>
          </w:p>
        </w:tc>
      </w:tr>
      <w:tr>
        <w:trPr>
          <w:trHeight w:val="203"/>
        </w:trPr>
        <w:tc>
          <w:tcPr>
            <w:tcW w:w="680" w:type="dxa"/>
            <w:vAlign w:val="bottom"/>
            <w:gridSpan w:val="2"/>
          </w:tcPr>
          <w:p>
            <w:pPr>
              <w:jc w:val="right"/>
              <w:ind w:right="320"/>
              <w:spacing w:after="0" w:line="202" w:lineRule="exact"/>
              <w:rPr>
                <w:rFonts w:ascii="Arial" w:cs="Arial" w:eastAsia="Arial" w:hAnsi="Arial"/>
                <w:sz w:val="18"/>
                <w:szCs w:val="18"/>
                <w:color w:val="0000FF"/>
                <w:w w:val="96"/>
              </w:rPr>
            </w:pPr>
            <w:hyperlink w:anchor="page27">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840" w:type="dxa"/>
            <w:vAlign w:val="bottom"/>
          </w:tcPr>
          <w:p>
            <w:pPr>
              <w:spacing w:after="0"/>
              <w:rPr>
                <w:sz w:val="17"/>
                <w:szCs w:val="17"/>
                <w:color w:val="auto"/>
              </w:rPr>
            </w:pPr>
          </w:p>
        </w:tc>
        <w:tc>
          <w:tcPr>
            <w:tcW w:w="9900" w:type="dxa"/>
            <w:vAlign w:val="bottom"/>
            <w:gridSpan w:val="7"/>
          </w:tcPr>
          <w:p>
            <w:pPr>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Certification of Chief Executive Officer pursuant to Rule 13a-14(a) under the Securities Exchange Act of 1934.</w:t>
              </w:r>
            </w:hyperlink>
          </w:p>
        </w:tc>
      </w:tr>
      <w:tr>
        <w:trPr>
          <w:trHeight w:val="48"/>
        </w:trPr>
        <w:tc>
          <w:tcPr>
            <w:tcW w:w="3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38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60" w:type="dxa"/>
            <w:vAlign w:val="bottom"/>
          </w:tcPr>
          <w:p>
            <w:pPr>
              <w:spacing w:after="0"/>
              <w:rPr>
                <w:sz w:val="4"/>
                <w:szCs w:val="4"/>
                <w:color w:val="auto"/>
              </w:rPr>
            </w:pPr>
          </w:p>
        </w:tc>
      </w:tr>
      <w:tr>
        <w:trPr>
          <w:trHeight w:val="203"/>
        </w:trPr>
        <w:tc>
          <w:tcPr>
            <w:tcW w:w="680" w:type="dxa"/>
            <w:vAlign w:val="bottom"/>
            <w:tcBorders>
              <w:left w:val="single" w:sz="8" w:color="CCEEFF"/>
            </w:tcBorders>
            <w:gridSpan w:val="2"/>
            <w:shd w:val="clear" w:color="auto" w:fill="CCEEFF"/>
          </w:tcPr>
          <w:p>
            <w:pPr>
              <w:jc w:val="right"/>
              <w:ind w:right="320"/>
              <w:spacing w:after="0" w:line="202" w:lineRule="exact"/>
              <w:rPr>
                <w:rFonts w:ascii="Arial" w:cs="Arial" w:eastAsia="Arial" w:hAnsi="Arial"/>
                <w:sz w:val="18"/>
                <w:szCs w:val="18"/>
                <w:color w:val="0000FF"/>
                <w:w w:val="96"/>
              </w:rPr>
            </w:pPr>
            <w:hyperlink w:anchor="page2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840" w:type="dxa"/>
            <w:vAlign w:val="bottom"/>
            <w:shd w:val="clear" w:color="auto" w:fill="CCEEFF"/>
          </w:tcPr>
          <w:p>
            <w:pPr>
              <w:spacing w:after="0"/>
              <w:rPr>
                <w:sz w:val="17"/>
                <w:szCs w:val="17"/>
                <w:color w:val="auto"/>
              </w:rPr>
            </w:pPr>
          </w:p>
        </w:tc>
        <w:tc>
          <w:tcPr>
            <w:tcW w:w="9900" w:type="dxa"/>
            <w:vAlign w:val="bottom"/>
            <w:tcBorders>
              <w:right w:val="single" w:sz="8" w:color="CCEEFF"/>
            </w:tcBorders>
            <w:gridSpan w:val="7"/>
            <w:shd w:val="clear" w:color="auto" w:fill="CCEEFF"/>
          </w:tcPr>
          <w:p>
            <w:pPr>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Certification of Chief Financial Officer pursuant to Rule 13a-14(a) under the Securities Exchange Act of 1934.</w:t>
              </w:r>
            </w:hyperlink>
          </w:p>
        </w:tc>
      </w:tr>
      <w:tr>
        <w:trPr>
          <w:trHeight w:val="48"/>
        </w:trPr>
        <w:tc>
          <w:tcPr>
            <w:tcW w:w="340" w:type="dxa"/>
            <w:vAlign w:val="bottom"/>
            <w:tcBorders>
              <w:top w:val="single" w:sz="8" w:color="0000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38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8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680" w:type="dxa"/>
            <w:vAlign w:val="bottom"/>
            <w:gridSpan w:val="2"/>
          </w:tcPr>
          <w:p>
            <w:pPr>
              <w:jc w:val="right"/>
              <w:ind w:right="320"/>
              <w:spacing w:after="0" w:line="202" w:lineRule="exact"/>
              <w:rPr>
                <w:rFonts w:ascii="Arial" w:cs="Arial" w:eastAsia="Arial" w:hAnsi="Arial"/>
                <w:sz w:val="18"/>
                <w:szCs w:val="18"/>
                <w:color w:val="0000FF"/>
                <w:w w:val="96"/>
              </w:rPr>
            </w:pPr>
            <w:hyperlink w:anchor="page29">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840" w:type="dxa"/>
            <w:vAlign w:val="bottom"/>
          </w:tcPr>
          <w:p>
            <w:pPr>
              <w:spacing w:after="0"/>
              <w:rPr>
                <w:sz w:val="17"/>
                <w:szCs w:val="17"/>
                <w:color w:val="auto"/>
              </w:rPr>
            </w:pPr>
          </w:p>
        </w:tc>
        <w:tc>
          <w:tcPr>
            <w:tcW w:w="9900" w:type="dxa"/>
            <w:vAlign w:val="bottom"/>
            <w:gridSpan w:val="7"/>
          </w:tcPr>
          <w:p>
            <w:pPr>
              <w:spacing w:after="0" w:line="202" w:lineRule="exact"/>
              <w:rPr>
                <w:rFonts w:ascii="Arial" w:cs="Arial" w:eastAsia="Arial" w:hAnsi="Arial"/>
                <w:sz w:val="18"/>
                <w:szCs w:val="18"/>
                <w:color w:val="0000FF"/>
                <w:w w:val="92"/>
              </w:rPr>
            </w:pPr>
            <w:hyperlink w:anchor="page29">
              <w:r>
                <w:rPr>
                  <w:rFonts w:ascii="Arial" w:cs="Arial" w:eastAsia="Arial" w:hAnsi="Arial"/>
                  <w:sz w:val="18"/>
                  <w:szCs w:val="18"/>
                  <w:color w:val="0000FF"/>
                  <w:w w:val="92"/>
                </w:rPr>
                <w:t>Certification of Chief Executive Officer pursuant to 18 U.S.C. Section 1350, as adopted pursuant to Section 906 of the Sarbanes-Oxley</w:t>
              </w:r>
            </w:hyperlink>
          </w:p>
        </w:tc>
      </w:tr>
      <w:tr>
        <w:trPr>
          <w:trHeight w:val="196"/>
        </w:trPr>
        <w:tc>
          <w:tcPr>
            <w:tcW w:w="34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90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29">
              <w:r>
                <w:rPr>
                  <w:rFonts w:ascii="Arial" w:cs="Arial" w:eastAsia="Arial" w:hAnsi="Arial"/>
                  <w:sz w:val="18"/>
                  <w:szCs w:val="18"/>
                  <w:color w:val="0000FF"/>
                </w:rPr>
                <w:t>Act of 2002.</w:t>
              </w:r>
            </w:hyperlink>
          </w:p>
        </w:tc>
      </w:tr>
      <w:tr>
        <w:trPr>
          <w:trHeight w:val="48"/>
        </w:trPr>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3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03"/>
        </w:trPr>
        <w:tc>
          <w:tcPr>
            <w:tcW w:w="680" w:type="dxa"/>
            <w:vAlign w:val="bottom"/>
            <w:tcBorders>
              <w:left w:val="single" w:sz="8" w:color="CCEEFF"/>
            </w:tcBorders>
            <w:gridSpan w:val="2"/>
            <w:shd w:val="clear" w:color="auto" w:fill="CCEEFF"/>
          </w:tcPr>
          <w:p>
            <w:pPr>
              <w:jc w:val="right"/>
              <w:ind w:right="320"/>
              <w:spacing w:after="0" w:line="202" w:lineRule="exact"/>
              <w:rPr>
                <w:rFonts w:ascii="Arial" w:cs="Arial" w:eastAsia="Arial" w:hAnsi="Arial"/>
                <w:sz w:val="18"/>
                <w:szCs w:val="18"/>
                <w:color w:val="0000FF"/>
                <w:w w:val="96"/>
              </w:rPr>
            </w:pPr>
            <w:hyperlink w:anchor="page30">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840" w:type="dxa"/>
            <w:vAlign w:val="bottom"/>
            <w:shd w:val="clear" w:color="auto" w:fill="CCEEFF"/>
          </w:tcPr>
          <w:p>
            <w:pPr>
              <w:spacing w:after="0"/>
              <w:rPr>
                <w:sz w:val="17"/>
                <w:szCs w:val="17"/>
                <w:color w:val="auto"/>
              </w:rPr>
            </w:pPr>
          </w:p>
        </w:tc>
        <w:tc>
          <w:tcPr>
            <w:tcW w:w="9900" w:type="dxa"/>
            <w:vAlign w:val="bottom"/>
            <w:tcBorders>
              <w:right w:val="single" w:sz="8" w:color="CCEEFF"/>
            </w:tcBorders>
            <w:gridSpan w:val="7"/>
            <w:shd w:val="clear" w:color="auto" w:fill="CCEEFF"/>
          </w:tcPr>
          <w:p>
            <w:pPr>
              <w:spacing w:after="0" w:line="202" w:lineRule="exact"/>
              <w:rPr>
                <w:rFonts w:ascii="Arial" w:cs="Arial" w:eastAsia="Arial" w:hAnsi="Arial"/>
                <w:sz w:val="18"/>
                <w:szCs w:val="18"/>
                <w:color w:val="0000FF"/>
                <w:w w:val="92"/>
              </w:rPr>
            </w:pPr>
            <w:hyperlink w:anchor="page30">
              <w:r>
                <w:rPr>
                  <w:rFonts w:ascii="Arial" w:cs="Arial" w:eastAsia="Arial" w:hAnsi="Arial"/>
                  <w:sz w:val="18"/>
                  <w:szCs w:val="18"/>
                  <w:color w:val="0000FF"/>
                  <w:w w:val="92"/>
                </w:rPr>
                <w:t>Certification of Chief Financial Officer pursuant to 18 U.S.C. Section 1350, as adopted pursuant to Section 906 of the Sarbanes-Oxley</w:t>
              </w:r>
            </w:hyperlink>
          </w:p>
        </w:tc>
      </w:tr>
      <w:tr>
        <w:trPr>
          <w:trHeight w:val="196"/>
        </w:trPr>
        <w:tc>
          <w:tcPr>
            <w:tcW w:w="340" w:type="dxa"/>
            <w:vAlign w:val="bottom"/>
            <w:tcBorders>
              <w:top w:val="single" w:sz="8" w:color="0000FF"/>
              <w:lef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0000FF"/>
              <w:right w:val="single" w:sz="8" w:color="CCEEFF"/>
            </w:tcBorders>
            <w:gridSpan w:val="7"/>
            <w:shd w:val="clear" w:color="auto" w:fill="CCEEFF"/>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Act of 2002.</w:t>
              </w:r>
            </w:hyperlink>
          </w:p>
        </w:tc>
      </w:tr>
      <w:tr>
        <w:trPr>
          <w:trHeight w:val="48"/>
        </w:trPr>
        <w:tc>
          <w:tcPr>
            <w:tcW w:w="34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38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8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right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jc w:val="both"/>
        <w:ind w:left="1520" w:right="20" w:hanging="1485"/>
        <w:spacing w:after="0" w:line="255"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materials from Apogee Enterprises, Inc.’s Quarterly Report on Form 10-Q for the quarter ended August 31, 2019 are furnished herewith, formatted in XBRL (Extensible Business Reporting Language): (i) the Consolidated Balance Sheets as of August 31, 2019 and March 2, 2019, (ii) the Consolidated Results of Operations for the three- and six-months ended August 31, 2019 and September 1, 2018, (iii) the Consolidated Statements of Comprehensive Earnings for the three- and six-months ended August 31, 2019 and September 1, 2018, (iv) the Consolidated Statements of Cash Flows for the six-months ended August 31, 2019 and September 1, 2018, (v) the Consolidated Statements of Shareholders' Equity for the six-months ended August 31, 2019 and September 1, 2018,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 w:lineRule="exact"/>
        <w:rPr>
          <w:sz w:val="20"/>
          <w:szCs w:val="20"/>
          <w:color w:val="auto"/>
        </w:rPr>
      </w:pPr>
    </w:p>
    <w:p>
      <w:pPr>
        <w:ind w:left="5620" w:right="2640" w:hanging="5585"/>
        <w:spacing w:after="0" w:line="590" w:lineRule="auto"/>
        <w:tabs>
          <w:tab w:leader="none" w:pos="15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formatted Inline Extensible Business Reporting Language and contained in Exhibit 101. 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ming 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APOGEE ENTERPRISES, INC.</w:t>
      </w:r>
    </w:p>
    <w:p>
      <w:pPr>
        <w:spacing w:after="0" w:line="387"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October 3, 2019</w:t>
      </w:r>
      <w:r>
        <w:rPr>
          <w:sz w:val="20"/>
          <w:szCs w:val="20"/>
          <w:color w:val="auto"/>
        </w:rPr>
        <w:tab/>
      </w:r>
      <w:r>
        <w:rPr>
          <w:rFonts w:ascii="Arial" w:cs="Arial" w:eastAsia="Arial" w:hAnsi="Arial"/>
          <w:sz w:val="16"/>
          <w:szCs w:val="16"/>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October 3, 2019</w:t>
      </w:r>
      <w:r>
        <w:rPr>
          <w:sz w:val="20"/>
          <w:szCs w:val="20"/>
          <w:color w:val="auto"/>
        </w:rPr>
        <w:tab/>
      </w:r>
      <w:r>
        <w:rPr>
          <w:rFonts w:ascii="Arial" w:cs="Arial" w:eastAsia="Arial" w:hAnsi="Arial"/>
          <w:sz w:val="16"/>
          <w:szCs w:val="16"/>
          <w:color w:val="auto"/>
        </w:rPr>
        <w:t>By: /s/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125"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2019</w:t>
      </w:r>
    </w:p>
    <w:p>
      <w:pPr>
        <w:spacing w:after="0" w:line="36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S. Porter, certify that:</w:t>
      </w:r>
    </w:p>
    <w:p>
      <w:pPr>
        <w:spacing w:after="0" w:line="11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2019</w:t>
      </w:r>
    </w:p>
    <w:p>
      <w:pPr>
        <w:spacing w:after="0" w:line="36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August 31, 2019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 2019</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August 31, 2019 as filed with the Securities and Exchange Commission (the “Report”), I, James S. Porter, Chief Financial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2" Type="http://schemas.openxmlformats.org/officeDocument/2006/relationships/hyperlink" Target="http://www.sec.gov/Archives/edgar/data/6845/000119312519213609/d784433dex101.htm" TargetMode="External"/><Relationship Id="rId13" Type="http://schemas.openxmlformats.org/officeDocument/2006/relationships/hyperlink" Target="http://www.sec.gov/Archives/edgar/data/6845/000119312519217703/d788298dex101.htm" TargetMode="External"/><Relationship Id="rId14" Type="http://schemas.openxmlformats.org/officeDocument/2006/relationships/hyperlink" Target="http://www.sec.gov/Archives/edgar/data/6845/000119312519244857/d7998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2019-12-28T05:35:47Z</dcterms:created>
  <dcterms:modified xsi:type="dcterms:W3CDTF">2019-12-28T05:35:47Z</dcterms:modified>
</cp:coreProperties>
</file>