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782955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500" w:hanging="474"/>
        <w:spacing w:after="0" w:line="191" w:lineRule="auto"/>
        <w:tabs>
          <w:tab w:leader="none" w:pos="50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August 29, 2020</w:t>
      </w:r>
    </w:p>
    <w:p>
      <w:pPr>
        <w:ind w:left="480" w:hanging="454"/>
        <w:spacing w:after="0" w:line="213" w:lineRule="auto"/>
        <w:tabs>
          <w:tab w:leader="none" w:pos="480" w:val="left"/>
        </w:tabs>
        <w:numPr>
          <w:ilvl w:val="0"/>
          <w:numId w:val="2"/>
        </w:numPr>
        <w:rPr>
          <w:rFonts w:ascii="MS PGothic" w:cs="MS PGothic" w:eastAsia="MS PGothic" w:hAnsi="MS PGothic"/>
          <w:sz w:val="43"/>
          <w:szCs w:val="43"/>
          <w:color w:val="auto"/>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63" w:lineRule="exact"/>
        <w:rPr>
          <w:sz w:val="24"/>
          <w:szCs w:val="24"/>
          <w:color w:val="auto"/>
        </w:rPr>
      </w:pPr>
    </w:p>
    <w:p>
      <w:pPr>
        <w:ind w:left="398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0-6365</w:t>
      </w:r>
    </w:p>
    <w:p>
      <w:pPr>
        <w:spacing w:after="0" w:line="5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APOGEE ENTERPRISES, INC.</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7" w:lineRule="exact"/>
        <w:rPr>
          <w:sz w:val="24"/>
          <w:szCs w:val="24"/>
          <w:color w:val="auto"/>
        </w:rPr>
      </w:pPr>
    </w:p>
    <w:p>
      <w:pPr>
        <w:ind w:left="1860"/>
        <w:spacing w:after="0"/>
        <w:tabs>
          <w:tab w:leader="none" w:pos="8820" w:val="left"/>
        </w:tabs>
        <w:rPr>
          <w:sz w:val="20"/>
          <w:szCs w:val="20"/>
          <w:color w:val="auto"/>
        </w:rPr>
      </w:pPr>
      <w:r>
        <w:rPr>
          <w:rFonts w:ascii="Times New Roman" w:cs="Times New Roman" w:eastAsia="Times New Roman" w:hAnsi="Times New Roman"/>
          <w:sz w:val="17"/>
          <w:szCs w:val="17"/>
          <w:b w:val="1"/>
          <w:bCs w:val="1"/>
          <w:color w:val="auto"/>
        </w:rPr>
        <w:t>Minnesota</w:t>
      </w:r>
      <w:r>
        <w:rPr>
          <w:sz w:val="20"/>
          <w:szCs w:val="20"/>
          <w:color w:val="auto"/>
        </w:rPr>
        <w:tab/>
      </w:r>
      <w:r>
        <w:rPr>
          <w:rFonts w:ascii="Times New Roman" w:cs="Times New Roman" w:eastAsia="Times New Roman" w:hAnsi="Times New Roman"/>
          <w:sz w:val="17"/>
          <w:szCs w:val="17"/>
          <w:b w:val="1"/>
          <w:bCs w:val="1"/>
          <w:color w:val="auto"/>
        </w:rPr>
        <w:t>41-0919654</w:t>
      </w:r>
    </w:p>
    <w:p>
      <w:pPr>
        <w:spacing w:after="0" w:line="64" w:lineRule="exact"/>
        <w:rPr>
          <w:sz w:val="24"/>
          <w:szCs w:val="24"/>
          <w:color w:val="auto"/>
        </w:rPr>
      </w:pPr>
    </w:p>
    <w:p>
      <w:pPr>
        <w:ind w:left="540"/>
        <w:spacing w:after="0"/>
        <w:tabs>
          <w:tab w:leader="none" w:pos="8200" w:val="left"/>
        </w:tabs>
        <w:rPr>
          <w:sz w:val="20"/>
          <w:szCs w:val="20"/>
          <w:color w:val="auto"/>
        </w:rPr>
      </w:pPr>
      <w:r>
        <w:rPr>
          <w:rFonts w:ascii="Times New Roman" w:cs="Times New Roman" w:eastAsia="Times New Roman" w:hAnsi="Times New Roman"/>
          <w:sz w:val="14"/>
          <w:szCs w:val="14"/>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92" w:lineRule="exact"/>
        <w:rPr>
          <w:sz w:val="24"/>
          <w:szCs w:val="24"/>
          <w:color w:val="auto"/>
        </w:rPr>
      </w:pPr>
    </w:p>
    <w:p>
      <w:pPr>
        <w:ind w:left="1080"/>
        <w:spacing w:after="0"/>
        <w:tabs>
          <w:tab w:leader="none" w:pos="4700" w:val="left"/>
          <w:tab w:leader="none" w:pos="6120" w:val="left"/>
          <w:tab w:leader="none" w:pos="9020" w:val="left"/>
        </w:tabs>
        <w:rPr>
          <w:sz w:val="20"/>
          <w:szCs w:val="20"/>
          <w:color w:val="auto"/>
        </w:rPr>
      </w:pPr>
      <w:r>
        <w:rPr>
          <w:rFonts w:ascii="Times New Roman" w:cs="Times New Roman" w:eastAsia="Times New Roman" w:hAnsi="Times New Roman"/>
          <w:sz w:val="17"/>
          <w:szCs w:val="17"/>
          <w:b w:val="1"/>
          <w:bCs w:val="1"/>
          <w:color w:val="auto"/>
        </w:rPr>
        <w:t>4400 West 78th Street, Suite 520</w:t>
      </w:r>
      <w:r>
        <w:rPr>
          <w:sz w:val="20"/>
          <w:szCs w:val="20"/>
          <w:color w:val="auto"/>
        </w:rPr>
        <w:tab/>
      </w:r>
      <w:r>
        <w:rPr>
          <w:rFonts w:ascii="Times New Roman" w:cs="Times New Roman" w:eastAsia="Times New Roman" w:hAnsi="Times New Roman"/>
          <w:sz w:val="17"/>
          <w:szCs w:val="17"/>
          <w:b w:val="1"/>
          <w:bCs w:val="1"/>
          <w:color w:val="auto"/>
        </w:rPr>
        <w:t>Minneapolis</w:t>
      </w:r>
      <w:r>
        <w:rPr>
          <w:sz w:val="20"/>
          <w:szCs w:val="20"/>
          <w:color w:val="auto"/>
        </w:rPr>
        <w:tab/>
      </w:r>
      <w:r>
        <w:rPr>
          <w:rFonts w:ascii="Times New Roman" w:cs="Times New Roman" w:eastAsia="Times New Roman" w:hAnsi="Times New Roman"/>
          <w:sz w:val="17"/>
          <w:szCs w:val="17"/>
          <w:b w:val="1"/>
          <w:bCs w:val="1"/>
          <w:color w:val="auto"/>
        </w:rPr>
        <w:t>Minnesota</w:t>
      </w:r>
      <w:r>
        <w:rPr>
          <w:sz w:val="20"/>
          <w:szCs w:val="20"/>
          <w:color w:val="auto"/>
        </w:rPr>
        <w:tab/>
      </w:r>
      <w:r>
        <w:rPr>
          <w:rFonts w:ascii="Times New Roman" w:cs="Times New Roman" w:eastAsia="Times New Roman" w:hAnsi="Times New Roman"/>
          <w:sz w:val="16"/>
          <w:szCs w:val="16"/>
          <w:b w:val="1"/>
          <w:bCs w:val="1"/>
          <w:color w:val="auto"/>
        </w:rPr>
        <w:t>55435</w:t>
      </w:r>
    </w:p>
    <w:p>
      <w:pPr>
        <w:spacing w:after="0" w:line="64" w:lineRule="exact"/>
        <w:rPr>
          <w:sz w:val="24"/>
          <w:szCs w:val="24"/>
          <w:color w:val="auto"/>
        </w:rPr>
      </w:pPr>
    </w:p>
    <w:p>
      <w:pPr>
        <w:ind w:left="1100"/>
        <w:spacing w:after="0"/>
        <w:tabs>
          <w:tab w:leader="none" w:pos="8920" w:val="left"/>
        </w:tabs>
        <w:rPr>
          <w:sz w:val="20"/>
          <w:szCs w:val="20"/>
          <w:color w:val="auto"/>
        </w:rPr>
      </w:pPr>
      <w:r>
        <w:rPr>
          <w:rFonts w:ascii="Times New Roman" w:cs="Times New Roman" w:eastAsia="Times New Roman" w:hAnsi="Times New Roman"/>
          <w:sz w:val="14"/>
          <w:szCs w:val="14"/>
          <w:color w:val="auto"/>
        </w:rPr>
        <w:t>(Address of principal executive offices)</w:t>
      </w:r>
      <w:r>
        <w:rPr>
          <w:sz w:val="20"/>
          <w:szCs w:val="20"/>
          <w:color w:val="auto"/>
        </w:rPr>
        <w:tab/>
      </w:r>
      <w:r>
        <w:rPr>
          <w:rFonts w:ascii="Times New Roman" w:cs="Times New Roman" w:eastAsia="Times New Roman" w:hAnsi="Times New Roman"/>
          <w:sz w:val="14"/>
          <w:szCs w:val="14"/>
          <w:color w:val="auto"/>
        </w:rPr>
        <w:t>(Zip Code)</w:t>
      </w:r>
    </w:p>
    <w:p>
      <w:pPr>
        <w:spacing w:after="0" w:line="1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(952) 835-1874</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5" w:lineRule="exact"/>
        <w:rPr>
          <w:sz w:val="24"/>
          <w:szCs w:val="24"/>
          <w:color w:val="auto"/>
        </w:rPr>
      </w:pPr>
    </w:p>
    <w:p>
      <w:pPr>
        <w:ind w:left="1460"/>
        <w:spacing w:after="0"/>
        <w:tabs>
          <w:tab w:leader="none" w:pos="4860" w:val="left"/>
          <w:tab w:leader="none" w:pos="738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67" w:lineRule="exact"/>
        <w:rPr>
          <w:sz w:val="24"/>
          <w:szCs w:val="24"/>
          <w:color w:val="auto"/>
        </w:rPr>
      </w:pPr>
    </w:p>
    <w:p>
      <w:pPr>
        <w:ind w:left="500"/>
        <w:spacing w:after="0"/>
        <w:tabs>
          <w:tab w:leader="none" w:pos="5320" w:val="left"/>
          <w:tab w:leader="none" w:pos="7880" w:val="left"/>
        </w:tabs>
        <w:rPr>
          <w:sz w:val="20"/>
          <w:szCs w:val="20"/>
          <w:color w:val="auto"/>
        </w:rPr>
      </w:pPr>
      <w:r>
        <w:rPr>
          <w:rFonts w:ascii="Times New Roman" w:cs="Times New Roman" w:eastAsia="Times New Roman" w:hAnsi="Times New Roman"/>
          <w:sz w:val="18"/>
          <w:szCs w:val="18"/>
          <w:color w:val="auto"/>
        </w:rPr>
        <w:t>Common stock, par value $0.33 1/3 per share</w:t>
      </w:r>
      <w:r>
        <w:rPr>
          <w:sz w:val="20"/>
          <w:szCs w:val="20"/>
          <w:color w:val="auto"/>
        </w:rPr>
        <w:tab/>
      </w:r>
      <w:r>
        <w:rPr>
          <w:rFonts w:ascii="Times New Roman" w:cs="Times New Roman" w:eastAsia="Times New Roman" w:hAnsi="Times New Roman"/>
          <w:sz w:val="18"/>
          <w:szCs w:val="18"/>
          <w:color w:val="auto"/>
        </w:rPr>
        <w:t>APOG</w:t>
      </w:r>
      <w:r>
        <w:rPr>
          <w:sz w:val="20"/>
          <w:szCs w:val="20"/>
          <w:color w:val="auto"/>
        </w:rPr>
        <w:tab/>
      </w:r>
      <w:r>
        <w:rPr>
          <w:rFonts w:ascii="Times New Roman" w:cs="Times New Roman" w:eastAsia="Times New Roman" w:hAnsi="Times New Roman"/>
          <w:sz w:val="18"/>
          <w:szCs w:val="18"/>
          <w:color w:val="auto"/>
        </w:rPr>
        <w:t>NASDAQ Global Select Market</w:t>
      </w:r>
    </w:p>
    <w:p>
      <w:pPr>
        <w:spacing w:after="0" w:line="13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Yes No</w:t>
      </w:r>
    </w:p>
    <w:p>
      <w:pPr>
        <w:spacing w:after="0" w:line="116" w:lineRule="exact"/>
        <w:rPr>
          <w:sz w:val="24"/>
          <w:szCs w:val="24"/>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Yes No</w:t>
      </w:r>
    </w:p>
    <w:p>
      <w:pPr>
        <w:spacing w:after="0" w:line="10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89" w:right="339" w:bottom="1440" w:gutter="0" w:footer="0" w:header="0"/>
        </w:sectPr>
      </w:pPr>
    </w:p>
    <w:p>
      <w:pPr>
        <w:spacing w:after="0" w:line="149" w:lineRule="exact"/>
        <w:rPr>
          <w:sz w:val="24"/>
          <w:szCs w:val="24"/>
          <w:color w:val="auto"/>
        </w:rPr>
      </w:pPr>
    </w:p>
    <w:tbl>
      <w:tblPr>
        <w:tblLayout w:type="fixed"/>
        <w:tblInd w:w="20" w:type="dxa"/>
        <w:tblCellMar>
          <w:top w:w="0" w:type="dxa"/>
          <w:left w:w="0" w:type="dxa"/>
          <w:bottom w:w="0" w:type="dxa"/>
          <w:right w:w="0" w:type="dxa"/>
        </w:tblCellMar>
      </w:tblPr>
      <w:tr>
        <w:trPr>
          <w:trHeight w:val="265"/>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460"/>
              <w:spacing w:after="0"/>
              <w:rPr>
                <w:sz w:val="20"/>
                <w:szCs w:val="20"/>
                <w:color w:val="auto"/>
              </w:rPr>
            </w:pPr>
            <w:r>
              <w:rPr>
                <w:rFonts w:ascii="Arial" w:cs="Arial" w:eastAsia="Arial" w:hAnsi="Arial"/>
                <w:sz w:val="18"/>
                <w:szCs w:val="18"/>
                <w:color w:val="auto"/>
              </w:rPr>
              <w:t>x</w:t>
            </w:r>
          </w:p>
        </w:tc>
        <w:tc>
          <w:tcPr>
            <w:tcW w:w="4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9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spacing w:after="0"/>
              <w:rPr>
                <w:sz w:val="24"/>
                <w:szCs w:val="24"/>
                <w:color w:val="auto"/>
              </w:rPr>
            </w:pPr>
          </w:p>
        </w:tc>
        <w:tc>
          <w:tcPr>
            <w:tcW w:w="422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8"/>
              </w:rPr>
              <w:t>Smaller reporting company</w:t>
            </w:r>
          </w:p>
        </w:tc>
      </w:tr>
      <w:tr>
        <w:trPr>
          <w:trHeight w:val="357"/>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spacing w:after="0"/>
              <w:rPr>
                <w:sz w:val="24"/>
                <w:szCs w:val="24"/>
                <w:color w:val="auto"/>
              </w:rPr>
            </w:pPr>
          </w:p>
        </w:tc>
      </w:tr>
    </w:tbl>
    <w:p>
      <w:pPr>
        <w:spacing w:after="0" w:line="2" w:lineRule="exact"/>
        <w:rPr>
          <w:sz w:val="24"/>
          <w:szCs w:val="24"/>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636905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29" w:lineRule="exact"/>
        <w:rPr>
          <w:sz w:val="24"/>
          <w:szCs w:val="24"/>
          <w:color w:val="auto"/>
        </w:rPr>
      </w:pPr>
    </w:p>
    <w:p>
      <w:pPr>
        <w:jc w:val="center"/>
        <w:ind w:right="520"/>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080" w:space="480"/>
            <w:col w:w="680"/>
          </w:cols>
          <w:pgMar w:left="320" w:top="1289" w:right="339" w:bottom="1440" w:gutter="0" w:footer="0" w:header="0"/>
          <w:type w:val="continuous"/>
        </w:sectPr>
      </w:pPr>
    </w:p>
    <w:bookmarkStart w:id="1" w:name="page2"/>
    <w:bookmarkEnd w:id="1"/>
    <w:p>
      <w:pPr>
        <w:ind w:right="699"/>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As of October 6, 2020, 26,385,698 shares of the registrant’s common stock, par value $0.33 1/3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112395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78105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139"/>
          </w:cols>
          <w:pgMar w:left="320" w:top="1065" w:right="1440"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APOGEE ENTERPRISES, INC. AND SUBSIDIARIES</w:t>
      </w:r>
    </w:p>
    <w:p>
      <w:pPr>
        <w:spacing w:after="0" w:line="371"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4"/>
          <w:szCs w:val="14"/>
          <w:b w:val="1"/>
          <w:bCs w:val="1"/>
          <w:u w:val="single" w:color="auto"/>
          <w:color w:val="auto"/>
        </w:rPr>
        <w:t>Page</w:t>
      </w:r>
    </w:p>
    <w:p>
      <w:pPr>
        <w:sectPr>
          <w:pgSz w:w="11900" w:h="16838" w:orient="portrait"/>
          <w:cols w:equalWidth="0" w:num="1">
            <w:col w:w="11200"/>
          </w:cols>
          <w:pgMar w:left="320" w:top="121" w:right="379" w:bottom="1440" w:gutter="0" w:footer="0" w:header="0"/>
        </w:sectPr>
      </w:pP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2.</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3.</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4.</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1A.</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2.</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6.</w:t>
      </w:r>
    </w:p>
    <w:p>
      <w:pPr>
        <w:spacing w:after="0" w:line="104"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Signatures</w:t>
        </w:r>
      </w:hyperlink>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Financial Information</w:t>
              </w:r>
            </w:hyperlink>
          </w:p>
        </w:tc>
        <w:tc>
          <w:tcPr>
            <w:tcW w:w="1800" w:type="dxa"/>
            <w:vAlign w:val="bottom"/>
          </w:tcPr>
          <w:p>
            <w:pPr>
              <w:spacing w:after="0"/>
              <w:rPr>
                <w:sz w:val="20"/>
                <w:szCs w:val="20"/>
                <w:color w:val="auto"/>
              </w:rPr>
            </w:pPr>
          </w:p>
        </w:tc>
      </w:tr>
      <w:tr>
        <w:trPr>
          <w:trHeight w:val="324"/>
        </w:trPr>
        <w:tc>
          <w:tcPr>
            <w:tcW w:w="8060" w:type="dxa"/>
            <w:vAlign w:val="bottom"/>
          </w:tcPr>
          <w:p>
            <w:pPr>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Financial Statements (Unaudited):</w:t>
              </w:r>
            </w:hyperlink>
          </w:p>
        </w:tc>
        <w:tc>
          <w:tcPr>
            <w:tcW w:w="1800" w:type="dxa"/>
            <w:vAlign w:val="bottom"/>
          </w:tcPr>
          <w:p>
            <w:pPr>
              <w:spacing w:after="0"/>
              <w:rPr>
                <w:sz w:val="24"/>
                <w:szCs w:val="24"/>
                <w:color w:val="auto"/>
              </w:rPr>
            </w:pPr>
          </w:p>
        </w:tc>
      </w:tr>
      <w:tr>
        <w:trPr>
          <w:trHeight w:val="283"/>
        </w:trPr>
        <w:tc>
          <w:tcPr>
            <w:tcW w:w="8060" w:type="dxa"/>
            <w:vAlign w:val="bottom"/>
          </w:tcPr>
          <w:p>
            <w:pPr>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Consolidated Balance Sheets</w:t>
              </w:r>
            </w:hyperlink>
          </w:p>
        </w:tc>
        <w:tc>
          <w:tcPr>
            <w:tcW w:w="180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4</w:t>
              </w:r>
            </w:hyperlink>
          </w:p>
        </w:tc>
      </w:tr>
      <w:tr>
        <w:trPr>
          <w:trHeight w:val="283"/>
        </w:trPr>
        <w:tc>
          <w:tcPr>
            <w:tcW w:w="8060" w:type="dxa"/>
            <w:vAlign w:val="bottom"/>
          </w:tcPr>
          <w:p>
            <w:pPr>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Consolidated Results of Operations</w:t>
              </w:r>
            </w:hyperlink>
          </w:p>
        </w:tc>
        <w:tc>
          <w:tcPr>
            <w:tcW w:w="180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5</w:t>
              </w:r>
            </w:hyperlink>
          </w:p>
        </w:tc>
      </w:tr>
      <w:tr>
        <w:trPr>
          <w:trHeight w:val="283"/>
        </w:trPr>
        <w:tc>
          <w:tcPr>
            <w:tcW w:w="8060" w:type="dxa"/>
            <w:vAlign w:val="bottom"/>
          </w:tcPr>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Consolidated Statements of Comprehensive Earnings</w:t>
              </w:r>
            </w:hyperlink>
          </w:p>
        </w:tc>
        <w:tc>
          <w:tcPr>
            <w:tcW w:w="1800" w:type="dxa"/>
            <w:vAlign w:val="bottom"/>
          </w:tcPr>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6</w:t>
              </w:r>
            </w:hyperlink>
          </w:p>
        </w:tc>
      </w:tr>
      <w:tr>
        <w:trPr>
          <w:trHeight w:val="284"/>
        </w:trPr>
        <w:tc>
          <w:tcPr>
            <w:tcW w:w="8060" w:type="dxa"/>
            <w:vAlign w:val="bottom"/>
          </w:tcPr>
          <w:p>
            <w:pPr>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Consolidated Statements of Cash Flows</w:t>
              </w:r>
            </w:hyperlink>
          </w:p>
        </w:tc>
        <w:tc>
          <w:tcPr>
            <w:tcW w:w="1800" w:type="dxa"/>
            <w:vAlign w:val="bottom"/>
          </w:tcPr>
          <w:p>
            <w:pPr>
              <w:jc w:val="right"/>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7</w:t>
              </w:r>
            </w:hyperlink>
          </w:p>
        </w:tc>
      </w:tr>
      <w:tr>
        <w:trPr>
          <w:trHeight w:val="283"/>
        </w:trPr>
        <w:tc>
          <w:tcPr>
            <w:tcW w:w="8060" w:type="dxa"/>
            <w:vAlign w:val="bottom"/>
          </w:tcPr>
          <w:p>
            <w:pPr>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Consolidated Statements of Shareholders' Equity</w:t>
              </w:r>
            </w:hyperlink>
          </w:p>
        </w:tc>
        <w:tc>
          <w:tcPr>
            <w:tcW w:w="1800" w:type="dxa"/>
            <w:vAlign w:val="bottom"/>
          </w:tcPr>
          <w:p>
            <w:pPr>
              <w:jc w:val="right"/>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8</w:t>
              </w:r>
            </w:hyperlink>
          </w:p>
        </w:tc>
      </w:tr>
      <w:tr>
        <w:trPr>
          <w:trHeight w:val="283"/>
        </w:trPr>
        <w:tc>
          <w:tcPr>
            <w:tcW w:w="8060" w:type="dxa"/>
            <w:vAlign w:val="bottom"/>
          </w:tcPr>
          <w:p>
            <w:pPr>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Notes to Consolidated Financial Statements</w:t>
              </w:r>
            </w:hyperlink>
          </w:p>
        </w:tc>
        <w:tc>
          <w:tcPr>
            <w:tcW w:w="1800" w:type="dxa"/>
            <w:vAlign w:val="bottom"/>
          </w:tcPr>
          <w:p>
            <w:pPr>
              <w:jc w:val="right"/>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10</w:t>
              </w:r>
            </w:hyperlink>
          </w:p>
        </w:tc>
      </w:tr>
      <w:tr>
        <w:trPr>
          <w:trHeight w:val="324"/>
        </w:trPr>
        <w:tc>
          <w:tcPr>
            <w:tcW w:w="8060" w:type="dxa"/>
            <w:vAlign w:val="bottom"/>
          </w:tcPr>
          <w:p>
            <w:pPr>
              <w:spacing w:after="0"/>
              <w:rPr>
                <w:rFonts w:ascii="Times New Roman" w:cs="Times New Roman" w:eastAsia="Times New Roman" w:hAnsi="Times New Roman"/>
                <w:sz w:val="18"/>
                <w:szCs w:val="18"/>
                <w:u w:val="single" w:color="auto"/>
                <w:color w:val="0000FF"/>
              </w:rPr>
            </w:pPr>
            <w:hyperlink w:anchor="page20">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800" w:type="dxa"/>
            <w:vAlign w:val="bottom"/>
          </w:tcPr>
          <w:p>
            <w:pPr>
              <w:jc w:val="right"/>
              <w:spacing w:after="0"/>
              <w:rPr>
                <w:rFonts w:ascii="Times New Roman" w:cs="Times New Roman" w:eastAsia="Times New Roman" w:hAnsi="Times New Roman"/>
                <w:sz w:val="18"/>
                <w:szCs w:val="18"/>
                <w:u w:val="single" w:color="auto"/>
                <w:color w:val="0000FF"/>
              </w:rPr>
            </w:pPr>
            <w:hyperlink w:anchor="page20">
              <w:r>
                <w:rPr>
                  <w:rFonts w:ascii="Times New Roman" w:cs="Times New Roman" w:eastAsia="Times New Roman" w:hAnsi="Times New Roman"/>
                  <w:sz w:val="18"/>
                  <w:szCs w:val="18"/>
                  <w:u w:val="single" w:color="auto"/>
                  <w:color w:val="0000FF"/>
                </w:rPr>
                <w:t>20</w:t>
              </w:r>
            </w:hyperlink>
          </w:p>
        </w:tc>
      </w:tr>
      <w:tr>
        <w:trPr>
          <w:trHeight w:val="324"/>
        </w:trPr>
        <w:tc>
          <w:tcPr>
            <w:tcW w:w="8060" w:type="dxa"/>
            <w:vAlign w:val="bottom"/>
          </w:tcPr>
          <w:p>
            <w:pPr>
              <w:spacing w:after="0"/>
              <w:rPr>
                <w:rFonts w:ascii="Times New Roman" w:cs="Times New Roman" w:eastAsia="Times New Roman" w:hAnsi="Times New Roman"/>
                <w:sz w:val="18"/>
                <w:szCs w:val="18"/>
                <w:u w:val="single" w:color="auto"/>
                <w:color w:val="0000FF"/>
              </w:rPr>
            </w:pPr>
            <w:hyperlink w:anchor="page25">
              <w:r>
                <w:rPr>
                  <w:rFonts w:ascii="Times New Roman" w:cs="Times New Roman" w:eastAsia="Times New Roman" w:hAnsi="Times New Roman"/>
                  <w:sz w:val="18"/>
                  <w:szCs w:val="18"/>
                  <w:u w:val="single" w:color="auto"/>
                  <w:color w:val="0000FF"/>
                </w:rPr>
                <w:t>Quantitative and Qualitative Disclosures About Market Risk</w:t>
              </w:r>
            </w:hyperlink>
          </w:p>
        </w:tc>
        <w:tc>
          <w:tcPr>
            <w:tcW w:w="1800" w:type="dxa"/>
            <w:vAlign w:val="bottom"/>
          </w:tcPr>
          <w:p>
            <w:pPr>
              <w:jc w:val="right"/>
              <w:spacing w:after="0"/>
              <w:rPr>
                <w:rFonts w:ascii="Times New Roman" w:cs="Times New Roman" w:eastAsia="Times New Roman" w:hAnsi="Times New Roman"/>
                <w:sz w:val="18"/>
                <w:szCs w:val="18"/>
                <w:u w:val="single" w:color="auto"/>
                <w:color w:val="0000FF"/>
              </w:rPr>
            </w:pPr>
            <w:hyperlink w:anchor="page25">
              <w:r>
                <w:rPr>
                  <w:rFonts w:ascii="Times New Roman" w:cs="Times New Roman" w:eastAsia="Times New Roman" w:hAnsi="Times New Roman"/>
                  <w:sz w:val="18"/>
                  <w:szCs w:val="18"/>
                  <w:u w:val="single" w:color="auto"/>
                  <w:color w:val="0000FF"/>
                </w:rPr>
                <w:t>26</w:t>
              </w:r>
            </w:hyperlink>
          </w:p>
        </w:tc>
      </w:tr>
      <w:tr>
        <w:trPr>
          <w:trHeight w:val="324"/>
        </w:trPr>
        <w:tc>
          <w:tcPr>
            <w:tcW w:w="8060" w:type="dxa"/>
            <w:vAlign w:val="bottom"/>
          </w:tcPr>
          <w:p>
            <w:pPr>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Controls and Procedures</w:t>
              </w:r>
            </w:hyperlink>
          </w:p>
        </w:tc>
        <w:tc>
          <w:tcPr>
            <w:tcW w:w="1800" w:type="dxa"/>
            <w:vAlign w:val="bottom"/>
          </w:tcPr>
          <w:p>
            <w:pPr>
              <w:jc w:val="right"/>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26</w:t>
              </w:r>
            </w:hyperlink>
          </w:p>
        </w:tc>
      </w:tr>
      <w:tr>
        <w:trPr>
          <w:trHeight w:val="324"/>
        </w:trPr>
        <w:tc>
          <w:tcPr>
            <w:tcW w:w="806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26">
              <w:r>
                <w:rPr>
                  <w:rFonts w:ascii="Times New Roman" w:cs="Times New Roman" w:eastAsia="Times New Roman" w:hAnsi="Times New Roman"/>
                  <w:sz w:val="18"/>
                  <w:szCs w:val="18"/>
                  <w:b w:val="1"/>
                  <w:bCs w:val="1"/>
                  <w:u w:val="single" w:color="auto"/>
                  <w:color w:val="0000FF"/>
                </w:rPr>
                <w:t>Other Information</w:t>
              </w:r>
            </w:hyperlink>
          </w:p>
        </w:tc>
        <w:tc>
          <w:tcPr>
            <w:tcW w:w="1800" w:type="dxa"/>
            <w:vAlign w:val="bottom"/>
          </w:tcPr>
          <w:p>
            <w:pPr>
              <w:spacing w:after="0"/>
              <w:rPr>
                <w:sz w:val="24"/>
                <w:szCs w:val="24"/>
                <w:color w:val="auto"/>
              </w:rPr>
            </w:pPr>
          </w:p>
        </w:tc>
      </w:tr>
      <w:tr>
        <w:trPr>
          <w:trHeight w:val="324"/>
        </w:trPr>
        <w:tc>
          <w:tcPr>
            <w:tcW w:w="8060" w:type="dxa"/>
            <w:vAlign w:val="bottom"/>
          </w:tcPr>
          <w:p>
            <w:pPr>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Legal Proceedings</w:t>
              </w:r>
            </w:hyperlink>
          </w:p>
        </w:tc>
        <w:tc>
          <w:tcPr>
            <w:tcW w:w="1800" w:type="dxa"/>
            <w:vAlign w:val="bottom"/>
          </w:tcPr>
          <w:p>
            <w:pPr>
              <w:jc w:val="right"/>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26</w:t>
              </w:r>
            </w:hyperlink>
          </w:p>
        </w:tc>
      </w:tr>
      <w:tr>
        <w:trPr>
          <w:trHeight w:val="324"/>
        </w:trPr>
        <w:tc>
          <w:tcPr>
            <w:tcW w:w="8060" w:type="dxa"/>
            <w:vAlign w:val="bottom"/>
          </w:tcPr>
          <w:p>
            <w:pPr>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Risk Factors</w:t>
              </w:r>
            </w:hyperlink>
          </w:p>
        </w:tc>
        <w:tc>
          <w:tcPr>
            <w:tcW w:w="1800" w:type="dxa"/>
            <w:vAlign w:val="bottom"/>
          </w:tcPr>
          <w:p>
            <w:pPr>
              <w:jc w:val="right"/>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26</w:t>
              </w:r>
            </w:hyperlink>
          </w:p>
        </w:tc>
      </w:tr>
      <w:tr>
        <w:trPr>
          <w:trHeight w:val="324"/>
        </w:trPr>
        <w:tc>
          <w:tcPr>
            <w:tcW w:w="8060" w:type="dxa"/>
            <w:vAlign w:val="bottom"/>
          </w:tcPr>
          <w:p>
            <w:pPr>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Unregistered Sales of Equity Securities and Use of Proceeds</w:t>
              </w:r>
            </w:hyperlink>
          </w:p>
        </w:tc>
        <w:tc>
          <w:tcPr>
            <w:tcW w:w="1800" w:type="dxa"/>
            <w:vAlign w:val="bottom"/>
          </w:tcPr>
          <w:p>
            <w:pPr>
              <w:jc w:val="right"/>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27</w:t>
              </w:r>
            </w:hyperlink>
          </w:p>
        </w:tc>
      </w:tr>
      <w:tr>
        <w:trPr>
          <w:trHeight w:val="324"/>
        </w:trPr>
        <w:tc>
          <w:tcPr>
            <w:tcW w:w="8060" w:type="dxa"/>
            <w:vAlign w:val="bottom"/>
          </w:tcPr>
          <w:p>
            <w:pPr>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Exhibits</w:t>
              </w:r>
            </w:hyperlink>
          </w:p>
        </w:tc>
        <w:tc>
          <w:tcPr>
            <w:tcW w:w="1800" w:type="dxa"/>
            <w:vAlign w:val="bottom"/>
          </w:tcPr>
          <w:p>
            <w:pPr>
              <w:jc w:val="right"/>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28</w:t>
              </w:r>
            </w:hyperlink>
          </w:p>
        </w:tc>
      </w:tr>
      <w:tr>
        <w:trPr>
          <w:trHeight w:val="283"/>
        </w:trPr>
        <w:tc>
          <w:tcPr>
            <w:tcW w:w="8060" w:type="dxa"/>
            <w:vAlign w:val="bottom"/>
          </w:tcPr>
          <w:p>
            <w:pPr>
              <w:spacing w:after="0"/>
              <w:rPr>
                <w:sz w:val="24"/>
                <w:szCs w:val="24"/>
                <w:color w:val="auto"/>
              </w:rPr>
            </w:pPr>
          </w:p>
        </w:tc>
        <w:tc>
          <w:tcPr>
            <w:tcW w:w="1800" w:type="dxa"/>
            <w:vAlign w:val="bottom"/>
          </w:tcPr>
          <w:p>
            <w:pPr>
              <w:jc w:val="right"/>
              <w:spacing w:after="0"/>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29</w:t>
              </w:r>
            </w:hyperlink>
          </w:p>
        </w:tc>
      </w:tr>
      <w:tr>
        <w:trPr>
          <w:trHeight w:val="850"/>
        </w:trPr>
        <w:tc>
          <w:tcPr>
            <w:tcW w:w="806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3</w:t>
            </w:r>
          </w:p>
        </w:tc>
        <w:tc>
          <w:tcPr>
            <w:tcW w:w="1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68580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80" w:space="560"/>
            <w:col w:w="9860"/>
          </w:cols>
          <w:pgMar w:left="320" w:top="121" w:right="3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560" w:type="dxa"/>
            <w:vAlign w:val="bottom"/>
            <w:gridSpan w:val="3"/>
          </w:tcPr>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600" w:type="dxa"/>
            <w:vAlign w:val="bottom"/>
          </w:tcPr>
          <w:p>
            <w:pPr>
              <w:spacing w:after="0"/>
              <w:rPr>
                <w:sz w:val="24"/>
                <w:szCs w:val="24"/>
                <w:color w:val="auto"/>
              </w:rPr>
            </w:pPr>
          </w:p>
        </w:tc>
        <w:tc>
          <w:tcPr>
            <w:tcW w:w="6960" w:type="dxa"/>
            <w:vAlign w:val="bottom"/>
            <w:gridSpan w:val="2"/>
          </w:tcPr>
          <w:p>
            <w:pPr>
              <w:ind w:left="35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756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stock data)</w:t>
            </w:r>
          </w:p>
        </w:tc>
        <w:tc>
          <w:tcPr>
            <w:tcW w:w="240" w:type="dxa"/>
            <w:vAlign w:val="bottom"/>
          </w:tcPr>
          <w:p>
            <w:pPr>
              <w:spacing w:after="0"/>
              <w:rPr>
                <w:sz w:val="24"/>
                <w:szCs w:val="24"/>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August 29, 2020</w:t>
            </w:r>
          </w:p>
        </w:tc>
        <w:tc>
          <w:tcPr>
            <w:tcW w:w="180" w:type="dxa"/>
            <w:vAlign w:val="bottom"/>
          </w:tcPr>
          <w:p>
            <w:pPr>
              <w:spacing w:after="0"/>
              <w:rPr>
                <w:sz w:val="24"/>
                <w:szCs w:val="24"/>
                <w:color w:val="auto"/>
              </w:rPr>
            </w:pP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February 29, 2020</w:t>
            </w:r>
          </w:p>
        </w:tc>
        <w:tc>
          <w:tcPr>
            <w:tcW w:w="0" w:type="dxa"/>
            <w:vAlign w:val="bottom"/>
          </w:tcPr>
          <w:p>
            <w:pPr>
              <w:spacing w:after="0"/>
              <w:rPr>
                <w:sz w:val="1"/>
                <w:szCs w:val="1"/>
                <w:color w:val="auto"/>
              </w:rPr>
            </w:pPr>
          </w:p>
        </w:tc>
      </w:tr>
      <w:tr>
        <w:trPr>
          <w:trHeight w:val="248"/>
        </w:trPr>
        <w:tc>
          <w:tcPr>
            <w:tcW w:w="6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w:t>
            </w:r>
          </w:p>
        </w:tc>
        <w:tc>
          <w:tcPr>
            <w:tcW w:w="0" w:type="dxa"/>
            <w:vAlign w:val="bottom"/>
          </w:tcPr>
          <w:p>
            <w:pPr>
              <w:spacing w:after="0"/>
              <w:rPr>
                <w:sz w:val="1"/>
                <w:szCs w:val="1"/>
                <w:color w:val="auto"/>
              </w:rPr>
            </w:pPr>
          </w:p>
        </w:tc>
      </w:tr>
      <w:tr>
        <w:trPr>
          <w:trHeight w:val="243"/>
        </w:trPr>
        <w:tc>
          <w:tcPr>
            <w:tcW w:w="7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Receivables, net of allowance for doubtful accounts</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196,806</w:t>
            </w:r>
          </w:p>
        </w:tc>
        <w:tc>
          <w:tcPr>
            <w:tcW w:w="0" w:type="dxa"/>
            <w:vAlign w:val="bottom"/>
          </w:tcPr>
          <w:p>
            <w:pPr>
              <w:spacing w:after="0"/>
              <w:rPr>
                <w:sz w:val="1"/>
                <w:szCs w:val="1"/>
                <w:color w:val="auto"/>
              </w:rPr>
            </w:pPr>
          </w:p>
        </w:tc>
      </w:tr>
      <w:tr>
        <w:trPr>
          <w:trHeight w:val="27"/>
        </w:trPr>
        <w:tc>
          <w:tcPr>
            <w:tcW w:w="7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71,089</w:t>
            </w:r>
          </w:p>
        </w:tc>
        <w:tc>
          <w:tcPr>
            <w:tcW w:w="0" w:type="dxa"/>
            <w:vAlign w:val="bottom"/>
          </w:tcPr>
          <w:p>
            <w:pPr>
              <w:spacing w:after="0"/>
              <w:rPr>
                <w:sz w:val="1"/>
                <w:szCs w:val="1"/>
                <w:color w:val="auto"/>
              </w:rPr>
            </w:pPr>
          </w:p>
        </w:tc>
      </w:tr>
      <w:tr>
        <w:trPr>
          <w:trHeight w:val="243"/>
        </w:trPr>
        <w:tc>
          <w:tcPr>
            <w:tcW w:w="7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Costs and earnings on contracts in excess of billings</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73,582</w:t>
            </w:r>
          </w:p>
        </w:tc>
        <w:tc>
          <w:tcPr>
            <w:tcW w:w="0" w:type="dxa"/>
            <w:vAlign w:val="bottom"/>
          </w:tcPr>
          <w:p>
            <w:pPr>
              <w:spacing w:after="0"/>
              <w:rPr>
                <w:sz w:val="1"/>
                <w:szCs w:val="1"/>
                <w:color w:val="auto"/>
              </w:rPr>
            </w:pPr>
          </w:p>
        </w:tc>
      </w:tr>
      <w:tr>
        <w:trPr>
          <w:trHeight w:val="27"/>
        </w:trPr>
        <w:tc>
          <w:tcPr>
            <w:tcW w:w="7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6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25,481</w:t>
            </w: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6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311,732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381,910</w:t>
            </w:r>
          </w:p>
        </w:tc>
        <w:tc>
          <w:tcPr>
            <w:tcW w:w="0" w:type="dxa"/>
            <w:vAlign w:val="bottom"/>
          </w:tcPr>
          <w:p>
            <w:pPr>
              <w:spacing w:after="0"/>
              <w:rPr>
                <w:sz w:val="1"/>
                <w:szCs w:val="1"/>
                <w:color w:val="auto"/>
              </w:rPr>
            </w:pPr>
          </w:p>
        </w:tc>
      </w:tr>
      <w:tr>
        <w:trPr>
          <w:trHeight w:val="27"/>
        </w:trPr>
        <w:tc>
          <w:tcPr>
            <w:tcW w:w="74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5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324,386</w:t>
            </w:r>
          </w:p>
        </w:tc>
        <w:tc>
          <w:tcPr>
            <w:tcW w:w="0" w:type="dxa"/>
            <w:vAlign w:val="bottom"/>
          </w:tcPr>
          <w:p>
            <w:pPr>
              <w:spacing w:after="0"/>
              <w:rPr>
                <w:sz w:val="1"/>
                <w:szCs w:val="1"/>
                <w:color w:val="auto"/>
              </w:rPr>
            </w:pPr>
          </w:p>
        </w:tc>
      </w:tr>
      <w:tr>
        <w:trPr>
          <w:trHeight w:val="243"/>
        </w:trPr>
        <w:tc>
          <w:tcPr>
            <w:tcW w:w="7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52,892</w:t>
            </w:r>
          </w:p>
        </w:tc>
        <w:tc>
          <w:tcPr>
            <w:tcW w:w="0" w:type="dxa"/>
            <w:vAlign w:val="bottom"/>
          </w:tcPr>
          <w:p>
            <w:pPr>
              <w:spacing w:after="0"/>
              <w:rPr>
                <w:sz w:val="1"/>
                <w:szCs w:val="1"/>
                <w:color w:val="auto"/>
              </w:rPr>
            </w:pPr>
          </w:p>
        </w:tc>
      </w:tr>
      <w:tr>
        <w:trPr>
          <w:trHeight w:val="27"/>
        </w:trPr>
        <w:tc>
          <w:tcPr>
            <w:tcW w:w="7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185,516</w:t>
            </w:r>
          </w:p>
        </w:tc>
        <w:tc>
          <w:tcPr>
            <w:tcW w:w="0" w:type="dxa"/>
            <w:vAlign w:val="bottom"/>
          </w:tcPr>
          <w:p>
            <w:pPr>
              <w:spacing w:after="0"/>
              <w:rPr>
                <w:sz w:val="1"/>
                <w:szCs w:val="1"/>
                <w:color w:val="auto"/>
              </w:rPr>
            </w:pPr>
          </w:p>
        </w:tc>
      </w:tr>
      <w:tr>
        <w:trPr>
          <w:trHeight w:val="243"/>
        </w:trPr>
        <w:tc>
          <w:tcPr>
            <w:tcW w:w="7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140,191</w:t>
            </w:r>
          </w:p>
        </w:tc>
        <w:tc>
          <w:tcPr>
            <w:tcW w:w="0" w:type="dxa"/>
            <w:vAlign w:val="bottom"/>
          </w:tcPr>
          <w:p>
            <w:pPr>
              <w:spacing w:after="0"/>
              <w:rPr>
                <w:sz w:val="1"/>
                <w:szCs w:val="1"/>
                <w:color w:val="auto"/>
              </w:rPr>
            </w:pPr>
          </w:p>
        </w:tc>
      </w:tr>
      <w:tr>
        <w:trPr>
          <w:trHeight w:val="27"/>
        </w:trPr>
        <w:tc>
          <w:tcPr>
            <w:tcW w:w="7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44,096</w:t>
            </w: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6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1,054,498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1,128,991</w:t>
            </w:r>
          </w:p>
        </w:tc>
        <w:tc>
          <w:tcPr>
            <w:tcW w:w="0" w:type="dxa"/>
            <w:vAlign w:val="bottom"/>
          </w:tcPr>
          <w:p>
            <w:pPr>
              <w:spacing w:after="0"/>
              <w:rPr>
                <w:sz w:val="1"/>
                <w:szCs w:val="1"/>
                <w:color w:val="auto"/>
              </w:rPr>
            </w:pPr>
          </w:p>
        </w:tc>
      </w:tr>
      <w:tr>
        <w:trPr>
          <w:trHeight w:val="27"/>
        </w:trPr>
        <w:tc>
          <w:tcPr>
            <w:tcW w:w="7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0" w:type="dxa"/>
            <w:vAlign w:val="bottom"/>
            <w:tcBorders>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69,056</w:t>
            </w:r>
          </w:p>
        </w:tc>
        <w:tc>
          <w:tcPr>
            <w:tcW w:w="0" w:type="dxa"/>
            <w:vAlign w:val="bottom"/>
          </w:tcPr>
          <w:p>
            <w:pPr>
              <w:spacing w:after="0"/>
              <w:rPr>
                <w:sz w:val="1"/>
                <w:szCs w:val="1"/>
                <w:color w:val="auto"/>
              </w:rPr>
            </w:pPr>
          </w:p>
        </w:tc>
      </w:tr>
      <w:tr>
        <w:trPr>
          <w:trHeight w:val="243"/>
        </w:trPr>
        <w:tc>
          <w:tcPr>
            <w:tcW w:w="7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40,119</w:t>
            </w:r>
          </w:p>
        </w:tc>
        <w:tc>
          <w:tcPr>
            <w:tcW w:w="0" w:type="dxa"/>
            <w:vAlign w:val="bottom"/>
          </w:tcPr>
          <w:p>
            <w:pPr>
              <w:spacing w:after="0"/>
              <w:rPr>
                <w:sz w:val="1"/>
                <w:szCs w:val="1"/>
                <w:color w:val="auto"/>
              </w:rPr>
            </w:pPr>
          </w:p>
        </w:tc>
      </w:tr>
      <w:tr>
        <w:trPr>
          <w:trHeight w:val="27"/>
        </w:trPr>
        <w:tc>
          <w:tcPr>
            <w:tcW w:w="7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Billings on contracts in excess of costs and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32,696</w:t>
            </w:r>
          </w:p>
        </w:tc>
        <w:tc>
          <w:tcPr>
            <w:tcW w:w="0" w:type="dxa"/>
            <w:vAlign w:val="bottom"/>
          </w:tcPr>
          <w:p>
            <w:pPr>
              <w:spacing w:after="0"/>
              <w:rPr>
                <w:sz w:val="1"/>
                <w:szCs w:val="1"/>
                <w:color w:val="auto"/>
              </w:rPr>
            </w:pPr>
          </w:p>
        </w:tc>
      </w:tr>
      <w:tr>
        <w:trPr>
          <w:trHeight w:val="243"/>
        </w:trPr>
        <w:tc>
          <w:tcPr>
            <w:tcW w:w="7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11,272</w:t>
            </w:r>
          </w:p>
        </w:tc>
        <w:tc>
          <w:tcPr>
            <w:tcW w:w="0" w:type="dxa"/>
            <w:vAlign w:val="bottom"/>
          </w:tcPr>
          <w:p>
            <w:pPr>
              <w:spacing w:after="0"/>
              <w:rPr>
                <w:sz w:val="1"/>
                <w:szCs w:val="1"/>
                <w:color w:val="auto"/>
              </w:rPr>
            </w:pPr>
          </w:p>
        </w:tc>
      </w:tr>
      <w:tr>
        <w:trPr>
          <w:trHeight w:val="27"/>
        </w:trPr>
        <w:tc>
          <w:tcPr>
            <w:tcW w:w="7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debt</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0" w:type="dxa"/>
            <w:vAlign w:val="bottom"/>
          </w:tcPr>
          <w:p>
            <w:pPr>
              <w:spacing w:after="0"/>
              <w:rPr>
                <w:sz w:val="1"/>
                <w:szCs w:val="1"/>
                <w:color w:val="auto"/>
              </w:rPr>
            </w:pPr>
          </w:p>
        </w:tc>
      </w:tr>
      <w:tr>
        <w:trPr>
          <w:trHeight w:val="243"/>
        </w:trPr>
        <w:tc>
          <w:tcPr>
            <w:tcW w:w="7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118,314</w:t>
            </w:r>
          </w:p>
        </w:tc>
        <w:tc>
          <w:tcPr>
            <w:tcW w:w="0" w:type="dxa"/>
            <w:vAlign w:val="bottom"/>
          </w:tcPr>
          <w:p>
            <w:pPr>
              <w:spacing w:after="0"/>
              <w:rPr>
                <w:sz w:val="1"/>
                <w:szCs w:val="1"/>
                <w:color w:val="auto"/>
              </w:rPr>
            </w:pPr>
          </w:p>
        </w:tc>
      </w:tr>
      <w:tr>
        <w:trPr>
          <w:trHeight w:val="27"/>
        </w:trPr>
        <w:tc>
          <w:tcPr>
            <w:tcW w:w="60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00" w:type="dxa"/>
            <w:vAlign w:val="bottom"/>
            <w:tcBorders>
              <w:bottom w:val="single" w:sz="8" w:color="CCEEFF"/>
            </w:tcBorders>
            <w:shd w:val="clear" w:color="auto" w:fill="CCEEFF"/>
          </w:tcPr>
          <w:p>
            <w:pPr>
              <w:spacing w:after="0"/>
              <w:rPr>
                <w:sz w:val="22"/>
                <w:szCs w:val="22"/>
                <w:color w:val="auto"/>
              </w:rPr>
            </w:pPr>
          </w:p>
        </w:tc>
        <w:tc>
          <w:tcPr>
            <w:tcW w:w="69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361,786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276,857</w:t>
            </w:r>
          </w:p>
        </w:tc>
        <w:tc>
          <w:tcPr>
            <w:tcW w:w="0" w:type="dxa"/>
            <w:vAlign w:val="bottom"/>
          </w:tcPr>
          <w:p>
            <w:pPr>
              <w:spacing w:after="0"/>
              <w:rPr>
                <w:sz w:val="1"/>
                <w:szCs w:val="1"/>
                <w:color w:val="auto"/>
              </w:rPr>
            </w:pPr>
          </w:p>
        </w:tc>
      </w:tr>
      <w:tr>
        <w:trPr>
          <w:trHeight w:val="237"/>
        </w:trPr>
        <w:tc>
          <w:tcPr>
            <w:tcW w:w="7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212,500</w:t>
            </w:r>
          </w:p>
        </w:tc>
        <w:tc>
          <w:tcPr>
            <w:tcW w:w="0" w:type="dxa"/>
            <w:vAlign w:val="bottom"/>
          </w:tcPr>
          <w:p>
            <w:pPr>
              <w:spacing w:after="0"/>
              <w:rPr>
                <w:sz w:val="1"/>
                <w:szCs w:val="1"/>
                <w:color w:val="auto"/>
              </w:rPr>
            </w:pPr>
          </w:p>
        </w:tc>
      </w:tr>
      <w:tr>
        <w:trPr>
          <w:trHeight w:val="27"/>
        </w:trPr>
        <w:tc>
          <w:tcPr>
            <w:tcW w:w="7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43,163</w:t>
            </w:r>
          </w:p>
        </w:tc>
        <w:tc>
          <w:tcPr>
            <w:tcW w:w="0" w:type="dxa"/>
            <w:vAlign w:val="bottom"/>
          </w:tcPr>
          <w:p>
            <w:pPr>
              <w:spacing w:after="0"/>
              <w:rPr>
                <w:sz w:val="1"/>
                <w:szCs w:val="1"/>
                <w:color w:val="auto"/>
              </w:rPr>
            </w:pPr>
          </w:p>
        </w:tc>
      </w:tr>
      <w:tr>
        <w:trPr>
          <w:trHeight w:val="243"/>
        </w:trPr>
        <w:tc>
          <w:tcPr>
            <w:tcW w:w="7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Non-current self-insurance reserves</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22,831</w:t>
            </w:r>
          </w:p>
        </w:tc>
        <w:tc>
          <w:tcPr>
            <w:tcW w:w="0" w:type="dxa"/>
            <w:vAlign w:val="bottom"/>
          </w:tcPr>
          <w:p>
            <w:pPr>
              <w:spacing w:after="0"/>
              <w:rPr>
                <w:sz w:val="1"/>
                <w:szCs w:val="1"/>
                <w:color w:val="auto"/>
              </w:rPr>
            </w:pPr>
          </w:p>
        </w:tc>
      </w:tr>
      <w:tr>
        <w:trPr>
          <w:trHeight w:val="27"/>
        </w:trPr>
        <w:tc>
          <w:tcPr>
            <w:tcW w:w="7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56,862</w:t>
            </w:r>
          </w:p>
        </w:tc>
        <w:tc>
          <w:tcPr>
            <w:tcW w:w="0" w:type="dxa"/>
            <w:vAlign w:val="bottom"/>
          </w:tcPr>
          <w:p>
            <w:pPr>
              <w:spacing w:after="0"/>
              <w:rPr>
                <w:sz w:val="1"/>
                <w:szCs w:val="1"/>
                <w:color w:val="auto"/>
              </w:rPr>
            </w:pPr>
          </w:p>
        </w:tc>
      </w:tr>
      <w:tr>
        <w:trPr>
          <w:trHeight w:val="243"/>
        </w:trPr>
        <w:tc>
          <w:tcPr>
            <w:tcW w:w="7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8)</w:t>
            </w: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560" w:type="dxa"/>
            <w:vAlign w:val="bottom"/>
            <w:gridSpan w:val="3"/>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of $0.33-1/3 par value; authorized 50,000,000 shares; issued and outstanding</w:t>
            </w:r>
          </w:p>
        </w:tc>
        <w:tc>
          <w:tcPr>
            <w:tcW w:w="24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0" w:type="dxa"/>
            <w:vAlign w:val="bottom"/>
          </w:tcPr>
          <w:p>
            <w:pPr>
              <w:spacing w:after="0"/>
              <w:rPr>
                <w:sz w:val="1"/>
                <w:szCs w:val="1"/>
                <w:color w:val="auto"/>
              </w:rPr>
            </w:pPr>
          </w:p>
        </w:tc>
      </w:tr>
      <w:tr>
        <w:trPr>
          <w:trHeight w:val="230"/>
        </w:trPr>
        <w:tc>
          <w:tcPr>
            <w:tcW w:w="75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26,467,450 and 26,443,166 respectively</w:t>
            </w:r>
          </w:p>
        </w:tc>
        <w:tc>
          <w:tcPr>
            <w:tcW w:w="24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154,016</w:t>
            </w:r>
          </w:p>
        </w:tc>
        <w:tc>
          <w:tcPr>
            <w:tcW w:w="0" w:type="dxa"/>
            <w:vAlign w:val="bottom"/>
          </w:tcPr>
          <w:p>
            <w:pPr>
              <w:spacing w:after="0"/>
              <w:rPr>
                <w:sz w:val="1"/>
                <w:szCs w:val="1"/>
                <w:color w:val="auto"/>
              </w:rPr>
            </w:pPr>
          </w:p>
        </w:tc>
      </w:tr>
      <w:tr>
        <w:trPr>
          <w:trHeight w:val="243"/>
        </w:trPr>
        <w:tc>
          <w:tcPr>
            <w:tcW w:w="7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388,010</w:t>
            </w:r>
          </w:p>
        </w:tc>
        <w:tc>
          <w:tcPr>
            <w:tcW w:w="0" w:type="dxa"/>
            <w:vAlign w:val="bottom"/>
          </w:tcPr>
          <w:p>
            <w:pPr>
              <w:spacing w:after="0"/>
              <w:rPr>
                <w:sz w:val="1"/>
                <w:szCs w:val="1"/>
                <w:color w:val="auto"/>
              </w:rPr>
            </w:pPr>
          </w:p>
        </w:tc>
      </w:tr>
      <w:tr>
        <w:trPr>
          <w:trHeight w:val="27"/>
        </w:trPr>
        <w:tc>
          <w:tcPr>
            <w:tcW w:w="7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held in trust</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43"/>
        </w:trPr>
        <w:tc>
          <w:tcPr>
            <w:tcW w:w="7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Deferred compensation obligations</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7"/>
        </w:trPr>
        <w:tc>
          <w:tcPr>
            <w:tcW w:w="7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6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(34,062)</w:t>
            </w:r>
          </w:p>
        </w:tc>
        <w:tc>
          <w:tcPr>
            <w:tcW w:w="0" w:type="dxa"/>
            <w:vAlign w:val="bottom"/>
          </w:tcPr>
          <w:p>
            <w:pPr>
              <w:spacing w:after="0"/>
              <w:rPr>
                <w:sz w:val="1"/>
                <w:szCs w:val="1"/>
                <w:color w:val="auto"/>
              </w:rPr>
            </w:pPr>
          </w:p>
        </w:tc>
      </w:tr>
      <w:tr>
        <w:trPr>
          <w:trHeight w:val="236"/>
        </w:trPr>
        <w:tc>
          <w:tcPr>
            <w:tcW w:w="600" w:type="dxa"/>
            <w:vAlign w:val="bottom"/>
          </w:tcPr>
          <w:p>
            <w:pPr>
              <w:spacing w:after="0"/>
              <w:rPr>
                <w:sz w:val="20"/>
                <w:szCs w:val="20"/>
                <w:color w:val="auto"/>
              </w:rPr>
            </w:pPr>
          </w:p>
        </w:tc>
        <w:tc>
          <w:tcPr>
            <w:tcW w:w="6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526,168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516,778</w:t>
            </w:r>
          </w:p>
        </w:tc>
        <w:tc>
          <w:tcPr>
            <w:tcW w:w="0" w:type="dxa"/>
            <w:vAlign w:val="bottom"/>
          </w:tcPr>
          <w:p>
            <w:pPr>
              <w:spacing w:after="0"/>
              <w:rPr>
                <w:sz w:val="1"/>
                <w:szCs w:val="1"/>
                <w:color w:val="auto"/>
              </w:rPr>
            </w:pPr>
          </w:p>
        </w:tc>
      </w:tr>
      <w:tr>
        <w:trPr>
          <w:trHeight w:val="27"/>
        </w:trPr>
        <w:tc>
          <w:tcPr>
            <w:tcW w:w="60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00" w:type="dxa"/>
            <w:vAlign w:val="bottom"/>
            <w:tcBorders>
              <w:bottom w:val="single" w:sz="8" w:color="CCEEFF"/>
            </w:tcBorders>
            <w:shd w:val="clear" w:color="auto" w:fill="CCEEFF"/>
          </w:tcPr>
          <w:p>
            <w:pPr>
              <w:spacing w:after="0"/>
              <w:rPr>
                <w:sz w:val="24"/>
                <w:szCs w:val="24"/>
                <w:color w:val="auto"/>
              </w:rPr>
            </w:pPr>
          </w:p>
        </w:tc>
        <w:tc>
          <w:tcPr>
            <w:tcW w:w="69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1,054,498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1,128,991</w:t>
            </w:r>
          </w:p>
        </w:tc>
        <w:tc>
          <w:tcPr>
            <w:tcW w:w="0" w:type="dxa"/>
            <w:vAlign w:val="bottom"/>
          </w:tcPr>
          <w:p>
            <w:pPr>
              <w:spacing w:after="0"/>
              <w:rPr>
                <w:sz w:val="1"/>
                <w:szCs w:val="1"/>
                <w:color w:val="auto"/>
              </w:rPr>
            </w:pP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3040" w:type="dxa"/>
            <w:vAlign w:val="bottom"/>
            <w:gridSpan w:val="4"/>
          </w:tcPr>
          <w:p>
            <w:pPr>
              <w:jc w:val="right"/>
              <w:ind w:right="87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33"/>
        </w:trPr>
        <w:tc>
          <w:tcPr>
            <w:tcW w:w="478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5"/>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August 29, 2020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August 31, 2019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August 29, 2020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August 31, 2019</w:t>
            </w:r>
          </w:p>
        </w:tc>
      </w:tr>
      <w:tr>
        <w:trPr>
          <w:trHeight w:val="248"/>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357,058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712,424</w:t>
            </w:r>
          </w:p>
        </w:tc>
      </w:tr>
      <w:tr>
        <w:trPr>
          <w:trHeight w:val="24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270,851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545,250</w:t>
            </w:r>
          </w:p>
        </w:tc>
      </w:tr>
      <w:tr>
        <w:trPr>
          <w:trHeight w:val="27"/>
        </w:trPr>
        <w:tc>
          <w:tcPr>
            <w:tcW w:w="4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86,207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167,174</w:t>
            </w:r>
          </w:p>
        </w:tc>
      </w:tr>
      <w:tr>
        <w:trPr>
          <w:trHeight w:val="24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58,631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116,558</w:t>
            </w:r>
          </w:p>
        </w:tc>
      </w:tr>
      <w:tr>
        <w:trPr>
          <w:trHeight w:val="27"/>
        </w:trPr>
        <w:tc>
          <w:tcPr>
            <w:tcW w:w="4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47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27,576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50,616</w:t>
            </w:r>
          </w:p>
        </w:tc>
      </w:tr>
      <w:tr>
        <w:trPr>
          <w:trHeight w:val="24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37"/>
        </w:trPr>
        <w:tc>
          <w:tcPr>
            <w:tcW w:w="4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25,373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45,803</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11,081</w:t>
            </w:r>
          </w:p>
        </w:tc>
      </w:tr>
      <w:tr>
        <w:trPr>
          <w:trHeight w:val="237"/>
        </w:trPr>
        <w:tc>
          <w:tcPr>
            <w:tcW w:w="4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19,279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34,722</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4"/>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4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26,413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26,505</w:t>
            </w:r>
          </w:p>
        </w:tc>
      </w:tr>
      <w:tr>
        <w:trPr>
          <w:trHeight w:val="24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26,736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26,789</w:t>
            </w: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5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COMPREHENSIVE EARNINGS </w:t>
      </w:r>
      <w:r>
        <w:rPr>
          <w:rFonts w:ascii="Times New Roman" w:cs="Times New Roman" w:eastAsia="Times New Roman" w:hAnsi="Times New Roman"/>
          <w:sz w:val="18"/>
          <w:szCs w:val="18"/>
          <w:color w:val="auto"/>
        </w:rPr>
        <w:t>(unaudited)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3020" w:type="dxa"/>
            <w:vAlign w:val="bottom"/>
            <w:gridSpan w:val="4"/>
          </w:tcPr>
          <w:p>
            <w:pPr>
              <w:jc w:val="right"/>
              <w:ind w:right="85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480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August 29, 2020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August 31, 2019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August 29, 2020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August 31, 2019</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20,534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34,722</w:t>
            </w:r>
          </w:p>
        </w:tc>
        <w:tc>
          <w:tcPr>
            <w:tcW w:w="0" w:type="dxa"/>
            <w:vAlign w:val="bottom"/>
          </w:tcPr>
          <w:p>
            <w:pPr>
              <w:spacing w:after="0"/>
              <w:rPr>
                <w:sz w:val="1"/>
                <w:szCs w:val="1"/>
                <w:color w:val="auto"/>
              </w:rPr>
            </w:pPr>
          </w:p>
        </w:tc>
      </w:tr>
      <w:tr>
        <w:trPr>
          <w:trHeight w:val="243"/>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80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gain on marketable securities, net of $13, $2,</w:t>
            </w:r>
          </w:p>
        </w:tc>
        <w:tc>
          <w:tcPr>
            <w:tcW w:w="1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$39 and $49 of tax expense, respectively</w:t>
            </w:r>
          </w:p>
        </w:tc>
        <w:tc>
          <w:tcPr>
            <w:tcW w:w="16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0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gain on derivative instruments, net of $404,</w:t>
            </w:r>
          </w:p>
        </w:tc>
        <w:tc>
          <w:tcPr>
            <w:tcW w:w="1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4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$25, $215 and $27 of tax expense, respectively</w:t>
            </w:r>
          </w:p>
        </w:tc>
        <w:tc>
          <w:tcPr>
            <w:tcW w:w="1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8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7"/>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21,372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4"/>
          </w:tcPr>
          <w:p>
            <w:pPr>
              <w:jc w:val="right"/>
              <w:ind w:right="109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33"/>
        </w:trPr>
        <w:tc>
          <w:tcPr>
            <w:tcW w:w="758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5"/>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August 29, 2020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August 31, 2019</w:t>
            </w:r>
          </w:p>
        </w:tc>
      </w:tr>
      <w:tr>
        <w:trPr>
          <w:trHeight w:val="248"/>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34,722</w:t>
            </w:r>
          </w:p>
        </w:tc>
      </w:tr>
      <w:tr>
        <w:trPr>
          <w:trHeight w:val="27"/>
        </w:trPr>
        <w:tc>
          <w:tcPr>
            <w:tcW w:w="7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22,759</w:t>
            </w:r>
          </w:p>
        </w:tc>
      </w:tr>
      <w:tr>
        <w:trPr>
          <w:trHeight w:val="27"/>
        </w:trPr>
        <w:tc>
          <w:tcPr>
            <w:tcW w:w="7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43"/>
        </w:trPr>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9,861</w:t>
            </w:r>
          </w:p>
        </w:tc>
      </w:tr>
      <w:tr>
        <w:trPr>
          <w:trHeight w:val="27"/>
        </w:trPr>
        <w:tc>
          <w:tcPr>
            <w:tcW w:w="7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w:t>
            </w:r>
          </w:p>
        </w:tc>
      </w:tr>
      <w:tr>
        <w:trPr>
          <w:trHeight w:val="243"/>
        </w:trPr>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r>
      <w:tr>
        <w:trPr>
          <w:trHeight w:val="27"/>
        </w:trPr>
        <w:tc>
          <w:tcPr>
            <w:tcW w:w="7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(9,215)</w:t>
            </w:r>
          </w:p>
        </w:tc>
      </w:tr>
      <w:tr>
        <w:trPr>
          <w:trHeight w:val="27"/>
        </w:trPr>
        <w:tc>
          <w:tcPr>
            <w:tcW w:w="7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r>
      <w:tr>
        <w:trPr>
          <w:trHeight w:val="243"/>
        </w:trPr>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Costs and earnings on contracts in excess of billings</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(19,865)</w:t>
            </w:r>
          </w:p>
        </w:tc>
      </w:tr>
      <w:tr>
        <w:trPr>
          <w:trHeight w:val="27"/>
        </w:trPr>
        <w:tc>
          <w:tcPr>
            <w:tcW w:w="7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(19,044)</w:t>
            </w:r>
          </w:p>
        </w:tc>
      </w:tr>
      <w:tr>
        <w:trPr>
          <w:trHeight w:val="243"/>
        </w:trPr>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Billings on contracts in excess of costs and earnings</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r>
      <w:tr>
        <w:trPr>
          <w:trHeight w:val="27"/>
        </w:trPr>
        <w:tc>
          <w:tcPr>
            <w:tcW w:w="7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Refundable and accrued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w:t>
            </w:r>
          </w:p>
        </w:tc>
      </w:tr>
      <w:tr>
        <w:trPr>
          <w:trHeight w:val="243"/>
        </w:trPr>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w:t>
            </w:r>
          </w:p>
        </w:tc>
      </w:tr>
      <w:tr>
        <w:trPr>
          <w:trHeight w:val="27"/>
        </w:trPr>
        <w:tc>
          <w:tcPr>
            <w:tcW w:w="7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r>
      <w:tr>
        <w:trPr>
          <w:trHeight w:val="237"/>
        </w:trPr>
        <w:tc>
          <w:tcPr>
            <w:tcW w:w="7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85,330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17,802</w:t>
            </w:r>
          </w:p>
        </w:tc>
      </w:tr>
      <w:tr>
        <w:trPr>
          <w:trHeight w:val="27"/>
        </w:trPr>
        <w:tc>
          <w:tcPr>
            <w:tcW w:w="7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43"/>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(22,559)</w:t>
            </w:r>
          </w:p>
        </w:tc>
      </w:tr>
      <w:tr>
        <w:trPr>
          <w:trHeight w:val="27"/>
        </w:trPr>
        <w:tc>
          <w:tcPr>
            <w:tcW w:w="7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37"/>
        </w:trPr>
        <w:tc>
          <w:tcPr>
            <w:tcW w:w="7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2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(23,010)</w:t>
            </w:r>
          </w:p>
        </w:tc>
      </w:tr>
      <w:tr>
        <w:trPr>
          <w:trHeight w:val="27"/>
        </w:trPr>
        <w:tc>
          <w:tcPr>
            <w:tcW w:w="7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43"/>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184,500</w:t>
            </w:r>
          </w:p>
        </w:tc>
      </w:tr>
      <w:tr>
        <w:trPr>
          <w:trHeight w:val="27"/>
        </w:trPr>
        <w:tc>
          <w:tcPr>
            <w:tcW w:w="7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borrowings on debt</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43"/>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(307,500)</w:t>
            </w:r>
          </w:p>
        </w:tc>
      </w:tr>
      <w:tr>
        <w:trPr>
          <w:trHeight w:val="27"/>
        </w:trPr>
        <w:tc>
          <w:tcPr>
            <w:tcW w:w="7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(20,010)</w:t>
            </w:r>
          </w:p>
        </w:tc>
      </w:tr>
      <w:tr>
        <w:trPr>
          <w:trHeight w:val="243"/>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(9,203)</w:t>
            </w:r>
          </w:p>
        </w:tc>
      </w:tr>
      <w:tr>
        <w:trPr>
          <w:trHeight w:val="27"/>
        </w:trPr>
        <w:tc>
          <w:tcPr>
            <w:tcW w:w="7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r>
      <w:tr>
        <w:trPr>
          <w:trHeight w:val="237"/>
        </w:trPr>
        <w:tc>
          <w:tcPr>
            <w:tcW w:w="7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2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(66,062)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w:t>
            </w:r>
          </w:p>
        </w:tc>
      </w:tr>
      <w:tr>
        <w:trPr>
          <w:trHeight w:val="27"/>
        </w:trPr>
        <w:tc>
          <w:tcPr>
            <w:tcW w:w="7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(9,914)</w:t>
            </w:r>
          </w:p>
        </w:tc>
      </w:tr>
      <w:tr>
        <w:trPr>
          <w:trHeight w:val="243"/>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7"/>
        </w:trPr>
        <w:tc>
          <w:tcPr>
            <w:tcW w:w="7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29,241</w:t>
            </w:r>
          </w:p>
        </w:tc>
      </w:tr>
      <w:tr>
        <w:trPr>
          <w:trHeight w:val="237"/>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19,445</w:t>
            </w:r>
          </w:p>
        </w:tc>
      </w:tr>
      <w:tr>
        <w:trPr>
          <w:trHeight w:val="27"/>
        </w:trPr>
        <w:tc>
          <w:tcPr>
            <w:tcW w:w="7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7"/>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Activity</w:t>
            </w:r>
          </w:p>
        </w:tc>
        <w:tc>
          <w:tcPr>
            <w:tcW w:w="2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r>
      <w:tr>
        <w:trPr>
          <w:trHeight w:val="243"/>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 in 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Deferred</w:t>
            </w:r>
          </w:p>
        </w:tc>
        <w:tc>
          <w:tcPr>
            <w:tcW w:w="10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2"/>
                <w:szCs w:val="12"/>
                <w:color w:val="auto"/>
              </w:rPr>
            </w:pPr>
          </w:p>
        </w:tc>
        <w:tc>
          <w:tcPr>
            <w:tcW w:w="760" w:type="dxa"/>
            <w:vAlign w:val="bottom"/>
          </w:tcPr>
          <w:p>
            <w:pPr>
              <w:jc w:val="center"/>
              <w:ind w:right="11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2"/>
                <w:szCs w:val="12"/>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2"/>
                <w:szCs w:val="12"/>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Stock Held in</w:t>
            </w: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6"/>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Trust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rPr>
              <w:t>Obligation</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February 29, 2020</w:t>
            </w: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26,443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8,814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154,016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388,010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685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(34,062)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516,778</w:t>
            </w:r>
          </w:p>
        </w:tc>
        <w:tc>
          <w:tcPr>
            <w:tcW w:w="0" w:type="dxa"/>
            <w:vAlign w:val="bottom"/>
          </w:tcPr>
          <w:p>
            <w:pPr>
              <w:spacing w:after="0"/>
              <w:rPr>
                <w:sz w:val="1"/>
                <w:szCs w:val="1"/>
                <w:color w:val="auto"/>
              </w:rPr>
            </w:pPr>
          </w:p>
        </w:tc>
      </w:tr>
      <w:tr>
        <w:trPr>
          <w:trHeight w:val="19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2,876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2,876</w:t>
            </w:r>
          </w:p>
        </w:tc>
        <w:tc>
          <w:tcPr>
            <w:tcW w:w="0" w:type="dxa"/>
            <w:vAlign w:val="bottom"/>
          </w:tcPr>
          <w:p>
            <w:pPr>
              <w:spacing w:after="0"/>
              <w:rPr>
                <w:sz w:val="1"/>
                <w:szCs w:val="1"/>
                <w:color w:val="auto"/>
              </w:rPr>
            </w:pPr>
          </w:p>
        </w:tc>
      </w:tr>
      <w:tr>
        <w:trPr>
          <w:trHeight w:val="142"/>
        </w:trPr>
        <w:tc>
          <w:tcPr>
            <w:tcW w:w="32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Unrealized gain on marketable securities, net of $26 tax</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Unrealized loss on foreign currency hedge, net of $189</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 benefit</w:t>
            </w: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(6,151)</w:t>
            </w:r>
          </w:p>
        </w:tc>
        <w:tc>
          <w:tcPr>
            <w:tcW w:w="0" w:type="dxa"/>
            <w:vAlign w:val="bottom"/>
          </w:tcPr>
          <w:p>
            <w:pPr>
              <w:spacing w:after="0"/>
              <w:rPr>
                <w:sz w:val="1"/>
                <w:szCs w:val="1"/>
                <w:color w:val="auto"/>
              </w:rPr>
            </w:pPr>
          </w:p>
        </w:tc>
      </w:tr>
      <w:tr>
        <w:trPr>
          <w:trHeight w:val="19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1,406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1,406</w:t>
            </w:r>
          </w:p>
        </w:tc>
        <w:tc>
          <w:tcPr>
            <w:tcW w:w="0" w:type="dxa"/>
            <w:vAlign w:val="bottom"/>
          </w:tcPr>
          <w:p>
            <w:pPr>
              <w:spacing w:after="0"/>
              <w:rPr>
                <w:sz w:val="1"/>
                <w:szCs w:val="1"/>
                <w:color w:val="auto"/>
              </w:rPr>
            </w:pPr>
          </w:p>
        </w:tc>
      </w:tr>
      <w:tr>
        <w:trPr>
          <w:trHeight w:val="19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(4,731)</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19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(4,872)</w:t>
            </w:r>
          </w:p>
        </w:tc>
        <w:tc>
          <w:tcPr>
            <w:tcW w:w="0" w:type="dxa"/>
            <w:vAlign w:val="bottom"/>
          </w:tcPr>
          <w:p>
            <w:pPr>
              <w:spacing w:after="0"/>
              <w:rPr>
                <w:sz w:val="1"/>
                <w:szCs w:val="1"/>
                <w:color w:val="auto"/>
              </w:rPr>
            </w:pPr>
          </w:p>
        </w:tc>
      </w:tr>
      <w:tr>
        <w:trPr>
          <w:trHeight w:val="203"/>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May 30, 2020</w:t>
            </w:r>
          </w:p>
        </w:tc>
        <w:tc>
          <w:tcPr>
            <w:tcW w:w="9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26,369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8,790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153,862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382,225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696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(40,733)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504,144</w:t>
            </w:r>
          </w:p>
        </w:tc>
        <w:tc>
          <w:tcPr>
            <w:tcW w:w="0" w:type="dxa"/>
            <w:vAlign w:val="bottom"/>
          </w:tcPr>
          <w:p>
            <w:pPr>
              <w:spacing w:after="0"/>
              <w:rPr>
                <w:sz w:val="1"/>
                <w:szCs w:val="1"/>
                <w:color w:val="auto"/>
              </w:rPr>
            </w:pPr>
          </w:p>
        </w:tc>
      </w:tr>
      <w:tr>
        <w:trPr>
          <w:trHeight w:val="19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17,658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17,658</w:t>
            </w:r>
          </w:p>
        </w:tc>
        <w:tc>
          <w:tcPr>
            <w:tcW w:w="0" w:type="dxa"/>
            <w:vAlign w:val="bottom"/>
          </w:tcPr>
          <w:p>
            <w:pPr>
              <w:spacing w:after="0"/>
              <w:rPr>
                <w:sz w:val="1"/>
                <w:szCs w:val="1"/>
                <w:color w:val="auto"/>
              </w:rPr>
            </w:pPr>
          </w:p>
        </w:tc>
      </w:tr>
      <w:tr>
        <w:trPr>
          <w:trHeight w:val="142"/>
        </w:trPr>
        <w:tc>
          <w:tcPr>
            <w:tcW w:w="32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Unrealized gain on marketable securities, net of $13 tax</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Unrealized gain on foreign currency hedge, net of $404</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1,319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1,319</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 expense</w:t>
            </w: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6,139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6,139</w:t>
            </w:r>
          </w:p>
        </w:tc>
        <w:tc>
          <w:tcPr>
            <w:tcW w:w="0" w:type="dxa"/>
            <w:vAlign w:val="bottom"/>
          </w:tcPr>
          <w:p>
            <w:pPr>
              <w:spacing w:after="0"/>
              <w:rPr>
                <w:sz w:val="1"/>
                <w:szCs w:val="1"/>
                <w:color w:val="auto"/>
              </w:rPr>
            </w:pPr>
          </w:p>
        </w:tc>
      </w:tr>
      <w:tr>
        <w:trPr>
          <w:trHeight w:val="19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2,256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2,256</w:t>
            </w:r>
          </w:p>
        </w:tc>
        <w:tc>
          <w:tcPr>
            <w:tcW w:w="0" w:type="dxa"/>
            <w:vAlign w:val="bottom"/>
          </w:tcPr>
          <w:p>
            <w:pPr>
              <w:spacing w:after="0"/>
              <w:rPr>
                <w:sz w:val="1"/>
                <w:szCs w:val="1"/>
                <w:color w:val="auto"/>
              </w:rPr>
            </w:pPr>
          </w:p>
        </w:tc>
      </w:tr>
      <w:tr>
        <w:trPr>
          <w:trHeight w:val="19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0" w:type="dxa"/>
            <w:vAlign w:val="bottom"/>
          </w:tcPr>
          <w:p>
            <w:pPr>
              <w:spacing w:after="0"/>
              <w:rPr>
                <w:sz w:val="1"/>
                <w:szCs w:val="1"/>
                <w:color w:val="auto"/>
              </w:rPr>
            </w:pPr>
          </w:p>
        </w:tc>
      </w:tr>
      <w:tr>
        <w:trPr>
          <w:trHeight w:val="20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(4,879)</w:t>
            </w:r>
          </w:p>
        </w:tc>
        <w:tc>
          <w:tcPr>
            <w:tcW w:w="0" w:type="dxa"/>
            <w:vAlign w:val="bottom"/>
          </w:tcPr>
          <w:p>
            <w:pPr>
              <w:spacing w:after="0"/>
              <w:rPr>
                <w:sz w:val="1"/>
                <w:szCs w:val="1"/>
                <w:color w:val="auto"/>
              </w:rPr>
            </w:pPr>
          </w:p>
        </w:tc>
      </w:tr>
      <w:tr>
        <w:trPr>
          <w:trHeight w:val="20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August 29, 2020</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26,467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8,823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155,956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394,614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707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(33,225)</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526,168</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Deferred</w:t>
            </w:r>
          </w:p>
        </w:tc>
        <w:tc>
          <w:tcPr>
            <w:tcW w:w="10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2"/>
                <w:szCs w:val="12"/>
                <w:color w:val="auto"/>
              </w:rPr>
            </w:pPr>
          </w:p>
        </w:tc>
        <w:tc>
          <w:tcPr>
            <w:tcW w:w="760" w:type="dxa"/>
            <w:vAlign w:val="bottom"/>
          </w:tcPr>
          <w:p>
            <w:pPr>
              <w:jc w:val="center"/>
              <w:ind w:right="11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2"/>
                <w:szCs w:val="12"/>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2"/>
                <w:szCs w:val="12"/>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Stock Held in</w:t>
            </w: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6"/>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Trust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rPr>
              <w:t>Obligation</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2, 2019</w:t>
            </w: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27,015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9,005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151,842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367,597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755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(32,127)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496,317</w:t>
            </w:r>
          </w:p>
        </w:tc>
        <w:tc>
          <w:tcPr>
            <w:tcW w:w="0" w:type="dxa"/>
            <w:vAlign w:val="bottom"/>
          </w:tcPr>
          <w:p>
            <w:pPr>
              <w:spacing w:after="0"/>
              <w:rPr>
                <w:sz w:val="1"/>
                <w:szCs w:val="1"/>
                <w:color w:val="auto"/>
              </w:rPr>
            </w:pPr>
          </w:p>
        </w:tc>
      </w:tr>
      <w:tr>
        <w:trPr>
          <w:trHeight w:val="19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15,443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15,443</w:t>
            </w:r>
          </w:p>
        </w:tc>
        <w:tc>
          <w:tcPr>
            <w:tcW w:w="0" w:type="dxa"/>
            <w:vAlign w:val="bottom"/>
          </w:tcPr>
          <w:p>
            <w:pPr>
              <w:spacing w:after="0"/>
              <w:rPr>
                <w:sz w:val="1"/>
                <w:szCs w:val="1"/>
                <w:color w:val="auto"/>
              </w:rPr>
            </w:pPr>
          </w:p>
        </w:tc>
      </w:tr>
      <w:tr>
        <w:trPr>
          <w:trHeight w:val="142"/>
        </w:trPr>
        <w:tc>
          <w:tcPr>
            <w:tcW w:w="32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Unrealized gain on marketable securities, net of $47 tax</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Unrealized gain on foreign currency hedge, net of $2 tax</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0" w:type="dxa"/>
            <w:vAlign w:val="bottom"/>
          </w:tcPr>
          <w:p>
            <w:pPr>
              <w:spacing w:after="0"/>
              <w:rPr>
                <w:sz w:val="1"/>
                <w:szCs w:val="1"/>
                <w:color w:val="auto"/>
              </w:rPr>
            </w:pPr>
          </w:p>
        </w:tc>
      </w:tr>
      <w:tr>
        <w:trPr>
          <w:trHeight w:val="19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1,618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1,618</w:t>
            </w:r>
          </w:p>
        </w:tc>
        <w:tc>
          <w:tcPr>
            <w:tcW w:w="0" w:type="dxa"/>
            <w:vAlign w:val="bottom"/>
          </w:tcPr>
          <w:p>
            <w:pPr>
              <w:spacing w:after="0"/>
              <w:rPr>
                <w:sz w:val="1"/>
                <w:szCs w:val="1"/>
                <w:color w:val="auto"/>
              </w:rPr>
            </w:pPr>
          </w:p>
        </w:tc>
      </w:tr>
      <w:tr>
        <w:trPr>
          <w:trHeight w:val="19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(20,010)</w:t>
            </w:r>
          </w:p>
        </w:tc>
        <w:tc>
          <w:tcPr>
            <w:tcW w:w="0" w:type="dxa"/>
            <w:vAlign w:val="bottom"/>
          </w:tcPr>
          <w:p>
            <w:pPr>
              <w:spacing w:after="0"/>
              <w:rPr>
                <w:sz w:val="1"/>
                <w:szCs w:val="1"/>
                <w:color w:val="auto"/>
              </w:rPr>
            </w:pPr>
          </w:p>
        </w:tc>
      </w:tr>
      <w:tr>
        <w:trPr>
          <w:trHeight w:val="20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0" w:type="dxa"/>
            <w:vAlign w:val="bottom"/>
          </w:tcPr>
          <w:p>
            <w:pPr>
              <w:spacing w:after="0"/>
              <w:rPr>
                <w:sz w:val="1"/>
                <w:szCs w:val="1"/>
                <w:color w:val="auto"/>
              </w:rPr>
            </w:pPr>
          </w:p>
        </w:tc>
      </w:tr>
      <w:tr>
        <w:trPr>
          <w:trHeight w:val="19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(4,598)</w:t>
            </w:r>
          </w:p>
        </w:tc>
        <w:tc>
          <w:tcPr>
            <w:tcW w:w="0" w:type="dxa"/>
            <w:vAlign w:val="bottom"/>
          </w:tcPr>
          <w:p>
            <w:pPr>
              <w:spacing w:after="0"/>
              <w:rPr>
                <w:sz w:val="1"/>
                <w:szCs w:val="1"/>
                <w:color w:val="auto"/>
              </w:rPr>
            </w:pPr>
          </w:p>
        </w:tc>
      </w:tr>
      <w:tr>
        <w:trPr>
          <w:trHeight w:val="203"/>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1, 2019</w:t>
            </w:r>
          </w:p>
        </w:tc>
        <w:tc>
          <w:tcPr>
            <w:tcW w:w="9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26,530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8,843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150,240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360,394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767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(34,501)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484,976</w:t>
            </w:r>
          </w:p>
        </w:tc>
        <w:tc>
          <w:tcPr>
            <w:tcW w:w="0" w:type="dxa"/>
            <w:vAlign w:val="bottom"/>
          </w:tcPr>
          <w:p>
            <w:pPr>
              <w:spacing w:after="0"/>
              <w:rPr>
                <w:sz w:val="1"/>
                <w:szCs w:val="1"/>
                <w:color w:val="auto"/>
              </w:rPr>
            </w:pPr>
          </w:p>
        </w:tc>
      </w:tr>
      <w:tr>
        <w:trPr>
          <w:trHeight w:val="19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19,279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19,279</w:t>
            </w:r>
          </w:p>
        </w:tc>
        <w:tc>
          <w:tcPr>
            <w:tcW w:w="0" w:type="dxa"/>
            <w:vAlign w:val="bottom"/>
          </w:tcPr>
          <w:p>
            <w:pPr>
              <w:spacing w:after="0"/>
              <w:rPr>
                <w:sz w:val="1"/>
                <w:szCs w:val="1"/>
                <w:color w:val="auto"/>
              </w:rPr>
            </w:pPr>
          </w:p>
        </w:tc>
      </w:tr>
      <w:tr>
        <w:trPr>
          <w:trHeight w:val="142"/>
        </w:trPr>
        <w:tc>
          <w:tcPr>
            <w:tcW w:w="32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Unrealized gain on marketable securities, net of $2 tax</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Unrealized gain on foreign currency hedge, net of $25</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 expense</w:t>
            </w: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2,465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2,465</w:t>
            </w:r>
          </w:p>
        </w:tc>
        <w:tc>
          <w:tcPr>
            <w:tcW w:w="0" w:type="dxa"/>
            <w:vAlign w:val="bottom"/>
          </w:tcPr>
          <w:p>
            <w:pPr>
              <w:spacing w:after="0"/>
              <w:rPr>
                <w:sz w:val="1"/>
                <w:szCs w:val="1"/>
                <w:color w:val="auto"/>
              </w:rPr>
            </w:pPr>
          </w:p>
        </w:tc>
      </w:tr>
      <w:tr>
        <w:trPr>
          <w:trHeight w:val="19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1,582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1,582</w:t>
            </w:r>
          </w:p>
        </w:tc>
        <w:tc>
          <w:tcPr>
            <w:tcW w:w="0" w:type="dxa"/>
            <w:vAlign w:val="bottom"/>
          </w:tcPr>
          <w:p>
            <w:pPr>
              <w:spacing w:after="0"/>
              <w:rPr>
                <w:sz w:val="1"/>
                <w:szCs w:val="1"/>
                <w:color w:val="auto"/>
              </w:rPr>
            </w:pPr>
          </w:p>
        </w:tc>
      </w:tr>
      <w:tr>
        <w:trPr>
          <w:trHeight w:val="19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20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(4,605)</w:t>
            </w:r>
          </w:p>
        </w:tc>
        <w:tc>
          <w:tcPr>
            <w:tcW w:w="0" w:type="dxa"/>
            <w:vAlign w:val="bottom"/>
          </w:tcPr>
          <w:p>
            <w:pPr>
              <w:spacing w:after="0"/>
              <w:rPr>
                <w:sz w:val="1"/>
                <w:szCs w:val="1"/>
                <w:color w:val="auto"/>
              </w:rPr>
            </w:pPr>
          </w:p>
        </w:tc>
      </w:tr>
      <w:tr>
        <w:trPr>
          <w:trHeight w:val="20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August 31, 2019</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26,554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8,851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151,735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374,439</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778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(31,944)</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503,081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consolidated financial statements of Apogee Enterprises, Inc. (we, us, our or the Company) have been prepared in accordance with accounting principles generally accepted in the United States. The information included in this Form 10-Q should be read in conjunction with the Company’s Form 10-K for the year ended February 29, 2020. We use the same accounting policies in preparing quarterly and annual financial statements. All adjustments necessary for a fair presentation of quarterly and year to date operating results are reflected herein and are of a normal, recurring nature. The results of operations for the three- and six-month periods ended August 29, 2020 are not necessarily indicative of the results to be expected for the full year.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considerations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ongoing COVID-19 pandemic continues to cause volatility and uncertainty in global markets impacting worldwide economic activity. We have experienced some delays in commercial construction projects and orders as a result of COVID-19. In our Architectural Glass and Architectural Framing segments, orders have been delayed or have slowed, as customers and end markets face some uncertainty and delays in timing of work. In our Architectural Services segment, some construction site closures or project delays have occurred, and job sites have had to adjust to increased physical distancing and health-related precautions. Within our Large-Scale Optical (LSO) segment, many customers reopened and the segment's two manufacturing locations resumed normal operations during the second quarter, after being shutdown for most of the first and second quarters, in response to governmental “stay at home” directives. We have also been impacted by quarantine-related absenteeism among our workforce, resulting in labor and capacity constraints at some of our facilities. The extent to which COVID-19 will continue to impact our business will depend on future developments and public health advancements, which are highly uncertain and cannot be predicted with confidence. However, by the end of the second quarter, we have continued to see signs of improvement, including the reopening of retailers, moderating project delays and fewer workforce absences.</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in response to COVID-19, we have implemented a variety of countermeasures to promote the health and safety of our employees during this pandemic, including health screening, physical distancing practices, enhanced cleaning, use of personal protective equipment, business travel restrictions, and remote work capabilities, in addition to quarantine-related paid leave and other employee assistance programs.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standards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At the beginning of fiscal 2021, we adopted the guidance in ASU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xml:space="preserve"> The guidance provides for a new impairment model on financial instruments which is based on expected credit losses, which was applied following a modified retrospective approach. Additionally, the new guidance makes targeted improvements to the impairment model for certain available-for-sale debt securities, including eliminating the concept of "other than temporary" from that model. The portion of the guidance related to available-for-sale debt securities was adopted following a prospective approach. The adoption of this ASU did not have a significant impact on earnings or financial condition. Refer to additional disclosures in Notes 2 and 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evaluated subsequent events for potential recognition and disclosure through the date of this filing. Subsequent to the end of the quarter, in September 2020, we sold our McCook, IL building within our LSO segment for $25.1 million. The carrying value of the building was $4.3 million, and we recognized a gain on this sale of approximately $14.8 million, net of taxes and associated transaction costs. We also entered into a separate lease agreement for this facility, which was determined to be an operating lease, and we will have approximately $8.2 million of additional future lease commitments upon commencement of this lease in September 2020. Additionally, in September 2020, we announced the retirement of our Chief Executive Officer, effective February 27, 2021, the end of our current fiscal year, and entered into a transition agreement with him.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Receivables and Contract Assets and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total revenue by timing of recognition (see Note 12 for disclosure of revenue by segment):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August 31, 2019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August 31, 2019</w:t>
            </w:r>
          </w:p>
        </w:tc>
      </w:tr>
      <w:tr>
        <w:trPr>
          <w:trHeight w:val="248"/>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at shipment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164,336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319,602</w:t>
            </w:r>
          </w:p>
        </w:tc>
      </w:tr>
      <w:tr>
        <w:trPr>
          <w:trHeight w:val="24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Recognized over time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192,722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392,822</w:t>
            </w:r>
          </w:p>
        </w:tc>
      </w:tr>
      <w:tr>
        <w:trPr>
          <w:trHeight w:val="27"/>
        </w:trPr>
        <w:tc>
          <w:tcPr>
            <w:tcW w:w="4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319,483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357,058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608,578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712,424</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Receivables reflected in the financial statements represent the net amount expected to be collected. An allowance for credit losses is established based on expected losses. Expected losses are estimated by reviewing individual accounts, considering aging, financial condition of the debtor, recent payment history, current and forecast economic conditions and other relevant factors. Upon billing, aging of receivables is monitored until collection. An account is considered current when it is within agreed upon payment terms. An account is written off when it is determined that the asset is no longer collectible. Retainage on construction contracts represents amounts withheld by our customers on long-term projects until the project reaches a level of completion where amounts are released.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February 29, 2020</w:t>
            </w:r>
          </w:p>
        </w:tc>
        <w:tc>
          <w:tcPr>
            <w:tcW w:w="0" w:type="dxa"/>
            <w:vAlign w:val="bottom"/>
          </w:tcPr>
          <w:p>
            <w:pPr>
              <w:spacing w:after="0"/>
              <w:rPr>
                <w:sz w:val="1"/>
                <w:szCs w:val="1"/>
                <w:color w:val="auto"/>
              </w:rPr>
            </w:pPr>
          </w:p>
        </w:tc>
      </w:tr>
      <w:tr>
        <w:trPr>
          <w:trHeight w:val="248"/>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141,126</w:t>
            </w:r>
          </w:p>
        </w:tc>
        <w:tc>
          <w:tcPr>
            <w:tcW w:w="0" w:type="dxa"/>
            <w:vAlign w:val="bottom"/>
          </w:tcPr>
          <w:p>
            <w:pPr>
              <w:spacing w:after="0"/>
              <w:rPr>
                <w:sz w:val="1"/>
                <w:szCs w:val="1"/>
                <w:color w:val="auto"/>
              </w:rPr>
            </w:pPr>
          </w:p>
        </w:tc>
      </w:tr>
      <w:tr>
        <w:trPr>
          <w:trHeight w:val="243"/>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contracts</w:t>
            </w: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20,808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retainage</w:t>
            </w: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37,341</w:t>
            </w:r>
          </w:p>
        </w:tc>
        <w:tc>
          <w:tcPr>
            <w:tcW w:w="0" w:type="dxa"/>
            <w:vAlign w:val="bottom"/>
          </w:tcPr>
          <w:p>
            <w:pPr>
              <w:spacing w:after="0"/>
              <w:rPr>
                <w:sz w:val="1"/>
                <w:szCs w:val="1"/>
                <w:color w:val="auto"/>
              </w:rPr>
            </w:pPr>
          </w:p>
        </w:tc>
      </w:tr>
      <w:tr>
        <w:trPr>
          <w:trHeight w:val="237"/>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2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167,649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199,275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63"/>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receivables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165,682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196,806</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w:t>
            </w: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5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5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0" w:type="dxa"/>
            <w:vAlign w:val="bottom"/>
          </w:tcPr>
          <w:p>
            <w:pPr>
              <w:spacing w:after="0"/>
              <w:rPr>
                <w:sz w:val="1"/>
                <w:szCs w:val="1"/>
                <w:color w:val="auto"/>
              </w:rPr>
            </w:pPr>
          </w:p>
        </w:tc>
      </w:tr>
      <w:tr>
        <w:trPr>
          <w:trHeight w:val="248"/>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43"/>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75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allowance, net of recoveries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70"/>
        </w:trPr>
        <w:tc>
          <w:tcPr>
            <w:tcW w:w="7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changes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CCEEFF"/>
            </w:tcBorders>
          </w:tcPr>
          <w:p>
            <w:pPr>
              <w:spacing w:after="0"/>
              <w:rPr>
                <w:sz w:val="23"/>
                <w:szCs w:val="23"/>
                <w:color w:val="auto"/>
              </w:rPr>
            </w:pPr>
          </w:p>
        </w:tc>
        <w:tc>
          <w:tcPr>
            <w:tcW w:w="15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89"/>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1,967</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gridSpan w:val="2"/>
            <w:vMerge w:val="restart"/>
          </w:tcPr>
          <w:p>
            <w:pPr>
              <w:ind w:left="200"/>
              <w:spacing w:after="0"/>
              <w:rPr>
                <w:sz w:val="20"/>
                <w:szCs w:val="20"/>
                <w:color w:val="auto"/>
              </w:rPr>
            </w:pPr>
            <w:r>
              <w:rPr>
                <w:rFonts w:ascii="Times New Roman" w:cs="Times New Roman" w:eastAsia="Times New Roman" w:hAnsi="Times New Roman"/>
                <w:sz w:val="12"/>
                <w:szCs w:val="12"/>
                <w:color w:val="auto"/>
              </w:rPr>
              <w:t xml:space="preserve">(1) </w:t>
            </w:r>
            <w:r>
              <w:rPr>
                <w:rFonts w:ascii="Times New Roman" w:cs="Times New Roman" w:eastAsia="Times New Roman" w:hAnsi="Times New Roman"/>
                <w:sz w:val="14"/>
                <w:szCs w:val="14"/>
                <w:color w:val="auto"/>
              </w:rPr>
              <w:t>Result of foreign currency effects</w:t>
            </w:r>
          </w:p>
        </w:tc>
        <w:tc>
          <w:tcPr>
            <w:tcW w:w="2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5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assets consist of retainage, costs and earnings in excess of billings and other unbilled amounts typically generated when revenue recognized exceeds the amount billed to the customer. Contract liabilities consist of billings in excess of costs and earnings and other deferred revenue on contracts. Retainage is classified within receivables and deferred revenue is classified within other current liabilities on our consolidated balance sheets.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time period between when performance obligations are complete and when payment is due is not significant. In certain of our businesses that recognize revenue over time, progress billings follow an agreed-upon schedule of values, and retainage is withheld by the customer until the project reaches a level of completion where amounts are released.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February 29, 2020</w:t>
            </w:r>
          </w:p>
        </w:tc>
      </w:tr>
      <w:tr>
        <w:trPr>
          <w:trHeight w:val="249"/>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110,923</w:t>
            </w:r>
          </w:p>
        </w:tc>
      </w:tr>
      <w:tr>
        <w:trPr>
          <w:trHeight w:val="243"/>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35,954</w:t>
            </w:r>
          </w:p>
        </w:tc>
      </w:tr>
    </w:tbl>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contract assets was mainly due to a reduction in costs and earnings in excess of billings, which is driven by the settlement of matters related to a legacy EFCO project, as well as the timing of projects. The change in contract liabilities was due to timing of project activity within our businesses that operate under long-term contracts.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940"/>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contract-related disclosures</w:t>
            </w:r>
          </w:p>
        </w:tc>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August 31, 2019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August 31, 2019</w:t>
            </w:r>
          </w:p>
        </w:tc>
      </w:tr>
      <w:tr>
        <w:trPr>
          <w:trHeight w:val="223"/>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related to contract liabilities from prior</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1"/>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year-end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17,455</w:t>
            </w:r>
          </w:p>
        </w:tc>
      </w:tr>
      <w:tr>
        <w:trPr>
          <w:trHeight w:val="225"/>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recognized related to prior satisfaction of performance</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4"/>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2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w:t>
            </w:r>
          </w:p>
        </w:tc>
      </w:tr>
    </w:tbl>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contracts have an expected duration of longer than a year, with performance obligations extending over that timeframe. Generally, these contracts are in our businesses with long-term contracts which recognize revenue over time. As of August 29, 2020, the transaction price associated with unsatisfied performance obligations was approximately $958.8 million. The performance obligations are expected to be satisfied, and the corresponding revenue to be recognized, over the following estimated time periods: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Borders>
              <w:bottom w:val="single" w:sz="8" w:color="auto"/>
            </w:tcBorders>
          </w:tcPr>
          <w:p>
            <w:pPr>
              <w:spacing w:after="0"/>
              <w:rPr>
                <w:sz w:val="16"/>
                <w:szCs w:val="16"/>
                <w:color w:val="auto"/>
              </w:rPr>
            </w:pPr>
          </w:p>
        </w:tc>
        <w:tc>
          <w:tcPr>
            <w:tcW w:w="7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471,295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Within two years</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363,735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Beyond</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123,764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958,794</w:t>
            </w:r>
          </w:p>
        </w:tc>
        <w:tc>
          <w:tcPr>
            <w:tcW w:w="0" w:type="dxa"/>
            <w:vAlign w:val="bottom"/>
          </w:tcPr>
          <w:p>
            <w:pPr>
              <w:spacing w:after="0"/>
              <w:rPr>
                <w:sz w:val="1"/>
                <w:szCs w:val="1"/>
                <w:color w:val="auto"/>
              </w:rPr>
            </w:pPr>
          </w:p>
        </w:tc>
      </w:tr>
      <w:tr>
        <w:trPr>
          <w:trHeight w:val="20"/>
        </w:trPr>
        <w:tc>
          <w:tcPr>
            <w:tcW w:w="75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Supplemental Balance Sheet Information</w:t>
            </w: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56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 w:type="dxa"/>
            <w:vAlign w:val="bottom"/>
            <w:tcBorders>
              <w:bottom w:val="single" w:sz="8" w:color="CCEEFF"/>
            </w:tcBorders>
            <w:gridSpan w:val="2"/>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120" w:type="dxa"/>
            <w:vAlign w:val="bottom"/>
            <w:tcBorders>
              <w:bottom w:val="single" w:sz="8" w:color="CCEEFF"/>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February 29, 2020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36,611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17,520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16,958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70,191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71,089</w:t>
            </w:r>
          </w:p>
        </w:tc>
        <w:tc>
          <w:tcPr>
            <w:tcW w:w="0" w:type="dxa"/>
            <w:vAlign w:val="bottom"/>
          </w:tcPr>
          <w:p>
            <w:pPr>
              <w:spacing w:after="0"/>
              <w:rPr>
                <w:sz w:val="1"/>
                <w:szCs w:val="1"/>
                <w:color w:val="auto"/>
              </w:rPr>
            </w:pPr>
          </w:p>
        </w:tc>
      </w:tr>
      <w:tr>
        <w:trPr>
          <w:trHeight w:val="20"/>
        </w:trPr>
        <w:tc>
          <w:tcPr>
            <w:tcW w:w="75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56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 w:type="dxa"/>
            <w:vAlign w:val="bottom"/>
            <w:tcBorders>
              <w:bottom w:val="single" w:sz="8" w:color="CCEEFF"/>
            </w:tcBorders>
            <w:gridSpan w:val="2"/>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120" w:type="dxa"/>
            <w:vAlign w:val="bottom"/>
            <w:tcBorders>
              <w:bottom w:val="single" w:sz="8" w:color="CCEEFF"/>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February 29, 2020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12,822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project losses</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48,962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other taxes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self-insurance reserves</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8,307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42,271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73,313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118,314</w:t>
            </w:r>
          </w:p>
        </w:tc>
        <w:tc>
          <w:tcPr>
            <w:tcW w:w="0" w:type="dxa"/>
            <w:vAlign w:val="bottom"/>
          </w:tcPr>
          <w:p>
            <w:pPr>
              <w:spacing w:after="0"/>
              <w:rPr>
                <w:sz w:val="1"/>
                <w:szCs w:val="1"/>
                <w:color w:val="auto"/>
              </w:rPr>
            </w:pPr>
          </w:p>
        </w:tc>
      </w:tr>
      <w:tr>
        <w:trPr>
          <w:trHeight w:val="20"/>
        </w:trPr>
        <w:tc>
          <w:tcPr>
            <w:tcW w:w="75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756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February 29, 2020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benefit from New Market Tax Credit transactions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Retirement plan obligations</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Through our wholly-owned insurance subsidiary, Prism Assurance, Ltd. (Prism), we hold the following available-for-sale marketable securities, made up of municipal and corporate bonds: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12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29, 2020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12,958</w:t>
            </w:r>
          </w:p>
        </w:tc>
        <w:tc>
          <w:tcPr>
            <w:tcW w:w="0" w:type="dxa"/>
            <w:vAlign w:val="bottom"/>
          </w:tcPr>
          <w:p>
            <w:pPr>
              <w:spacing w:after="0"/>
              <w:rPr>
                <w:sz w:val="1"/>
                <w:szCs w:val="1"/>
                <w:color w:val="auto"/>
              </w:rPr>
            </w:pPr>
          </w:p>
        </w:tc>
      </w:tr>
      <w:tr>
        <w:trPr>
          <w:trHeight w:val="24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29, 2020</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11,967</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Prism insures a portion of our general liability, workers’ compensation and automobile liability risks using reinsurance agreements to meet statutory requirements. The reinsurance carrier requires Prism to maintain fixed-maturity investments for the purpose of providing collateral for Prism’s obligations under the reinsurance agreements.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and estimated fair values of these bonds at August 29, 2020, by contractual maturity, are shown below. Expected maturities may differ from contractual maturities, as borrowers may have the right to call or prepay obligations with or without penalty.</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48"/>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1,132</w:t>
            </w:r>
          </w:p>
        </w:tc>
      </w:tr>
      <w:tr>
        <w:trPr>
          <w:trHeight w:val="243"/>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7,497</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10 years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3,509</w:t>
            </w:r>
          </w:p>
        </w:tc>
      </w:tr>
      <w:tr>
        <w:trPr>
          <w:trHeight w:val="243"/>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beyond 15 years</w:t>
            </w: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820</w:t>
            </w: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8"/>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12,958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August 2019, we entered into an interest rate swap to hedge exposure to variability in cash flows from interest payments on our floating-rate revolving credit facility. As of August 29, 2020, the interest rate swap contract had a notional value of $60 million.</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periodically enter into forward purchase foreign currency cash flow hedge contracts, generally with an original maturity date of less than one year, to hedge foreign currency exchange rate risk. As of August 29, 2020, we held foreign exchange forward contracts with a U.S. dollar notional value of $28.4 million, with the objective of reducing the exposure to fluctuations in the Canadian dollar and the Euro.</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derivative instruments are recorded within our consolidated balance sheets within other current assets and liabilities. Gains or losses associated with these instruments are recorded as a component of accumulated other comprehensive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financial assets or liabilities.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3"/>
                <w:szCs w:val="13"/>
                <w:color w:val="auto"/>
              </w:rPr>
            </w:pPr>
          </w:p>
        </w:tc>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Observable Inputs</w:t>
            </w:r>
          </w:p>
        </w:tc>
        <w:tc>
          <w:tcPr>
            <w:tcW w:w="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5"/>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August 29, 2020</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2,178</w:t>
            </w:r>
          </w:p>
        </w:tc>
        <w:tc>
          <w:tcPr>
            <w:tcW w:w="0" w:type="dxa"/>
            <w:vAlign w:val="bottom"/>
          </w:tcPr>
          <w:p>
            <w:pPr>
              <w:spacing w:after="0"/>
              <w:rPr>
                <w:sz w:val="1"/>
                <w:szCs w:val="1"/>
                <w:color w:val="auto"/>
              </w:rPr>
            </w:pPr>
          </w:p>
        </w:tc>
      </w:tr>
      <w:tr>
        <w:trPr>
          <w:trHeight w:val="243"/>
        </w:trPr>
        <w:tc>
          <w:tcPr>
            <w:tcW w:w="5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21"/>
                <w:szCs w:val="21"/>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Municipal and corporate bonds</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12,958</w:t>
            </w:r>
          </w:p>
        </w:tc>
        <w:tc>
          <w:tcPr>
            <w:tcW w:w="0" w:type="dxa"/>
            <w:vAlign w:val="bottom"/>
          </w:tcPr>
          <w:p>
            <w:pPr>
              <w:spacing w:after="0"/>
              <w:rPr>
                <w:sz w:val="1"/>
                <w:szCs w:val="1"/>
                <w:color w:val="auto"/>
              </w:rPr>
            </w:pPr>
          </w:p>
        </w:tc>
      </w:tr>
      <w:tr>
        <w:trPr>
          <w:trHeight w:val="243"/>
        </w:trPr>
        <w:tc>
          <w:tcPr>
            <w:tcW w:w="5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240" w:type="dxa"/>
            <w:vAlign w:val="bottom"/>
          </w:tcPr>
          <w:p>
            <w:pPr>
              <w:spacing w:after="0"/>
              <w:rPr>
                <w:sz w:val="21"/>
                <w:szCs w:val="21"/>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17,125</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forward/option contract</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15,155</w:t>
            </w:r>
          </w:p>
        </w:tc>
        <w:tc>
          <w:tcPr>
            <w:tcW w:w="0" w:type="dxa"/>
            <w:vAlign w:val="bottom"/>
          </w:tcPr>
          <w:p>
            <w:pPr>
              <w:spacing w:after="0"/>
              <w:rPr>
                <w:sz w:val="1"/>
                <w:szCs w:val="1"/>
                <w:color w:val="auto"/>
              </w:rPr>
            </w:pPr>
          </w:p>
        </w:tc>
      </w:tr>
      <w:tr>
        <w:trPr>
          <w:trHeight w:val="243"/>
        </w:trPr>
        <w:tc>
          <w:tcPr>
            <w:tcW w:w="5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rate swap contract</w:t>
            </w:r>
          </w:p>
        </w:tc>
        <w:tc>
          <w:tcPr>
            <w:tcW w:w="240" w:type="dxa"/>
            <w:vAlign w:val="bottom"/>
          </w:tcPr>
          <w:p>
            <w:pPr>
              <w:spacing w:after="0"/>
              <w:rPr>
                <w:sz w:val="21"/>
                <w:szCs w:val="21"/>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29, 2020</w:t>
            </w: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43"/>
        </w:trPr>
        <w:tc>
          <w:tcPr>
            <w:tcW w:w="5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Municipal and corporate bonds</w:t>
            </w:r>
          </w:p>
        </w:tc>
        <w:tc>
          <w:tcPr>
            <w:tcW w:w="240" w:type="dxa"/>
            <w:vAlign w:val="bottom"/>
          </w:tcPr>
          <w:p>
            <w:pPr>
              <w:spacing w:after="0"/>
              <w:rPr>
                <w:sz w:val="21"/>
                <w:szCs w:val="21"/>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11,967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16,560</w:t>
            </w: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14,042</w:t>
            </w:r>
          </w:p>
        </w:tc>
        <w:tc>
          <w:tcPr>
            <w:tcW w:w="0" w:type="dxa"/>
            <w:vAlign w:val="bottom"/>
          </w:tcPr>
          <w:p>
            <w:pPr>
              <w:spacing w:after="0"/>
              <w:rPr>
                <w:sz w:val="1"/>
                <w:szCs w:val="1"/>
                <w:color w:val="auto"/>
              </w:rPr>
            </w:pPr>
          </w:p>
        </w:tc>
      </w:tr>
      <w:tr>
        <w:trPr>
          <w:trHeight w:val="243"/>
        </w:trPr>
        <w:tc>
          <w:tcPr>
            <w:tcW w:w="5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currency forward/option contract</w:t>
            </w:r>
          </w:p>
        </w:tc>
        <w:tc>
          <w:tcPr>
            <w:tcW w:w="240" w:type="dxa"/>
            <w:vAlign w:val="bottom"/>
          </w:tcPr>
          <w:p>
            <w:pPr>
              <w:spacing w:after="0"/>
              <w:rPr>
                <w:sz w:val="21"/>
                <w:szCs w:val="21"/>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swap contract</w:t>
            </w:r>
          </w:p>
        </w:tc>
        <w:tc>
          <w:tcPr>
            <w:tcW w:w="2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7"/>
        </w:trPr>
        <w:tc>
          <w:tcPr>
            <w:tcW w:w="5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Money market funds and commercial paper</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of money market funds was determined based on quoted prices for identical assets in active markets. Commercial paper was measured at fair value using inputs based on quoted prices for similar securities in active markets. These assets are included within cash and cash equivalents on our consolidated balance sheets.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Municipal and corporate bonds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Municipal and corporate bonds were measured at fair value based on market prices from recent trades of similar securities and are classified within our consolidated balance sheets as other current or other non-current assets based on maturity date.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surrender value of life insurance and deferred compensation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Contracts insuring the lives of certain employees who are eligible to participate in certain non-qualified pension and deferred compensation plans are held in trust. Cash surrender value of the contracts is based on performance measurement funds that shadow the deferral investment allocations made by participants in certain deferred compensation plans. Changes in cash surrender value are recorded in other expense. The deferred compensation liability balances are valued based on amounts allocated by participants to the underlying performance measurement funds.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interest rate swap is measured at fair value using other observable market inputs, based off of benchmark interest rates. Forward foreign exchange contracts are measured at fair value using other observable market inputs, such as quotations on forward foreign exchange points and foreign currency exchange rates. Derivative positions are primarily valued using standard calculations and models that use as their basis readily observable market parameters. Industry standard data providers are our primary source for forward and spot rate information for both interest and currency rates.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Identifiable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goodwill attributable to each reporting segment was: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Architectural</w:t>
            </w: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Architectural</w:t>
            </w:r>
          </w:p>
        </w:tc>
        <w:tc>
          <w:tcPr>
            <w:tcW w:w="16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Large-Scale</w:t>
            </w:r>
          </w:p>
        </w:tc>
        <w:tc>
          <w:tcPr>
            <w:tcW w:w="280" w:type="dxa"/>
            <w:vAlign w:val="bottom"/>
          </w:tcPr>
          <w:p>
            <w:pPr>
              <w:spacing w:after="0"/>
              <w:rPr>
                <w:sz w:val="13"/>
                <w:szCs w:val="13"/>
                <w:color w:val="auto"/>
              </w:rPr>
            </w:pPr>
          </w:p>
        </w:tc>
        <w:tc>
          <w:tcPr>
            <w:tcW w:w="98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Framing Systems</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Optical</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185,832</w:t>
            </w:r>
          </w:p>
        </w:tc>
        <w:tc>
          <w:tcPr>
            <w:tcW w:w="0" w:type="dxa"/>
            <w:vAlign w:val="bottom"/>
          </w:tcPr>
          <w:p>
            <w:pPr>
              <w:spacing w:after="0"/>
              <w:rPr>
                <w:sz w:val="1"/>
                <w:szCs w:val="1"/>
                <w:color w:val="auto"/>
              </w:rPr>
            </w:pPr>
          </w:p>
        </w:tc>
      </w:tr>
      <w:tr>
        <w:trPr>
          <w:trHeight w:val="24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29, 2020</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185,516</w:t>
            </w:r>
          </w:p>
        </w:tc>
        <w:tc>
          <w:tcPr>
            <w:tcW w:w="0" w:type="dxa"/>
            <w:vAlign w:val="bottom"/>
          </w:tcPr>
          <w:p>
            <w:pPr>
              <w:spacing w:after="0"/>
              <w:rPr>
                <w:sz w:val="1"/>
                <w:szCs w:val="1"/>
                <w:color w:val="auto"/>
              </w:rPr>
            </w:pPr>
          </w:p>
        </w:tc>
      </w:tr>
      <w:tr>
        <w:trPr>
          <w:trHeight w:val="270"/>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Adjustment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6,315</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37"/>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August 29, 2020</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155,628</w:t>
            </w:r>
          </w:p>
        </w:tc>
        <w:tc>
          <w:tcPr>
            <w:tcW w:w="120" w:type="dxa"/>
            <w:vAlign w:val="bottom"/>
          </w:tcPr>
          <w:p>
            <w:pPr>
              <w:spacing w:after="0"/>
              <w:rPr>
                <w:sz w:val="20"/>
                <w:szCs w:val="20"/>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25,261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192,566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ind w:left="20" w:right="300" w:firstLine="6"/>
        <w:spacing w:after="0" w:line="234" w:lineRule="auto"/>
        <w:tabs>
          <w:tab w:leader="none" w:pos="165"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During the quarter ended May 30, 2020, we recorded a $6.3 million increase to goodwill and corresponding increase to deferred tax liabilities to correct an immaterial error related to prior periods. The error was not material to any previously reported annual or interim consolidated financial statements.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of other intangible assets and related accumulated amortization was: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3"/>
                <w:szCs w:val="13"/>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340" w:type="dxa"/>
            <w:vAlign w:val="bottom"/>
          </w:tcPr>
          <w:p>
            <w:pPr>
              <w:spacing w:after="0"/>
              <w:rPr>
                <w:sz w:val="12"/>
                <w:szCs w:val="12"/>
                <w:color w:val="auto"/>
              </w:rPr>
            </w:pPr>
          </w:p>
        </w:tc>
        <w:tc>
          <w:tcPr>
            <w:tcW w:w="10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August 29, 2020</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84,292</w:t>
            </w:r>
          </w:p>
        </w:tc>
        <w:tc>
          <w:tcPr>
            <w:tcW w:w="0" w:type="dxa"/>
            <w:vAlign w:val="bottom"/>
          </w:tcPr>
          <w:p>
            <w:pPr>
              <w:spacing w:after="0"/>
              <w:rPr>
                <w:sz w:val="1"/>
                <w:szCs w:val="1"/>
                <w:color w:val="auto"/>
              </w:rPr>
            </w:pPr>
          </w:p>
        </w:tc>
      </w:tr>
      <w:tr>
        <w:trPr>
          <w:trHeight w:val="243"/>
        </w:trPr>
        <w:tc>
          <w:tcPr>
            <w:tcW w:w="5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intangibles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7,812</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92,104</w:t>
            </w:r>
          </w:p>
        </w:tc>
        <w:tc>
          <w:tcPr>
            <w:tcW w:w="0" w:type="dxa"/>
            <w:vAlign w:val="bottom"/>
          </w:tcPr>
          <w:p>
            <w:pPr>
              <w:spacing w:after="0"/>
              <w:rPr>
                <w:sz w:val="1"/>
                <w:szCs w:val="1"/>
                <w:color w:val="auto"/>
              </w:rPr>
            </w:pPr>
          </w:p>
        </w:tc>
      </w:tr>
      <w:tr>
        <w:trPr>
          <w:trHeight w:val="243"/>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45,668</w:t>
            </w:r>
          </w:p>
        </w:tc>
        <w:tc>
          <w:tcPr>
            <w:tcW w:w="0" w:type="dxa"/>
            <w:vAlign w:val="bottom"/>
          </w:tcPr>
          <w:p>
            <w:pPr>
              <w:spacing w:after="0"/>
              <w:rPr>
                <w:sz w:val="1"/>
                <w:szCs w:val="1"/>
                <w:color w:val="auto"/>
              </w:rPr>
            </w:pPr>
          </w:p>
        </w:tc>
      </w:tr>
      <w:tr>
        <w:trPr>
          <w:trHeight w:val="237"/>
        </w:trPr>
        <w:tc>
          <w:tcPr>
            <w:tcW w:w="5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205,865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(69,696)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137,772</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29, 2020</w:t>
            </w: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86,526</w:t>
            </w:r>
          </w:p>
        </w:tc>
        <w:tc>
          <w:tcPr>
            <w:tcW w:w="0" w:type="dxa"/>
            <w:vAlign w:val="bottom"/>
          </w:tcPr>
          <w:p>
            <w:pPr>
              <w:spacing w:after="0"/>
              <w:rPr>
                <w:sz w:val="1"/>
                <w:szCs w:val="1"/>
                <w:color w:val="auto"/>
              </w:rPr>
            </w:pPr>
          </w:p>
        </w:tc>
      </w:tr>
      <w:tr>
        <w:trPr>
          <w:trHeight w:val="243"/>
        </w:trPr>
        <w:tc>
          <w:tcPr>
            <w:tcW w:w="5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intangibles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8,364</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94,890</w:t>
            </w:r>
          </w:p>
        </w:tc>
        <w:tc>
          <w:tcPr>
            <w:tcW w:w="0" w:type="dxa"/>
            <w:vAlign w:val="bottom"/>
          </w:tcPr>
          <w:p>
            <w:pPr>
              <w:spacing w:after="0"/>
              <w:rPr>
                <w:sz w:val="1"/>
                <w:szCs w:val="1"/>
                <w:color w:val="auto"/>
              </w:rPr>
            </w:pPr>
          </w:p>
        </w:tc>
      </w:tr>
      <w:tr>
        <w:trPr>
          <w:trHeight w:val="243"/>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45,301</w:t>
            </w:r>
          </w:p>
        </w:tc>
        <w:tc>
          <w:tcPr>
            <w:tcW w:w="0" w:type="dxa"/>
            <w:vAlign w:val="bottom"/>
          </w:tcPr>
          <w:p>
            <w:pPr>
              <w:spacing w:after="0"/>
              <w:rPr>
                <w:sz w:val="1"/>
                <w:szCs w:val="1"/>
                <w:color w:val="auto"/>
              </w:rPr>
            </w:pPr>
          </w:p>
        </w:tc>
      </w:tr>
      <w:tr>
        <w:trPr>
          <w:trHeight w:val="237"/>
        </w:trPr>
        <w:tc>
          <w:tcPr>
            <w:tcW w:w="5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206,729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140,191</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on definite-lived intangible assets was $3.7 million and $3.8 million for the six-month periods ended August 29, 2020 and August 31, 2019, respectively. Amortization expense of other identifiable intangible assets is included in selling, general and administrative expenses. At August 29, 2020, the estimated future amortization expense for definite-lived intangible assets was: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Remainder of Fiscal</w:t>
            </w:r>
          </w:p>
        </w:tc>
        <w:tc>
          <w:tcPr>
            <w:tcW w:w="200" w:type="dxa"/>
            <w:vAlign w:val="bottom"/>
          </w:tcPr>
          <w:p>
            <w:pPr>
              <w:spacing w:after="0"/>
              <w:rPr>
                <w:sz w:val="13"/>
                <w:szCs w:val="13"/>
                <w:color w:val="auto"/>
              </w:rPr>
            </w:pPr>
          </w:p>
        </w:tc>
        <w:tc>
          <w:tcPr>
            <w:tcW w:w="104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0" w:type="dxa"/>
            <w:vAlign w:val="bottom"/>
          </w:tcPr>
          <w:p>
            <w:pPr>
              <w:spacing w:after="0"/>
              <w:rPr>
                <w:sz w:val="1"/>
                <w:szCs w:val="1"/>
                <w:color w:val="auto"/>
              </w:rPr>
            </w:pPr>
          </w:p>
        </w:tc>
      </w:tr>
      <w:tr>
        <w:trPr>
          <w:trHeight w:val="195"/>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7,806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7,176</w:t>
            </w:r>
          </w:p>
        </w:tc>
        <w:tc>
          <w:tcPr>
            <w:tcW w:w="0" w:type="dxa"/>
            <w:vAlign w:val="bottom"/>
          </w:tcPr>
          <w:p>
            <w:pPr>
              <w:spacing w:after="0"/>
              <w:rPr>
                <w:sz w:val="1"/>
                <w:szCs w:val="1"/>
                <w:color w:val="auto"/>
              </w:rPr>
            </w:pPr>
          </w:p>
        </w:tc>
      </w:tr>
      <w:tr>
        <w:trPr>
          <w:trHeight w:val="27"/>
        </w:trPr>
        <w:tc>
          <w:tcPr>
            <w:tcW w:w="4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August 29, 2020, we had a committed revolving credit facility with maximum borrowings of up to $235 million, maturing in June 2024, and a $150 million term loan maturing in April 2021. As of August 29, 2020, our total debt outstanding was $167.7 million, compared to $217.9 million as of February 29, 2020. There were no outstanding borrowings under the revolving credit facility as of August 29, 2020, and there were $47.5 million in outstanding borrowings under the revolving credit facility as of February 29,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revolving credit facility and term loan contain two financial covenants that require us to stay below a maximum debt-to-EBITDA ratio and maintain a minimum ratio of interest expense-to-EBITDA. Both ratios are computed quarterly, with EBITDA calculated on a rolling four-quarter basis. At August 29, 2020, we were in compliance with both financial covenants. Additionally, at August 29, 2020, we had a total of $18.7 million of ongoing letters of credit related to industrial revenue bonds, construction contracts and insurance collateral that expire in fiscal years 2021 to 2022 and reduce borrowing capacity under the revolving credit facility.</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August 29, 2020, debt included $15.0 million of industrial revenue bonds that mature in fiscal years 2022 through 2043. In June 2020, a $5.4 million industrial revenue bond matured and was repaid. The fair value of the industrial revenue bonds approximated carrying value at August 29, 2020, due to the variable interest rates on these instruments. All debt would be classified as Level 2 within the fair value hierarchy described in Note 4.</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maintain two Canadian committed, revolving credit facilities totaling $25.0 million (USD). As of August 29, 2020, $2.7 million in borrowings were outstanding under the facilities, while at February 29, 2020, no borrowings were outstanding under the facilities.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payments were $2.5 million and $5.3 million for the six months ended August 29, 2020 and August 31, 2019,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lease certain of the buildings and equipment used in our operations. We determine if an arrangement contains a lease at inception. Currently, all of our lease arrangements are classified as operating leases. We elected the package of practical expedients permitted under the transition guidance in adopting ASC 842, which among other things, allowed us to carry forward our historical lease classification. Operating lease assets and liabilities are recognized at the lease commencement date based on the present value of lease payments over the lease term and lease expense is recognized on a straight-line basis over the lease term. Our leases have remaining lease terms of one to ten years, some of which include renewal options that can extend the lease for up to an additional ten years at our sole discretion. We have made an accounting policy election not to record leases with an original term of 12 months or less on our consolidated balance sheet and such leases are expensed on a straight-line basis over the lease term.</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lease asset value, we consider fixed or variable payment terms, prepayments, incentives, and options to extend, terminate or purchase. Renewal, termination or purchase options affect the lease term used for determining lease asset value only if the option is reasonably certain to be exercised. We use a discount rate for each lease based upon an estimated incremental borrowing rate over a similar term. We have elected the practical expedient to account for lease and non lease components (e.g., common-area maintenance costs) as a single lease component. Our lease agreements do not contain any material residual value guarantees or material restrictive covenants. We are not a lessor in any transactions.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August 31, 2019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August 31, 2019</w:t>
            </w:r>
          </w:p>
        </w:tc>
      </w:tr>
      <w:tr>
        <w:trPr>
          <w:trHeight w:val="248"/>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6,863</w:t>
            </w:r>
          </w:p>
        </w:tc>
      </w:tr>
      <w:tr>
        <w:trPr>
          <w:trHeight w:val="243"/>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7"/>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263"/>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9,422</w:t>
            </w:r>
          </w:p>
        </w:tc>
      </w:tr>
      <w:tr>
        <w:trPr>
          <w:trHeight w:val="20"/>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supplemental information related to leases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Borders>
              <w:bottom w:val="single" w:sz="8" w:color="auto"/>
            </w:tcBorders>
          </w:tcPr>
          <w:p>
            <w:pPr>
              <w:spacing w:after="0"/>
              <w:rPr>
                <w:sz w:val="16"/>
                <w:szCs w:val="16"/>
                <w:color w:val="auto"/>
              </w:rPr>
            </w:pPr>
          </w:p>
        </w:tc>
      </w:tr>
      <w:tr>
        <w:trPr>
          <w:trHeight w:val="196"/>
        </w:trPr>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weighted-average data)</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August 31, 2019</w:t>
            </w:r>
          </w:p>
        </w:tc>
        <w:tc>
          <w:tcPr>
            <w:tcW w:w="200" w:type="dxa"/>
            <w:vAlign w:val="bottom"/>
            <w:tcBorders>
              <w:bottom w:val="single" w:sz="8" w:color="auto"/>
            </w:tcBorders>
          </w:tcPr>
          <w:p>
            <w:pPr>
              <w:spacing w:after="0"/>
              <w:rPr>
                <w:sz w:val="17"/>
                <w:szCs w:val="17"/>
                <w:color w:val="auto"/>
              </w:rPr>
            </w:pPr>
          </w:p>
        </w:tc>
      </w:tr>
      <w:tr>
        <w:trPr>
          <w:trHeight w:val="248"/>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operating lease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200" w:type="dxa"/>
            <w:vAlign w:val="bottom"/>
          </w:tcPr>
          <w:p>
            <w:pPr>
              <w:spacing w:after="0"/>
              <w:rPr>
                <w:sz w:val="21"/>
                <w:szCs w:val="21"/>
                <w:color w:val="auto"/>
              </w:rPr>
            </w:pPr>
          </w:p>
        </w:tc>
      </w:tr>
      <w:tr>
        <w:trPr>
          <w:trHeight w:val="27"/>
        </w:trPr>
        <w:tc>
          <w:tcPr>
            <w:tcW w:w="7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r>
      <w:tr>
        <w:trPr>
          <w:trHeight w:val="250"/>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4.9 years</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years</w:t>
            </w:r>
          </w:p>
        </w:tc>
      </w:tr>
      <w:tr>
        <w:trPr>
          <w:trHeight w:val="24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maturities of lease liabilities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August 29, 2020</w:t>
            </w:r>
          </w:p>
        </w:tc>
      </w:tr>
      <w:tr>
        <w:trPr>
          <w:trHeight w:val="248"/>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r>
      <w:tr>
        <w:trPr>
          <w:trHeight w:val="243"/>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2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12,081</w:t>
            </w:r>
          </w:p>
        </w:tc>
      </w:tr>
      <w:tr>
        <w:trPr>
          <w:trHeight w:val="27"/>
        </w:trPr>
        <w:tc>
          <w:tcPr>
            <w:tcW w:w="9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11,081</w:t>
            </w:r>
          </w:p>
        </w:tc>
      </w:tr>
      <w:tr>
        <w:trPr>
          <w:trHeight w:val="243"/>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2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w:t>
            </w:r>
          </w:p>
        </w:tc>
      </w:tr>
      <w:tr>
        <w:trPr>
          <w:trHeight w:val="27"/>
        </w:trPr>
        <w:tc>
          <w:tcPr>
            <w:tcW w:w="9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w:t>
            </w:r>
          </w:p>
        </w:tc>
      </w:tr>
      <w:tr>
        <w:trPr>
          <w:trHeight w:val="243"/>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2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w:t>
            </w:r>
          </w:p>
        </w:tc>
      </w:tr>
      <w:tr>
        <w:trPr>
          <w:trHeight w:val="27"/>
        </w:trPr>
        <w:tc>
          <w:tcPr>
            <w:tcW w:w="9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w:t>
            </w:r>
          </w:p>
        </w:tc>
      </w:tr>
      <w:tr>
        <w:trPr>
          <w:trHeight w:val="237"/>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8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60,782</w:t>
            </w:r>
          </w:p>
        </w:tc>
      </w:tr>
      <w:tr>
        <w:trPr>
          <w:trHeight w:val="27"/>
        </w:trPr>
        <w:tc>
          <w:tcPr>
            <w:tcW w:w="9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w:t>
            </w:r>
          </w:p>
        </w:tc>
      </w:tr>
      <w:tr>
        <w:trPr>
          <w:trHeight w:val="263"/>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55,597</w:t>
            </w:r>
          </w:p>
        </w:tc>
      </w:tr>
      <w:tr>
        <w:trPr>
          <w:trHeight w:val="21"/>
        </w:trPr>
        <w:tc>
          <w:tcPr>
            <w:tcW w:w="9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As of August 29, 2020, we have $5.7 million additional future operating lease commitments for leases that have not yet commenced. Subsequent to the end of the quarter, in September 2020, we sold our McCook, IL building within our LSO segment for $25.1 million. The carrying value of the building was $4.3 million, and we recognized a gain on this sale of approximately $14.8 million, net of taxes and associated transaction costs. We also entered into a separate lease agreement for this facility, which was determined to be an operating lease, and we will have approximately $8.2 million of additional future lease commitments upon commencement of this lease in September 2020.</w:t>
      </w:r>
    </w:p>
    <w:p>
      <w:pPr>
        <w:spacing w:after="0" w:line="194"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Bond commitments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predominantly in our Architectural Services and Architectural Framing Systems segments, we are required to provide surety or performance bonds that commit payments to our customers for any non-performance. At August 29, 2020, $1.1 billion of these types of bonds were outstanding, of which $589.1 million is in our backlog. These bonds do not have stated expiration dates. We have never been required to make payments under surety or performance bonds with respect to our existing businesses.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and project-related contingencies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reserve estimated exposures on known claims, as well as on a portion of anticipated claims, for product warranty and rework cost, based on historical product liability claims as a ratio of sales. Claim costs are deducted from the accrual when paid. Factors that could have an impact on the warranty accrual in any given period include the following: changes in manufacturing quality, changes in product mix and any significant changes in sales volume. A warranty rollforward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117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August 31, 2019</w:t>
            </w:r>
          </w:p>
        </w:tc>
      </w:tr>
      <w:tr>
        <w:trPr>
          <w:trHeight w:val="248"/>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16,737</w:t>
            </w:r>
          </w:p>
        </w:tc>
      </w:tr>
      <w:tr>
        <w:trPr>
          <w:trHeight w:val="243"/>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accruals</w:t>
            </w: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3,606</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paid</w:t>
            </w: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w:t>
            </w:r>
          </w:p>
        </w:tc>
      </w:tr>
      <w:tr>
        <w:trPr>
          <w:trHeight w:val="237"/>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14,862</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are subject to project management and installation-related contingencies as a result of our fixed-price material supply and installation service contracts, primarily in our Architectural Services segment and certain of our Architectural Framing Systems businesses. We manage the risk of these exposures through contract negotiations, proactive project management and insurance coverages. The liability for these types of project-related contingencies was $8.7 million and $49.0 million as of August 29, 2020 and February 29, 2020, respectively. In June 2020, we settled contract claims related to a majority of these project-related contingencies on a legacy EFCO project for an amount equal to the contingency recorded at May 30, 2020.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August 29, 2020, we had $18.7 million of ongoing letters of credit, all of which have been issued under our committed revolving credit facility, as discussed in Note 6. In connection with the settlement of contract claims related to a legacy EFCO project referenced above, the original project performance and payment bond related to the project was replaced, which required a $25.0 million letter of credit. The letter of credit for the replacement bond was issued outside of our committed revolving credit facility, with no impact on our borrowing capacity and debt covenants.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obligations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obligations for raw material commitments and capital expenditures totaled $180.9 million as of August 29, 2020.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Markets Tax Credit (NMTC) transactions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entered into four separate NMTC programs to support our operational expansion. Proceeds received from investors on these transactions are included within other current and non-current liabilities on our consolidated balance sheets. The NMTC arrangements are subject to 100 percent tax recapture for a period of seven years from the date of each respective transaction. Therefore, upon the termination of each arrangement, these proceeds will be recognized in earnings in exchange for the transfer of tax credits. The direct and incremental costs incurred in structuring these arrangements have been deferred and are included in other current and non-current assets on our consolidated balance sheets. These costs will be recognized in conjunction with the recognition of the related proceeds on each arrangement. During the construction phase, we are required to hold cash dedicated to fund each capital project which is classified as restricted cash on our consolidated balance sheets. Variable-interest entities, which have been included within our consolidated financial statements, have been created as a result of the structure of these transactions, as investors in the programs do not have a material interest in their underlying economics.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summary of our outstanding NMTC transactions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Inception date</w:t>
            </w: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Termination date</w:t>
            </w:r>
          </w:p>
        </w:tc>
        <w:tc>
          <w:tcPr>
            <w:tcW w:w="22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Proceeds received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Deferred costs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Net benefit</w:t>
            </w:r>
          </w:p>
        </w:tc>
      </w:tr>
      <w:tr>
        <w:trPr>
          <w:trHeight w:val="27"/>
        </w:trPr>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2013</w:t>
            </w: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2020</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2016</w:t>
            </w: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2023</w:t>
            </w:r>
          </w:p>
        </w:tc>
        <w:tc>
          <w:tcPr>
            <w:tcW w:w="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2018</w:t>
            </w: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2025</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2018</w:t>
            </w: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2025</w:t>
            </w:r>
          </w:p>
        </w:tc>
        <w:tc>
          <w:tcPr>
            <w:tcW w:w="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8"/>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13"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Total share-based compensation expense included in the results of operations was $3.7 million for the six-month period ended August 29, 2020 and $3.2 million for the six-month period ended August 31,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and SARs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and SAR activity for the current six-month period is summarized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 options and SARs</w:t>
            </w:r>
          </w:p>
        </w:tc>
        <w:tc>
          <w:tcPr>
            <w:tcW w:w="100" w:type="dxa"/>
            <w:vAlign w:val="bottom"/>
            <w:vMerge w:val="restart"/>
          </w:tcPr>
          <w:p>
            <w:pPr>
              <w:spacing w:after="0"/>
              <w:rPr>
                <w:sz w:val="12"/>
                <w:szCs w:val="12"/>
                <w:color w:val="auto"/>
              </w:rPr>
            </w:pPr>
          </w:p>
        </w:tc>
        <w:tc>
          <w:tcPr>
            <w:tcW w:w="132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February 29, 2020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Awards 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August 29, 2020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760,941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 years</w:t>
            </w: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1,339,552</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Vested or expected to vest at August 29, 2020</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40" w:type="dxa"/>
            <w:vAlign w:val="bottom"/>
            <w:gridSpan w:val="2"/>
            <w:vMerge w:val="continue"/>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760,941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 years</w:t>
            </w: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1,339,552</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August 29, 2020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 year</w:t>
            </w:r>
          </w:p>
        </w:tc>
        <w:tc>
          <w:tcPr>
            <w:tcW w:w="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1,339,552</w:t>
            </w:r>
          </w:p>
        </w:tc>
        <w:tc>
          <w:tcPr>
            <w:tcW w:w="0" w:type="dxa"/>
            <w:vAlign w:val="bottom"/>
          </w:tcPr>
          <w:p>
            <w:pPr>
              <w:spacing w:after="0"/>
              <w:rPr>
                <w:sz w:val="1"/>
                <w:szCs w:val="1"/>
                <w:color w:val="auto"/>
              </w:rPr>
            </w:pPr>
          </w:p>
        </w:tc>
      </w:tr>
      <w:tr>
        <w:trPr>
          <w:trHeight w:val="27"/>
        </w:trPr>
        <w:tc>
          <w:tcPr>
            <w:tcW w:w="5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awards were issued or exercised during the six-months ended August 29, 2020 and August 31,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shares and share units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share activity for the current six-month period is summarized as follows:</w:t>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Nonvested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15175"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Nonvested at February 29, 2020</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Vested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Canceled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97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Nonvested at August 29,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 and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5"/>
        </w:trPr>
        <w:tc>
          <w:tcPr>
            <w:tcW w:w="15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156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42"/>
        </w:trPr>
        <w:tc>
          <w:tcPr>
            <w:tcW w:w="1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309,259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40.58</w:t>
            </w:r>
          </w:p>
        </w:tc>
      </w:tr>
      <w:tr>
        <w:trPr>
          <w:trHeight w:val="270"/>
        </w:trPr>
        <w:tc>
          <w:tcPr>
            <w:tcW w:w="1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330,196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20.47</w:t>
            </w:r>
          </w:p>
        </w:tc>
      </w:tr>
      <w:tr>
        <w:trPr>
          <w:trHeight w:val="270"/>
        </w:trPr>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41.45</w:t>
            </w:r>
          </w:p>
        </w:tc>
      </w:tr>
      <w:tr>
        <w:trPr>
          <w:trHeight w:val="270"/>
        </w:trPr>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33.67</w:t>
            </w:r>
          </w:p>
        </w:tc>
      </w:tr>
      <w:tr>
        <w:trPr>
          <w:trHeight w:val="27"/>
        </w:trPr>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4"/>
        </w:trPr>
        <w:tc>
          <w:tcPr>
            <w:tcW w:w="15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512,526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27.43</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20" w:space="720"/>
            <w:col w:w="3200"/>
          </w:cols>
          <w:pgMar w:left="320" w:top="121" w:right="339" w:bottom="1440" w:gutter="0" w:footer="0" w:header="0"/>
        </w:sectPr>
      </w:pP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August 29, 2020, there was $5.2 million of total unrecognized compensation cost related to nonvested share and nonvested share unit awards, which is expected to be recognized over a weighted average period of approximately 27 months. The total fair value of shares vested during the six months ended August 29, 2020 was $2.8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U.S. state jurisdictions, Canada, Brazil and other international jurisdictions. The Company is no longer subject to U.S. federal tax examinations for years prior to fiscal 2017, or state and local income tax examinations for years prior to fiscal 2013. The Company is not currently under U.S. federal examination for years subsequent to fiscal year 2016, and there is limited audit activity of the Company’s income tax returns in U.S. state jurisdictions or international jurisdictions.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liability for unrecognized tax benefits was $4.2 million and $4.1 million at August 29, 2020 and February 29, 2020, respectively. Penalties and interest related to unrecognized tax benefits are recorded in income tax expense. The total liability for unrecognized tax benefits is expected to decrease by approximately $0.4 million during the next 12 months due to lapsing of statutes.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share amounts used in the computation of basic and diluted earnings per share:</w:t>
      </w:r>
    </w:p>
    <w:p>
      <w:pPr>
        <w:sectPr>
          <w:pgSz w:w="11900" w:h="16838" w:orient="portrait"/>
          <w:cols w:equalWidth="0" w:num="1">
            <w:col w:w="11240"/>
          </w:cols>
          <w:pgMar w:left="320" w:top="121" w:right="339" w:bottom="1440" w:gutter="0" w:footer="0" w:header="0"/>
          <w:type w:val="continuous"/>
        </w:sectPr>
      </w:pPr>
    </w:p>
    <w:p>
      <w:pPr>
        <w:spacing w:after="0" w:line="3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41" w:lineRule="exact"/>
        <w:rPr>
          <w:sz w:val="20"/>
          <w:szCs w:val="20"/>
          <w:color w:val="auto"/>
        </w:rPr>
      </w:pPr>
    </w:p>
    <w:p>
      <w:pPr>
        <w:jc w:val="both"/>
        <w:ind w:left="180" w:hanging="161"/>
        <w:spacing w:after="0" w:line="237" w:lineRule="auto"/>
        <w:rPr>
          <w:sz w:val="20"/>
          <w:szCs w:val="20"/>
          <w:color w:val="auto"/>
        </w:rPr>
      </w:pPr>
      <w:r>
        <w:rPr>
          <w:rFonts w:ascii="Times New Roman" w:cs="Times New Roman" w:eastAsia="Times New Roman" w:hAnsi="Times New Roman"/>
          <w:sz w:val="18"/>
          <w:szCs w:val="18"/>
          <w:color w:val="auto"/>
        </w:rPr>
        <w:t>Basic earnings per share – weighted average common shares outstanding</w:t>
      </w:r>
    </w:p>
    <w:p>
      <w:pPr>
        <w:spacing w:after="0" w:line="1" w:lineRule="exact"/>
        <w:rPr>
          <w:sz w:val="20"/>
          <w:szCs w:val="20"/>
          <w:color w:val="auto"/>
        </w:rPr>
      </w:pPr>
    </w:p>
    <w:p>
      <w:pPr>
        <w:jc w:val="both"/>
        <w:ind w:left="180" w:hanging="161"/>
        <w:spacing w:after="0" w:line="234" w:lineRule="auto"/>
        <w:rPr>
          <w:sz w:val="20"/>
          <w:szCs w:val="20"/>
          <w:color w:val="auto"/>
        </w:rPr>
      </w:pPr>
      <w:r>
        <w:rPr>
          <w:rFonts w:ascii="Times New Roman" w:cs="Times New Roman" w:eastAsia="Times New Roman" w:hAnsi="Times New Roman"/>
          <w:sz w:val="18"/>
          <w:szCs w:val="18"/>
          <w:color w:val="auto"/>
        </w:rPr>
        <w:t>Weighted average effect of nonvested share grants and assumed exercise of stock options</w:t>
      </w:r>
    </w:p>
    <w:p>
      <w:pPr>
        <w:spacing w:after="0" w:line="1" w:lineRule="exact"/>
        <w:rPr>
          <w:sz w:val="20"/>
          <w:szCs w:val="20"/>
          <w:color w:val="auto"/>
        </w:rPr>
      </w:pPr>
    </w:p>
    <w:p>
      <w:pPr>
        <w:jc w:val="both"/>
        <w:ind w:left="180" w:hanging="161"/>
        <w:spacing w:after="0" w:line="234" w:lineRule="auto"/>
        <w:rPr>
          <w:sz w:val="20"/>
          <w:szCs w:val="20"/>
          <w:color w:val="auto"/>
        </w:rPr>
      </w:pPr>
      <w:r>
        <w:rPr>
          <w:rFonts w:ascii="Times New Roman" w:cs="Times New Roman" w:eastAsia="Times New Roman" w:hAnsi="Times New Roman"/>
          <w:sz w:val="18"/>
          <w:szCs w:val="18"/>
          <w:color w:val="auto"/>
        </w:rPr>
        <w:t>Diluted earnings per share – weighted average common shares and potential common shares outstanding</w:t>
      </w:r>
    </w:p>
    <w:p>
      <w:pPr>
        <w:spacing w:after="0" w:line="1" w:lineRule="exact"/>
        <w:rPr>
          <w:sz w:val="20"/>
          <w:szCs w:val="20"/>
          <w:color w:val="auto"/>
        </w:rPr>
      </w:pPr>
    </w:p>
    <w:p>
      <w:pPr>
        <w:jc w:val="both"/>
        <w:ind w:left="180" w:hanging="161"/>
        <w:spacing w:after="0" w:line="224" w:lineRule="auto"/>
        <w:rPr>
          <w:sz w:val="20"/>
          <w:szCs w:val="20"/>
          <w:color w:val="auto"/>
        </w:rPr>
      </w:pPr>
      <w:r>
        <w:rPr>
          <w:rFonts w:ascii="Times New Roman" w:cs="Times New Roman" w:eastAsia="Times New Roman" w:hAnsi="Times New Roman"/>
          <w:sz w:val="18"/>
          <w:szCs w:val="18"/>
          <w:color w:val="auto"/>
        </w:rPr>
        <w:t>Stock awards excluded from the calculation of earnings per share because the effect was anti-dilutive (award price greater than average market price of the shares)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160" w:type="dxa"/>
            <w:vAlign w:val="bottom"/>
            <w:tcBorders>
              <w:bottom w:val="single" w:sz="8" w:color="auto"/>
            </w:tcBorders>
            <w:gridSpan w:val="3"/>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3180" w:type="dxa"/>
            <w:vAlign w:val="bottom"/>
            <w:tcBorders>
              <w:bottom w:val="single" w:sz="8" w:color="auto"/>
            </w:tcBorders>
            <w:gridSpan w:val="3"/>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16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August 31, 2019</w:t>
            </w:r>
          </w:p>
        </w:tc>
        <w:tc>
          <w:tcPr>
            <w:tcW w:w="16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15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August 31, 2019</w:t>
            </w:r>
          </w:p>
        </w:tc>
      </w:tr>
      <w:tr>
        <w:trPr>
          <w:trHeight w:val="377"/>
        </w:trPr>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26,156</w:t>
            </w:r>
          </w:p>
        </w:tc>
        <w:tc>
          <w:tcPr>
            <w:tcW w:w="120" w:type="dxa"/>
            <w:vAlign w:val="bottom"/>
          </w:tcPr>
          <w:p>
            <w:pPr>
              <w:spacing w:after="0"/>
              <w:rPr>
                <w:sz w:val="24"/>
                <w:szCs w:val="24"/>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26,413</w:t>
            </w:r>
          </w:p>
        </w:tc>
        <w:tc>
          <w:tcPr>
            <w:tcW w:w="100" w:type="dxa"/>
            <w:vAlign w:val="bottom"/>
          </w:tcPr>
          <w:p>
            <w:pPr>
              <w:spacing w:after="0"/>
              <w:rPr>
                <w:sz w:val="24"/>
                <w:szCs w:val="24"/>
                <w:color w:val="auto"/>
              </w:rPr>
            </w:pPr>
          </w:p>
        </w:tc>
        <w:tc>
          <w:tcPr>
            <w:tcW w:w="15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26,162</w:t>
            </w:r>
          </w:p>
        </w:tc>
        <w:tc>
          <w:tcPr>
            <w:tcW w:w="100" w:type="dxa"/>
            <w:vAlign w:val="bottom"/>
          </w:tcPr>
          <w:p>
            <w:pPr>
              <w:spacing w:after="0"/>
              <w:rPr>
                <w:sz w:val="24"/>
                <w:szCs w:val="2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26,505</w:t>
            </w:r>
          </w:p>
        </w:tc>
      </w:tr>
      <w:tr>
        <w:trPr>
          <w:trHeight w:val="405"/>
        </w:trPr>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4"/>
                <w:szCs w:val="24"/>
                <w:color w:val="auto"/>
              </w:rPr>
            </w:pPr>
          </w:p>
        </w:tc>
        <w:tc>
          <w:tcPr>
            <w:tcW w:w="15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7"/>
        </w:trPr>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331"/>
        </w:trPr>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26,525</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26,736</w:t>
            </w:r>
          </w:p>
        </w:tc>
        <w:tc>
          <w:tcPr>
            <w:tcW w:w="100" w:type="dxa"/>
            <w:vAlign w:val="bottom"/>
          </w:tcPr>
          <w:p>
            <w:pPr>
              <w:spacing w:after="0"/>
              <w:rPr>
                <w:sz w:val="24"/>
                <w:szCs w:val="24"/>
                <w:color w:val="auto"/>
              </w:rPr>
            </w:pPr>
          </w:p>
        </w:tc>
        <w:tc>
          <w:tcPr>
            <w:tcW w:w="15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26,507</w:t>
            </w:r>
          </w:p>
        </w:tc>
        <w:tc>
          <w:tcPr>
            <w:tcW w:w="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26,789</w:t>
            </w:r>
          </w:p>
        </w:tc>
      </w:tr>
      <w:tr>
        <w:trPr>
          <w:trHeight w:val="27"/>
        </w:trPr>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520"/>
        </w:trPr>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4"/>
                <w:szCs w:val="24"/>
                <w:color w:val="auto"/>
              </w:rPr>
            </w:pPr>
          </w:p>
        </w:tc>
        <w:tc>
          <w:tcPr>
            <w:tcW w:w="15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-607695</wp:posOffset>
            </wp:positionV>
            <wp:extent cx="7132320" cy="257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-1130935</wp:posOffset>
            </wp:positionV>
            <wp:extent cx="7132320"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4660" w:space="140"/>
            <w:col w:w="6440"/>
          </w:cols>
          <w:pgMar w:left="320" w:top="121" w:right="33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four reporting segments: Architectural Framing Systems, Architectural Glass, Architectural Services and LSO.</w:t>
      </w:r>
    </w:p>
    <w:p>
      <w:pPr>
        <w:spacing w:after="0" w:line="27" w:lineRule="exact"/>
        <w:rPr>
          <w:sz w:val="20"/>
          <w:szCs w:val="20"/>
          <w:color w:val="auto"/>
        </w:rPr>
      </w:pPr>
    </w:p>
    <w:p>
      <w:pPr>
        <w:jc w:val="both"/>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Architectural Framing Systems segment designs, engineers, fabricates and finishes the aluminum frames used in customized aluminum and glass window, curtainwall, storefront and entrance systems comprising the outside skin and entrances of commercial, institutional and high-end multi-family residential buildings. The Company has aggregated five operating segments into this reporting segment based on their similar products, customers, distribution methods, production processes and economic characteristics.</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Architectural Glass segment fabricates coated, high-performance glass used in customized window and wall systems comprising the outside skin of commercial, institutional and high-end multi-family residential buildings.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Architectural Services segment designs, engineers, fabricates and installs the walls of glass, windows and other curtainwall products making up the outside skin of commercial and institutional buildings.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LSO segment manufactures value-added glass and acrylic products primarily for framing and display applications.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August 31, 2019</w:t>
            </w:r>
          </w:p>
        </w:tc>
        <w:tc>
          <w:tcPr>
            <w:tcW w:w="3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August 31, 2019</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187,394</w:t>
            </w:r>
          </w:p>
        </w:tc>
        <w:tc>
          <w:tcPr>
            <w:tcW w:w="3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303,091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367,916</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99,138</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163,495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199,429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61,597</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137,221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126,744</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20,785</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(11,856)</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(23,710)</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319,483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357,058</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608,578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712,424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15,523</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18,993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6,460</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12,859</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3,976</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11,912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4,630</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27,576</w:t>
            </w:r>
          </w:p>
        </w:tc>
        <w:tc>
          <w:tcPr>
            <w:tcW w:w="3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29,683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50,616</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varying combinations and integration of individual window, storefront and curtainwall systems, it is impractical to report product revenues generated by class of product, beyond the segment revenues currently reported.</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discussion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"will," "continue" and similar expressions are intended to identify “forward-looking statements” within the meaning of the Private Securities Litigation Reform Act of 1995. All forecasts and projections in this document are “forward-looking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21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Accordingly, we wish to caution investors that any forward-looking statements made by or on behalf of the Company are subject to uncertainties and other factors that could cause actual results to differ materially from such statements. Information about factors that could materially affect our results can be found in the “Risk Factors” section of our Annual Report on Form 10-K for the year ended February 29, 2020 and in subsequent filings with the U.S. Securities and Exchange Commission, including this Quarterly Report on Form 10-Q.</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leader in certain technologies involving the design and development of value-added glass and metal products and services for enclosing commercial buildings and framing and displays. Our four reporting segments are: Architectural Framing Systems, Architectural Glass, Architectural Services and Large-Scale Optical (LSO).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ongoing COVID-19 pandemic continues to cause volatility and uncertainty in global markets impacting worldwide economic activity. We have experienced some delays in commercial construction projects and orders as a result of COVID-19. In our Architectural Glass and Architectural Framing segments, orders have been delayed or have slowed, as customers and end markets face some uncertainty and delays in timing of work. In our Architectural Services segment, some construction site closures or project delays have occurred, and job sites have had to adjust to increased physical distancing and health-related precautions. Within our LSO segment, many customers reopened and the segment's two manufacturing locations resumed normal operations during the second quarter, after being shutdown for most of the first and second quarters, in response to governmental “stay at home” directives. We have also been impacted by quarantine-related absenteeism among our workforce, resulting in labor and capacity constraints at some of our facilities. The extent to which COVID-19 will continue to impact our business will depend on future developments and public health advancements, which are highly uncertain and cannot be predicted with confidence. However, by the end of the second quarter, we have continued to see signs of improvement, including the reopening of retailers, moderating project delays and fewer workforce absences.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in response to COVID-19, we have implemented a variety of countermeasures to promote the health and safety of our employees during this pandemic, including health screening, physical distancing practices, enhanced cleaning, use of personal protective equipment, business travel restrictions, and remote work capabilities, in addition to quarantine-related paid leave and other employee assistance programs.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the Company’s Form 10-K for the year ended February 29, 2020 and the consolidated financial statements, including the notes to consolidated financial statements, included therein.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of Second Quarter of Fiscal 2021 Compared to Second Quarter of Fiscal 2020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Consolidated net sales decreased 10.5 percent, or $37.6 million, and decreased 14.6 percent, or $103.8 million, for the three- and six-month periods ended August 29, 2020, respectively, compared to the same periods in the prior year, reflecting COVID-19 and market-related volume declines in three of the Company's segments.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relationship between various components of operations, as a percentage of net sales, is presented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80" w:type="dxa"/>
            <w:vAlign w:val="bottom"/>
          </w:tcPr>
          <w:p>
            <w:pPr>
              <w:spacing w:after="0"/>
              <w:rPr>
                <w:sz w:val="16"/>
                <w:szCs w:val="16"/>
                <w:color w:val="auto"/>
              </w:rPr>
            </w:pPr>
          </w:p>
        </w:tc>
        <w:tc>
          <w:tcPr>
            <w:tcW w:w="3120" w:type="dxa"/>
            <w:vAlign w:val="bottom"/>
            <w:tcBorders>
              <w:bottom w:val="single" w:sz="8" w:color="auto"/>
            </w:tcBorders>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Borders>
              <w:bottom w:val="single" w:sz="8" w:color="auto"/>
            </w:tcBorders>
          </w:tcPr>
          <w:p>
            <w:pPr>
              <w:spacing w:after="0"/>
              <w:rPr>
                <w:sz w:val="16"/>
                <w:szCs w:val="16"/>
                <w:color w:val="auto"/>
              </w:rPr>
            </w:pPr>
          </w:p>
        </w:tc>
      </w:tr>
      <w:tr>
        <w:trPr>
          <w:trHeight w:val="196"/>
        </w:trPr>
        <w:tc>
          <w:tcPr>
            <w:tcW w:w="44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August 31, 2019</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August 31, 2019</w:t>
            </w:r>
          </w:p>
        </w:tc>
        <w:tc>
          <w:tcPr>
            <w:tcW w:w="200" w:type="dxa"/>
            <w:vAlign w:val="bottom"/>
            <w:tcBorders>
              <w:bottom w:val="single" w:sz="8" w:color="auto"/>
            </w:tcBorders>
          </w:tcPr>
          <w:p>
            <w:pPr>
              <w:spacing w:after="0"/>
              <w:rPr>
                <w:sz w:val="17"/>
                <w:szCs w:val="17"/>
                <w:color w:val="auto"/>
              </w:rPr>
            </w:pP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00" w:type="dxa"/>
            <w:vAlign w:val="bottom"/>
          </w:tcPr>
          <w:p>
            <w:pPr>
              <w:spacing w:after="0"/>
              <w:rPr>
                <w:sz w:val="21"/>
                <w:szCs w:val="2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4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Pr>
          <w:p>
            <w:pPr>
              <w:spacing w:after="0"/>
              <w:rPr>
                <w:sz w:val="21"/>
                <w:szCs w:val="2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4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21"/>
                <w:szCs w:val="21"/>
                <w:color w:val="auto"/>
              </w:rPr>
            </w:pPr>
          </w:p>
        </w:tc>
      </w:tr>
      <w:tr>
        <w:trPr>
          <w:trHeight w:val="27"/>
        </w:trPr>
        <w:tc>
          <w:tcPr>
            <w:tcW w:w="4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37"/>
        </w:trPr>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Borders>
              <w:top w:val="single" w:sz="8" w:color="auto"/>
            </w:tcBorders>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37"/>
        </w:trPr>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earnings</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37"/>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profit as a percent of sales was 23.8 percent and 22.4 percent for the three- and six-month periods ended August 29, 2020, compared to 24.1 percent and 23.5 percent for the three- and six-month periods ended August 31, 2019. The decrease in both periods of fiscal 2021 compared to fiscal 2020 was largely driven by lower volumes due to COVID-19 and market-related project delays.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expenses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SG&amp;A expenses as a percent of sales were 16.6 percent and 17.5 percent for the three- and six-month periods ended August 29, 2020, compared to 16.4 percent in each of the prior year three- and six-month periods. SG&amp;A increased as a percent of sales compared to the same periods in the prior year due to reduced leverage on lower sales, partially offset by the impact of temporary cost reduction actions taken by the Company in response to the current COVID-19 environment, procurement savings, and other cost reduction activities.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effective tax rate in the second quarter of fiscal 2021 was 23.7 percent, compared to 24.0 percent in the same period last year, and 24.4 percent for the first six months of fiscal 2021, compared to 24.2 percent in the prior year period.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Analysis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Framing Systems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96"/>
        </w:trPr>
        <w:tc>
          <w:tcPr>
            <w:tcW w:w="2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31, 2019</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31, 2019</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152,927</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187,394</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303,091</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367,916</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4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27,796</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7"/>
        </w:trPr>
        <w:tc>
          <w:tcPr>
            <w:tcW w:w="2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Architectural Framing Systems net sales declined $34.5 million, or 18.4 percent, and $64.8 million, or 17.6 percent, for the three- and six-month periods ended August 29, 2020, compared to the prior-year periods, reflecting COVID-19-related project delay and lower order volume.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margin decreased 70 and 130 basis points for the three- and six-month periods of the current year, compared to the same periods in the prior year, reflecting leverage on the lower revenue, partially offset by the cost reductions referenced above and improved productivity.</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As of August 29, 2020, segment backlog was approximately $404 million, compared to approximately $421 million as of the end of the prior quarter, reflecting the decline in order volume. Backlog represents the dollar amount of signed contracts or firm orders, generally as a result of a competitive bidding process, which may be expected to be recognized as revenue in the future. Backlog is not a term defined under U.S. GAAP and is not a measure of contract profitability. We view backlog as one indicator of future revenues, particularly in our longer-lead time businesses. In addition to backlog, we have a substantial amount of projects with short lead times that book-and-bill within the same reporting period and are not included in backlog. We have strong visibility beyond backlog, as projects awarded, verbal commitments and bidding activities are not included in backlog.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Glass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96"/>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31, 2019</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31, 2019</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8"/>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86,584</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99,138</w:t>
            </w:r>
          </w:p>
        </w:tc>
        <w:tc>
          <w:tcPr>
            <w:tcW w:w="16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163,495</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199,429</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4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38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12,859</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7"/>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7"/>
        </w:trPr>
        <w:tc>
          <w:tcPr>
            <w:tcW w:w="2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decreased $12.6 million, or 12.7 percent, and 35.9 million, or 18.0 percent, for the three- and six-month periods ended August 29, 2020, compared to the same periods in the prior year. The decrease reflects lower volumes due to COVID-19-related project delays and lower order volume due to market-related softness.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margin decreased 80 and 370 basis points for the three- and six-month periods of the current year, compared to the same periods in the prior year. The decline in operating margin in the current quarter compared to the second quarter of last year is due to the lower volume, partially offset by strong factory productivity, COVID-19 related temporary cost reductions, and procurement savings. For the year-to-date period, operating margin declined due to leverage on the lower volume and the impact of COVID-19-related costs.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Services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6"/>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31, 2019</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31, 2019</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auto"/>
            </w:tcBorders>
          </w:tcPr>
          <w:p>
            <w:pPr>
              <w:spacing w:after="0"/>
              <w:rPr>
                <w:sz w:val="17"/>
                <w:szCs w:val="17"/>
                <w:color w:val="auto"/>
              </w:rPr>
            </w:pPr>
          </w:p>
        </w:tc>
      </w:tr>
      <w:tr>
        <w:trPr>
          <w:trHeight w:val="248"/>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73,670</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61,597</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4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137,221</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126,744</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43"/>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7"/>
        </w:trPr>
        <w:tc>
          <w:tcPr>
            <w:tcW w:w="2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Architectural Services net sales increased $12.1 million, or 19.6 percent, and $10.5 million, or 8.3 percent, for the three- and six-month periods ended August 29, 2020, over the same periods in the prior year, on strong project cost flow.</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margin increased 240 and 200 basis points for the three- and six-month periods of the current year, compared to the same periods in the prior year, driven by strong project execution, procurement cost reductions and temporary cost reduction actions taken in response to COVID-19.</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29, 2020, segment backlog was approximately $665 million, compared to approximately $685 million as of the end of the prior quarter.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is described within the Architectural Framing Systems discussion above.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Large-Scale Optical (LSO)</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96"/>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31, 2019</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31, 2019</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8"/>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16,860</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20,785</w:t>
            </w:r>
          </w:p>
        </w:tc>
        <w:tc>
          <w:tcPr>
            <w:tcW w:w="16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  $</w:t>
            </w:r>
          </w:p>
        </w:tc>
        <w:tc>
          <w:tcPr>
            <w:tcW w:w="134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23,171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42,045</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4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1380" w:type="dxa"/>
            <w:vAlign w:val="bottom"/>
            <w:gridSpan w:val="3"/>
          </w:tcPr>
          <w:p>
            <w:pPr>
              <w:jc w:val="right"/>
              <w:ind w:right="248"/>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7"/>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7"/>
        </w:trPr>
        <w:tc>
          <w:tcPr>
            <w:tcW w:w="2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LSO net sales decreased $3.9 million or 18.9 percent, and $18.9 million, or 44.9 percent, for the three- and six-month periods ended August 29, 2020, over the same periods in the prior year. In the second quarter, the segment's customers had largely reopened, after having been closed for most of the first quarter due to COVID-19-related restrictions. In addition, the segment's two primary manufacturing locations resumed normal operations during the quarter, after being closed for most of the first and second quarters.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current quarter, the segment had operating income of $2.1 million and operating margin of 12.7 percent compared to operating income of $4.6 million and operating margin of 22.3 percent in last year's second quarter, reflecting decreased leverage on the lower revenue, partially offset by temporary COVID-19-related cost reductions and effective cost management. The segment had an operating loss of $1.0 million and operating margin of (4.2) percent for the six-month period ended August 29, 2020, compared to operating income of $8.8 million and operating margin of 20.9 percent for the same period of the prior year, reflecting the impact of the segment's temporary shutdown and resulting lower volume discussed above.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73"/>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cash flow data</w:t>
            </w:r>
          </w:p>
        </w:tc>
        <w:tc>
          <w:tcPr>
            <w:tcW w:w="2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105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August 29, 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August 31, 2019</w:t>
            </w:r>
          </w:p>
        </w:tc>
      </w:tr>
      <w:tr>
        <w:trPr>
          <w:trHeight w:val="249"/>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85,330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17,802</w:t>
            </w:r>
          </w:p>
        </w:tc>
      </w:tr>
      <w:tr>
        <w:trPr>
          <w:trHeight w:val="27"/>
        </w:trPr>
        <w:tc>
          <w:tcPr>
            <w:tcW w:w="7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(22,559)</w:t>
            </w:r>
          </w:p>
        </w:tc>
      </w:tr>
      <w:tr>
        <w:trPr>
          <w:trHeight w:val="27"/>
        </w:trPr>
        <w:tc>
          <w:tcPr>
            <w:tcW w:w="7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184,500</w:t>
            </w:r>
          </w:p>
        </w:tc>
      </w:tr>
      <w:tr>
        <w:trPr>
          <w:trHeight w:val="27"/>
        </w:trPr>
        <w:tc>
          <w:tcPr>
            <w:tcW w:w="7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 borrowings on debt</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150,000</w:t>
            </w:r>
          </w:p>
        </w:tc>
      </w:tr>
      <w:tr>
        <w:trPr>
          <w:trHeight w:val="243"/>
        </w:trPr>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(307,500)</w:t>
            </w:r>
          </w:p>
        </w:tc>
      </w:tr>
      <w:tr>
        <w:trPr>
          <w:trHeight w:val="27"/>
        </w:trPr>
        <w:tc>
          <w:tcPr>
            <w:tcW w:w="7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(20,010)</w:t>
            </w:r>
          </w:p>
        </w:tc>
      </w:tr>
      <w:tr>
        <w:trPr>
          <w:trHeight w:val="243"/>
        </w:trPr>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(9,203)</w:t>
            </w:r>
          </w:p>
        </w:tc>
      </w:tr>
    </w:tbl>
    <w:p>
      <w:pPr>
        <w:spacing w:after="0" w:line="3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Cash provided by operating activities was $85.3 million for the first six months of fiscal 2021, an increase of $67.5 million compared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prior-year period, reflecting strong working capital management.</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in investing activities was $15.2 million for the first six months of fiscal 2021, driven by capital expenditures of $14.2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while in the first six months of the prior year, net cash used by investing activities was $23.0 million, due to capital expenditures of $22.6 million. Given the uncertain economic environment in fiscal 2021, we have limited our capital spending to the most critical or high return capital projects.</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used by financing activities was $66.1 million for the first six months of fiscal 2021, compared to net cash used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financing activities of $4.7 million for the prior-year period, primarily due to $47.5 million of net payments on the line of credit in the current year, compared to net borrowings of $27.0 million in the prior-year period. At August 29, 2020, we were in compliance with the financial covenants on our credit facility and term loan.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paid dividends totaling $9.8 million ($0.3750 per share) in the first six months of fiscal 2021, compared to $9.2 million ($0.3500 per share) in the comparable prior-year period. In March 2020, we repurchased 231,492 shares under our authorized share repurchase program, for a total cost of $4.7 million. We did not repurchase any shares under this program during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second quarter. In the first six months of fiscal 2020, we repurchased 531,997 shares under our authorized share repurchase program, for a total cost of $20.0 million. Since the inception of the share repurchase program in 2004, we have purchased a total of 6,186,404 shares, at a total cost of $179.1 million. We currently have remaining authority to repurchase an additional 2,063,596 shares under this program. We will continue to evaluate making future share repurchases, considering our cash flow and debt levels, market conditions, including the continuing effects of the COVID-19 pandemic, and other potential uses of cash.</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Financing Activities. </w:t>
      </w:r>
      <w:r>
        <w:rPr>
          <w:rFonts w:ascii="Times New Roman" w:cs="Times New Roman" w:eastAsia="Times New Roman" w:hAnsi="Times New Roman"/>
          <w:sz w:val="18"/>
          <w:szCs w:val="18"/>
          <w:color w:val="auto"/>
        </w:rPr>
        <w:t>The following summarizes our significant contractual obligations that impact our liquidity as of August 29, 2020: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Payments Due by Fiscal Period</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Remainder of</w:t>
            </w:r>
          </w:p>
        </w:tc>
        <w:tc>
          <w:tcPr>
            <w:tcW w:w="160" w:type="dxa"/>
            <w:vAlign w:val="bottom"/>
          </w:tcPr>
          <w:p>
            <w:pPr>
              <w:spacing w:after="0"/>
              <w:rPr>
                <w:sz w:val="12"/>
                <w:szCs w:val="12"/>
                <w:color w:val="auto"/>
              </w:rPr>
            </w:pPr>
          </w:p>
        </w:tc>
        <w:tc>
          <w:tcPr>
            <w:tcW w:w="88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167,672</w:t>
            </w:r>
          </w:p>
        </w:tc>
        <w:tc>
          <w:tcPr>
            <w:tcW w:w="0" w:type="dxa"/>
            <w:vAlign w:val="bottom"/>
          </w:tcPr>
          <w:p>
            <w:pPr>
              <w:spacing w:after="0"/>
              <w:rPr>
                <w:sz w:val="1"/>
                <w:szCs w:val="1"/>
                <w:color w:val="auto"/>
              </w:rPr>
            </w:pPr>
          </w:p>
        </w:tc>
      </w:tr>
      <w:tr>
        <w:trPr>
          <w:trHeight w:val="24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 (undiscounted)</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60,782</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180,913</w:t>
            </w:r>
          </w:p>
        </w:tc>
        <w:tc>
          <w:tcPr>
            <w:tcW w:w="0" w:type="dxa"/>
            <w:vAlign w:val="bottom"/>
          </w:tcPr>
          <w:p>
            <w:pPr>
              <w:spacing w:after="0"/>
              <w:rPr>
                <w:sz w:val="1"/>
                <w:szCs w:val="1"/>
                <w:color w:val="auto"/>
              </w:rPr>
            </w:pPr>
          </w:p>
        </w:tc>
      </w:tr>
      <w:tr>
        <w:trPr>
          <w:trHeight w:val="237"/>
        </w:trPr>
        <w:tc>
          <w:tcPr>
            <w:tcW w:w="3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cash obligations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102,258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243,704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10,749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409,367</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acquire the use of certain assets through operating leases, such as property, manufacturing equipment, vehicles and other equipment. Purchase obligations in the table above relate to raw material commitments and capital expenditures.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to make contributions of $0.7 million to our defined-benefit pension plans in fiscal 2021, which will equal or exceed our minimum funding requirements.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August 29, 2020, we had reserves of $4.2 million for unrecognized tax benefits. We expect approximately $0.4 million of the unrecognized tax benefits to lapse during the next 12 months. We are unable to reasonably estimate in which future periods the remaining unrecognized tax benefits will ultimately be settled.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required, in the ordinary course of business, to provide surety or performance bonds that commit payments to our customers for any non-performance. At August 29, 2020, $1.1 billion of these types of bonds were outstanding, of which $589.1 million is in our backlog. These bonds do not have stated expiration dates. We have never been required to make payments under surety or performance bonds with respect to our existing businesses.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our ability to generate strong cash from operations and our borrowing capability under our committed revolving credit facility, we believe that our sources of liquidity will continue to be adequate to fund our working capital requirements, planned capital expenditures and dividend payments for at least the next 12 months.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COVID-19 Consideration. </w:t>
      </w:r>
      <w:r>
        <w:rPr>
          <w:rFonts w:ascii="Times New Roman" w:cs="Times New Roman" w:eastAsia="Times New Roman" w:hAnsi="Times New Roman"/>
          <w:sz w:val="18"/>
          <w:szCs w:val="18"/>
          <w:color w:val="auto"/>
        </w:rPr>
        <w:t>While we believe we have adequate sources of liquidity to continue to fund our business for at least the next 12 months,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extent to which the ongoing COVID-19 situation may impact our results of operations or liquidity is uncertain. To date, we have experienced some delays in commercial construction projects and orders due to COVID-19. While the construction and construction-related industries are considered an "essential business or service" in most jurisdictions in which we operate, site closures or project and order delays have occurred and increased social distancing and health-related precautions are required on many work sites, which have caused and may continue to cause additional project delays and additional costs to be incurred. Within the LSO segment, after being closed for most of the first and second quarters, we have resumed normal operations at the segment's two manufacturing locations during the quarter and many of our customer's retail locations have also reopened. We expect this global pandemic to continue to have an impact on our revenue and our results of operations, the size and duration of which we are currently unable to predict. At this time, we do not expect that the impact from the coronavirus outbreak will have a significant effect on our liquidity. As demonstrated during the first and second quarters, we have taken steps to increase available cash on hand including, but not limited to, active working capital management and targeted reductions in discretionary operating expenses and capital expenditures. Given the continuously evolving developments with respect to this pandemic, we cannot reasonably estimate the magnitude of the impact to our results of operations, liquidity or financial position. To the extent that our customers and suppliers are adversely impacted by the coronavirus outbreak, this could reduce the availability, or result in delays, of materials or supplies, or delays in customer payments, which in turn could materially interrupt our business operations, thereby negatively affecting our results of operations, and/or impact our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No material changes have occurred in the disclosure with respect to our related party transactions set forth in our Annual Report on Form 10-K for the fiscal year ended February 29, 2020.</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No material changes have occurred in the disclosure of our critical accounting policies set forth in our Annual Report on Form 10-K for the fiscal year ended February 29, 2020, other than as described in our Current Report on Form 10-Q for the fiscal quarter ended May 30, 2020 and as noted below.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 impairment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evaluate goodwill for impairment annually at our year-end, or more frequently if events or changes in circumstances indicate the carrying value of the goodwill may not be recoverable. During the first quarter of fiscal 2021, we identified qualitative indicators of impairment, including a significant decline in our stock price and market capitalization, along with concerns resulting from the COVID-19 pandemic at four of our nine identified reporting units. Therefore, we performed an interim goodwill impairment evaluation as of May 30, 2020. If the fair value of a reporting unit exceeds the carrying value, goodwill impairment is not indicated. Our accounting policy related to goodwill has not changed from that disclosed in our Annual Report on Form 10-K.</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Based on the results of the interim quantitative goodwill impairment analysis, the estimated fair value of each reporting unit exceeded its carrying value and, therefore, goodwill impairment was not indicated as of May 30, 2020. However, the estimated fair value did not exceed carrying value by a significant margin at two reporting units within the Architectural Framing Systems segment, EFCO and Sotawall, which had goodwill balances of $90.4 million and $26.7 million, respectively, at May 30, 2020. We utilized a discount rate of 11.0 percent in determining the discounted cash flows for EFCO and a discount rate of 10.4 percent in determining the discounted cash flows for Sotawall. We utilized a long-term growth rate of 3.0 percent in our fair value analysis for all reporting units. If our discount rates were to increase by 100 basis points at Sotawall and EFCO, the fair value of these reporting units would fall below carrying value, which would indicate impairment of the goodwill. Additionally, this discounted cash flow analysis is dependent upon achieving forecasted levels of revenue and profitability. If revenue or profitability were to fall below forecasted levels, or if market conditions were to decline in a material or sustained manner, impairment could be indicated at these reporting units, and potentially at other reporting units. During the second quarter of fiscal 2021, no additional qualitative indicators of impairment were identified and therefore, no interim quantitative goodwill impairment evaluation was completed as of August 29, 2020. If the impacts that we have experienced from COVID-19 continue at the current or worsening levels, this will likely have a negative impact on our forecasted revenue and profitability and this could result in an indication of goodwill impairment in future periods.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Indefinite-lived intangible assets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hold intangible assets for certain acquired trade names and trademarks which are determined to have indefinite useful lives. We evaluate the reasonableness of the useful life and test indefinite-lived intangible assets for impairment annually at our year-end, or more frequently if events or changes in circumstances indicate that it is more likely than not that the asset is impaired. During the first quarter of fiscal 2021, we identified qualitative indicators of impairment, including deteriorating macroeconomic conditions resulting from the COVID-19 pandemic. Therefore, the Company performed a quantitative indefinite-lived intangible asset impairment evaluation as of May 30, 2020. If the carrying amount of an indefinite-lived intangible asset exceeds its fair value, an impairment loss is recognized in an amount equal to that excess. If an impairment loss is recognized, the adjusted carrying amount becomes the asset's new accounting basis. Our accounting policy for indefinite-lived intangible assets has not changed from that disclosed in our Annual Report on Form 10-K.</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Fair value is measured using the relief-from-royalty method. This method assumes the trade name or trademark has value to the extent that the owner is relieved of the obligation to pay royalties for the benefits received from the asset. This method requires us to estimate the future revenue from the related asset, the appropriate royalty rate, and the weighted average cost of capital. The assessment of fair value involves significant judgment and projections about future performance. In determining the discounted future revenue in our fair value analysis, we used discount rates that are appropriate with the risks and uncertainties inherent in the respective businesses in the range of 10.9 percent to 11.5 percent, royalty rates of 1.5 to 2.0 percent, and a long-term growth rate of 3.0 percent. Based on our analysis, the fair value of each of our trade names exceeded its carrying amount and impairment was not indicated. During the second quarter of fiscal 2021, no additional qualitative indicators of impairment were identified and therefore, no interim quantitative indefinite-lived intangible asset impairment evaluation was completed as of August 29, 2020. We continue to conclude that the useful life of our indefinite-lived intangible assets is appropriate. If future revenue were to fall below forecasted levels or if market conditions were to decline in a material or sustained manner, due to COVID-19 or otherwise, impairment could be indicated on one or more of our indefinite-lived intangible assets.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material changes have occurred to the disclosures of quantitative and qualitative market risk set forth in our Annual Report on Form 10-K for the fiscal year ended February 29, 2020.</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ind w:left="1300" w:hanging="644"/>
        <w:spacing w:after="0" w:line="254" w:lineRule="auto"/>
        <w:tabs>
          <w:tab w:leader="none" w:pos="129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Securities Exchange Act of 1934, as amended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8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controls: There was no change in the Company’s internal control over financial reporting that occurred during the fiscal quarter ended August 29, 2020, that has materially affected, or is reasonably likely to materially affect, the Company’s internal control over financial reporting.</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or additions to our risk factors discussed in our Annual Report on Form 10-K for the fiscal year ended February 29, 2020, except as noted below.</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The novel coronavirus (COVID-19) pandemic, efforts to mitigate the pandemic, and the related weakening economic conditions, have impacted our business and could have a significant negative impact on our operations, liquidity, financial condition and financial results</w:t>
      </w:r>
    </w:p>
    <w:p>
      <w:pPr>
        <w:jc w:val="both"/>
        <w:spacing w:after="0" w:line="251" w:lineRule="auto"/>
        <w:rPr>
          <w:sz w:val="20"/>
          <w:szCs w:val="20"/>
          <w:color w:val="auto"/>
        </w:rPr>
      </w:pPr>
      <w:r>
        <w:rPr>
          <w:rFonts w:ascii="Times New Roman" w:cs="Times New Roman" w:eastAsia="Times New Roman" w:hAnsi="Times New Roman"/>
          <w:sz w:val="18"/>
          <w:szCs w:val="18"/>
          <w:color w:val="auto"/>
        </w:rPr>
        <w:t>In the last quarter of our fiscal 2020, a novel strain of coronavirus, COVID-19, started to impact the global economic environment causing extreme volatility and uncertainty in global markets. In March 2020, the World Health Organization declared COVID-19 to be a global pandemic and we started to see certain impacts to our business. This contagious disease outbreak, which has continued to spread, and the related adverse public health developments, and government orders to "stay in place" have adversely affected work forces, economies and financial markets globally. Quarantines and "stay in place" orders, the timing and length of containment and eradication solutions, travel restrictions, absenteeism by infected workers, labor shortages or other disruptions to our supply chain or our customers, have adversely impacted our sales and operating results and have resulted in some project delays. In addition, the pandemic has resulted in an economic downturn that could affect the ability of our customers to obtain financing for projects and therefore impact demand for our products and services. Order lead times could be extended or delayed and our pricing or pricing of suppliers for needed materials could increase. Some materials, products or services critical to our operations may become unavailable if the regional or global spread were significant enough to prevent alternative sourcing. Accordingly, in certain cases we have found alternative product sourcing and will continue to evaluate this in the event that material supply becomes problematic.</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we have experienced some delays in commercial construction projects due to COVID-19. While the construction and construction-related industries are considered an "essential business or service" in most jurisdictions in which we operate, site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closures or project delays have occurred and increased social distancing and health-related precautions are required on many work sites, which may cause additional project delays and additional costs to be incurred. Within the LSO segment, we also experienced the temporary closure of many of our customer's retail locations and we temporarily shut down our factories in this segment to comply with government "stay in place" orders. We reopened our factories in the LSO segment during the second half of our second quarter.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global pandemic has had, and we expect it to continue to have, an impact on our revenue and our results of operations, the size and duration of which we are currently unable to predict. The global outbreak of COVID-19 continues to evolve. The extent to which COVID-19 will impact our business will depend on future developments, which are highly uncertain and cannot be predicted with confidence, such as the ultimate severity and spread of the disease, the duration or future outbreak surges, travel restrictions and social distancing requirements in the United States and other countries, business closures or business disruptions and the effectiveness of actions taken in the United States and other countries to contain and treat the disease.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continuously evolving developments with respect to this pandemic, we cannot reasonably estimate the magnitude of the impact to our results of operations, liquidity or financial position. To the extent that our customers and suppliers are adversely impacted by the coronavirus outbreak, this could reduce the availability, or result in delays, of materials or supplies, or delays in customer payments, which in turn could materially interrupt our business operations, thereby negatively affecting our results of operations, and/or impact our liquidity.</w:t>
      </w: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made by the Company of its own stock during the second quarter of fiscal 2021: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00" w:type="dxa"/>
            <w:vAlign w:val="bottom"/>
          </w:tcPr>
          <w:p>
            <w:pPr>
              <w:spacing w:after="0"/>
              <w:rPr>
                <w:sz w:val="12"/>
                <w:szCs w:val="12"/>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vMerge w:val="restart"/>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95"/>
        </w:trPr>
        <w:tc>
          <w:tcPr>
            <w:tcW w:w="4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 (a)</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(b)</w:t>
            </w:r>
          </w:p>
        </w:tc>
        <w:tc>
          <w:tcPr>
            <w:tcW w:w="12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(b)</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31, 2020 to June 27, 2020</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22,036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2,063,596</w:t>
            </w:r>
          </w:p>
        </w:tc>
        <w:tc>
          <w:tcPr>
            <w:tcW w:w="0" w:type="dxa"/>
            <w:vAlign w:val="bottom"/>
          </w:tcPr>
          <w:p>
            <w:pPr>
              <w:spacing w:after="0"/>
              <w:rPr>
                <w:sz w:val="1"/>
                <w:szCs w:val="1"/>
                <w:color w:val="auto"/>
              </w:rPr>
            </w:pPr>
          </w:p>
        </w:tc>
      </w:tr>
      <w:tr>
        <w:trPr>
          <w:trHeight w:val="24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28, 2020 to July 25, 2020</w:t>
            </w: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Pr>
          <w:p>
            <w:pPr>
              <w:spacing w:after="0"/>
              <w:rPr>
                <w:sz w:val="21"/>
                <w:szCs w:val="21"/>
                <w:color w:val="auto"/>
              </w:rPr>
            </w:pPr>
          </w:p>
        </w:tc>
        <w:tc>
          <w:tcPr>
            <w:tcW w:w="186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2,063,596</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26, 2020 to August 29, 2020</w:t>
            </w: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2,063,596</w:t>
            </w:r>
          </w:p>
        </w:tc>
        <w:tc>
          <w:tcPr>
            <w:tcW w:w="0" w:type="dxa"/>
            <w:vAlign w:val="bottom"/>
          </w:tcPr>
          <w:p>
            <w:pPr>
              <w:spacing w:after="0"/>
              <w:rPr>
                <w:sz w:val="1"/>
                <w:szCs w:val="1"/>
                <w:color w:val="auto"/>
              </w:rPr>
            </w:pPr>
          </w:p>
        </w:tc>
      </w:tr>
      <w:tr>
        <w:trPr>
          <w:trHeight w:val="237"/>
        </w:trPr>
        <w:tc>
          <w:tcPr>
            <w:tcW w:w="4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23,153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tcPr>
          <w:p>
            <w:pPr>
              <w:spacing w:after="0"/>
              <w:rPr>
                <w:sz w:val="20"/>
                <w:szCs w:val="20"/>
                <w:color w:val="auto"/>
              </w:rPr>
            </w:pPr>
          </w:p>
        </w:tc>
        <w:tc>
          <w:tcPr>
            <w:tcW w:w="1740" w:type="dxa"/>
            <w:vAlign w:val="bottom"/>
            <w:tcBorders>
              <w:top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2,063,596</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660" w:hanging="652"/>
        <w:spacing w:after="0" w:line="253" w:lineRule="auto"/>
        <w:tabs>
          <w:tab w:leader="none" w:pos="65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in this column represent the total number of shares that were surrendered to us by plan participants to satisfy stock-for-stock option exercises or withholding tax obligations related to share-based compensation. We did not purchase any shares pursuant to our publicly announced repurchase program during the fiscal quarter.</w:t>
      </w:r>
    </w:p>
    <w:p>
      <w:pPr>
        <w:jc w:val="both"/>
        <w:ind w:left="660" w:hanging="652"/>
        <w:spacing w:after="0" w:line="249" w:lineRule="auto"/>
        <w:tabs>
          <w:tab w:leader="none" w:pos="65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and January 14, 2020; and by 2,000,000 shares, announced on October 3, 2018. The repurchase program does not have an expiration 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640" w:type="dxa"/>
            <w:vAlign w:val="bottom"/>
            <w:gridSpan w:val="14"/>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121"/>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89"/>
        </w:trPr>
        <w:tc>
          <w:tcPr>
            <w:tcW w:w="340" w:type="dxa"/>
            <w:vAlign w:val="bottom"/>
            <w:gridSpan w:val="2"/>
            <w:shd w:val="clear" w:color="auto" w:fill="CCEEFF"/>
          </w:tcPr>
          <w:p>
            <w:pPr>
              <w:ind w:left="20"/>
              <w:spacing w:after="0" w:line="189" w:lineRule="exact"/>
              <w:rPr>
                <w:rFonts w:ascii="Times New Roman" w:cs="Times New Roman" w:eastAsia="Times New Roman" w:hAnsi="Times New Roman"/>
                <w:sz w:val="18"/>
                <w:szCs w:val="18"/>
                <w:u w:val="single" w:color="auto"/>
                <w:color w:val="0000FF"/>
              </w:rPr>
            </w:pPr>
            <w:hyperlink r:id="rId44">
              <w:r>
                <w:rPr>
                  <w:rFonts w:ascii="Times New Roman" w:cs="Times New Roman" w:eastAsia="Times New Roman" w:hAnsi="Times New Roman"/>
                  <w:sz w:val="18"/>
                  <w:szCs w:val="18"/>
                  <w:u w:val="single" w:color="auto"/>
                  <w:color w:val="0000FF"/>
                </w:rPr>
                <w:t>3.1</w:t>
              </w:r>
            </w:hyperlink>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880" w:type="dxa"/>
            <w:vAlign w:val="bottom"/>
            <w:tcBorders>
              <w:right w:val="single" w:sz="8" w:color="CCEEFF"/>
            </w:tcBorders>
            <w:gridSpan w:val="13"/>
            <w:shd w:val="clear" w:color="auto" w:fill="CCEEFF"/>
          </w:tcPr>
          <w:p>
            <w:pPr>
              <w:spacing w:after="0" w:line="189"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u w:val="single" w:color="auto"/>
                  <w:color w:val="0000FF"/>
                </w:rPr>
                <w:t>Restated</w:t>
              </w:r>
              <w:r>
                <w:rPr>
                  <w:rFonts w:ascii="Times New Roman" w:cs="Times New Roman" w:eastAsia="Times New Roman" w:hAnsi="Times New Roman"/>
                  <w:sz w:val="18"/>
                  <w:szCs w:val="18"/>
                  <w:color w:val="0000FF"/>
                </w:rPr>
                <w:t xml:space="preserve"> Articles of Incorporation. (Incorporated by reference to Exhibit 3.1 to Registrant's Annual Report on Form 10-K for the year-</w:t>
              </w:r>
            </w:hyperlink>
          </w:p>
        </w:tc>
      </w:tr>
      <w:tr>
        <w:trPr>
          <w:trHeight w:val="20"/>
        </w:trPr>
        <w:tc>
          <w:tcPr>
            <w:tcW w:w="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880" w:type="dxa"/>
            <w:vAlign w:val="bottom"/>
            <w:tcBorders>
              <w:right w:val="single" w:sz="8" w:color="CCEEFF"/>
            </w:tcBorders>
            <w:gridSpan w:val="13"/>
            <w:shd w:val="clear" w:color="auto" w:fill="CCEEFF"/>
          </w:tcPr>
          <w:p>
            <w:pPr>
              <w:spacing w:after="0" w:line="15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ended February 28, 2004.)</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89"/>
        </w:trPr>
        <w:tc>
          <w:tcPr>
            <w:tcW w:w="340" w:type="dxa"/>
            <w:vAlign w:val="bottom"/>
            <w:gridSpan w:val="2"/>
          </w:tcPr>
          <w:p>
            <w:pPr>
              <w:ind w:left="20"/>
              <w:spacing w:after="0" w:line="189" w:lineRule="exact"/>
              <w:rPr>
                <w:rFonts w:ascii="Times New Roman" w:cs="Times New Roman" w:eastAsia="Times New Roman" w:hAnsi="Times New Roman"/>
                <w:sz w:val="18"/>
                <w:szCs w:val="18"/>
                <w:u w:val="single" w:color="auto"/>
                <w:color w:val="0000FF"/>
              </w:rPr>
            </w:pPr>
            <w:hyperlink r:id="rId45">
              <w:r>
                <w:rPr>
                  <w:rFonts w:ascii="Times New Roman" w:cs="Times New Roman" w:eastAsia="Times New Roman" w:hAnsi="Times New Roman"/>
                  <w:sz w:val="18"/>
                  <w:szCs w:val="18"/>
                  <w:u w:val="single" w:color="auto"/>
                  <w:color w:val="0000FF"/>
                </w:rPr>
                <w:t>3.2</w:t>
              </w:r>
            </w:hyperlink>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80" w:type="dxa"/>
            <w:vAlign w:val="bottom"/>
            <w:gridSpan w:val="13"/>
          </w:tcPr>
          <w:p>
            <w:pPr>
              <w:spacing w:after="0" w:line="189"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Articles of Amendment to Restated Articles of Incorporation. (Incorporated by reference to Exhibit 3.1 to Registrant's Current Report</w:t>
              </w:r>
            </w:hyperlink>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7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on Form 8-K filed on January 16, 2020.)</w:t>
              </w:r>
            </w:hyperlink>
          </w:p>
        </w:tc>
        <w:tc>
          <w:tcPr>
            <w:tcW w:w="10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340" w:type="dxa"/>
            <w:vAlign w:val="bottom"/>
            <w:gridSpan w:val="2"/>
            <w:shd w:val="clear" w:color="auto" w:fill="CCEEFF"/>
          </w:tcPr>
          <w:p>
            <w:pPr>
              <w:ind w:left="20"/>
              <w:spacing w:after="0" w:line="189" w:lineRule="exact"/>
              <w:rPr>
                <w:rFonts w:ascii="Times New Roman" w:cs="Times New Roman" w:eastAsia="Times New Roman" w:hAnsi="Times New Roman"/>
                <w:sz w:val="18"/>
                <w:szCs w:val="18"/>
                <w:u w:val="single" w:color="auto"/>
                <w:color w:val="0000FF"/>
              </w:rPr>
            </w:pPr>
            <w:hyperlink r:id="rId46">
              <w:r>
                <w:rPr>
                  <w:rFonts w:ascii="Times New Roman" w:cs="Times New Roman" w:eastAsia="Times New Roman" w:hAnsi="Times New Roman"/>
                  <w:sz w:val="18"/>
                  <w:szCs w:val="18"/>
                  <w:u w:val="single" w:color="auto"/>
                  <w:color w:val="0000FF"/>
                </w:rPr>
                <w:t>3.3</w:t>
              </w:r>
            </w:hyperlink>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880" w:type="dxa"/>
            <w:vAlign w:val="bottom"/>
            <w:tcBorders>
              <w:right w:val="single" w:sz="8" w:color="CCEEFF"/>
            </w:tcBorders>
            <w:gridSpan w:val="13"/>
            <w:shd w:val="clear" w:color="auto" w:fill="CCEEFF"/>
          </w:tcPr>
          <w:p>
            <w:pPr>
              <w:spacing w:after="0" w:line="189"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Amended and Restated Bylaws of Apogee Enterprises, Inc. (Incorporated by reference to Exhibit 3.1 to Registrant's Current Report on</w:t>
              </w:r>
            </w:hyperlink>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2360" w:type="dxa"/>
            <w:vAlign w:val="bottom"/>
            <w:tcBorders>
              <w:top w:val="single" w:sz="8" w:color="0000FF"/>
              <w:bottom w:val="single" w:sz="8" w:color="0000FF"/>
            </w:tcBorders>
            <w:gridSpan w:val="5"/>
            <w:shd w:val="clear" w:color="auto" w:fill="CCEEFF"/>
          </w:tcPr>
          <w:p>
            <w:pPr>
              <w:spacing w:after="0" w:line="156" w:lineRule="exact"/>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Form 8-K filed on July 3, 2018.)</w:t>
              </w:r>
            </w:hyperlink>
          </w:p>
        </w:tc>
        <w:tc>
          <w:tcPr>
            <w:tcW w:w="7520" w:type="dxa"/>
            <w:vAlign w:val="bottom"/>
            <w:tcBorders>
              <w:top w:val="single" w:sz="8" w:color="0000FF"/>
              <w:bottom w:val="single" w:sz="8" w:color="CCEEFF"/>
              <w:right w:val="single" w:sz="8" w:color="CCEEFF"/>
            </w:tcBorders>
            <w:gridSpan w:val="8"/>
            <w:shd w:val="clear" w:color="auto" w:fill="CCEEFF"/>
          </w:tcPr>
          <w:p>
            <w:pPr>
              <w:spacing w:after="0"/>
              <w:rPr>
                <w:sz w:val="15"/>
                <w:szCs w:val="15"/>
                <w:color w:val="auto"/>
              </w:rPr>
            </w:pPr>
          </w:p>
        </w:tc>
      </w:tr>
      <w:tr>
        <w:trPr>
          <w:trHeight w:val="189"/>
        </w:trPr>
        <w:tc>
          <w:tcPr>
            <w:tcW w:w="68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760" w:type="dxa"/>
            <w:vAlign w:val="bottom"/>
          </w:tcPr>
          <w:p>
            <w:pPr>
              <w:spacing w:after="0"/>
              <w:rPr>
                <w:sz w:val="16"/>
                <w:szCs w:val="16"/>
                <w:color w:val="auto"/>
              </w:rPr>
            </w:pPr>
          </w:p>
        </w:tc>
        <w:tc>
          <w:tcPr>
            <w:tcW w:w="9880" w:type="dxa"/>
            <w:vAlign w:val="bottom"/>
            <w:gridSpan w:val="13"/>
          </w:tcPr>
          <w:p>
            <w:pPr>
              <w:spacing w:after="0" w:line="18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Form of Stock Option Agreement under the Apogee Enterprises, Inc. 2019 Stock Incentive Plan. (Incorporated by reference to Exhibit</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Registrant's Current Report on Form 8-K filed on July 7, 2020.)</w:t>
              </w:r>
            </w:hyperlink>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220" w:type="dxa"/>
            <w:vAlign w:val="bottom"/>
            <w:tcBorders>
              <w:top w:val="single" w:sz="8" w:color="0000FF"/>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680" w:type="dxa"/>
            <w:vAlign w:val="bottom"/>
            <w:gridSpan w:val="3"/>
            <w:shd w:val="clear" w:color="auto" w:fill="CCEEFF"/>
          </w:tcPr>
          <w:p>
            <w:pPr>
              <w:ind w:left="20"/>
              <w:spacing w:after="0" w:line="189" w:lineRule="exact"/>
              <w:rPr>
                <w:rFonts w:ascii="Times New Roman" w:cs="Times New Roman" w:eastAsia="Times New Roman" w:hAnsi="Times New Roman"/>
                <w:sz w:val="18"/>
                <w:szCs w:val="18"/>
                <w:u w:val="single" w:color="auto"/>
                <w:color w:val="0000FF"/>
              </w:rPr>
            </w:pPr>
            <w:hyperlink r:id="rId48">
              <w:r>
                <w:rPr>
                  <w:rFonts w:ascii="Times New Roman" w:cs="Times New Roman" w:eastAsia="Times New Roman" w:hAnsi="Times New Roman"/>
                  <w:sz w:val="18"/>
                  <w:szCs w:val="18"/>
                  <w:u w:val="single" w:color="auto"/>
                  <w:color w:val="0000FF"/>
                </w:rPr>
                <w:t>10.2</w:t>
              </w:r>
            </w:hyperlink>
          </w:p>
        </w:tc>
        <w:tc>
          <w:tcPr>
            <w:tcW w:w="760" w:type="dxa"/>
            <w:vAlign w:val="bottom"/>
            <w:shd w:val="clear" w:color="auto" w:fill="CCEEFF"/>
          </w:tcPr>
          <w:p>
            <w:pPr>
              <w:spacing w:after="0"/>
              <w:rPr>
                <w:sz w:val="16"/>
                <w:szCs w:val="16"/>
                <w:color w:val="auto"/>
              </w:rPr>
            </w:pPr>
          </w:p>
        </w:tc>
        <w:tc>
          <w:tcPr>
            <w:tcW w:w="9880" w:type="dxa"/>
            <w:vAlign w:val="bottom"/>
            <w:tcBorders>
              <w:right w:val="single" w:sz="8" w:color="CCEEFF"/>
            </w:tcBorders>
            <w:gridSpan w:val="13"/>
            <w:shd w:val="clear" w:color="auto" w:fill="CCEEFF"/>
          </w:tcPr>
          <w:p>
            <w:pPr>
              <w:spacing w:after="0" w:line="18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Form of Annual Cash Incentive Award Agreement. (Incorporated by reference to Exhibit 10.2 to Registrant's Current Report on Form</w:t>
              </w:r>
            </w:hyperlink>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1920" w:type="dxa"/>
            <w:vAlign w:val="bottom"/>
            <w:tcBorders>
              <w:top w:val="single" w:sz="8" w:color="0000FF"/>
              <w:bottom w:val="single" w:sz="8" w:color="0000FF"/>
            </w:tcBorders>
            <w:gridSpan w:val="4"/>
            <w:shd w:val="clear" w:color="auto" w:fill="CCEEFF"/>
          </w:tcPr>
          <w:p>
            <w:pPr>
              <w:spacing w:after="0" w:line="156" w:lineRule="exact"/>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8-K filed on July 7, 2020.)</w:t>
              </w:r>
            </w:hyperlink>
          </w:p>
        </w:tc>
        <w:tc>
          <w:tcPr>
            <w:tcW w:w="7960" w:type="dxa"/>
            <w:vAlign w:val="bottom"/>
            <w:tcBorders>
              <w:top w:val="single" w:sz="8" w:color="0000FF"/>
              <w:bottom w:val="single" w:sz="8" w:color="CCEEFF"/>
              <w:right w:val="single" w:sz="8" w:color="CCEEFF"/>
            </w:tcBorders>
            <w:gridSpan w:val="9"/>
            <w:shd w:val="clear" w:color="auto" w:fill="CCEEFF"/>
          </w:tcPr>
          <w:p>
            <w:pPr>
              <w:spacing w:after="0"/>
              <w:rPr>
                <w:sz w:val="15"/>
                <w:szCs w:val="15"/>
                <w:color w:val="auto"/>
              </w:rPr>
            </w:pPr>
          </w:p>
        </w:tc>
      </w:tr>
      <w:tr>
        <w:trPr>
          <w:trHeight w:val="189"/>
        </w:trPr>
        <w:tc>
          <w:tcPr>
            <w:tcW w:w="680" w:type="dxa"/>
            <w:vAlign w:val="bottom"/>
            <w:gridSpan w:val="3"/>
          </w:tcPr>
          <w:p>
            <w:pPr>
              <w:ind w:left="20"/>
              <w:spacing w:after="0" w:line="189" w:lineRule="exact"/>
              <w:rPr>
                <w:rFonts w:ascii="Times New Roman" w:cs="Times New Roman" w:eastAsia="Times New Roman" w:hAnsi="Times New Roman"/>
                <w:sz w:val="18"/>
                <w:szCs w:val="18"/>
                <w:u w:val="single" w:color="auto"/>
                <w:color w:val="0000FF"/>
              </w:rPr>
            </w:pPr>
            <w:hyperlink r:id="rId49">
              <w:r>
                <w:rPr>
                  <w:rFonts w:ascii="Times New Roman" w:cs="Times New Roman" w:eastAsia="Times New Roman" w:hAnsi="Times New Roman"/>
                  <w:sz w:val="18"/>
                  <w:szCs w:val="18"/>
                  <w:u w:val="single" w:color="auto"/>
                  <w:color w:val="0000FF"/>
                </w:rPr>
                <w:t>10.3</w:t>
              </w:r>
            </w:hyperlink>
          </w:p>
        </w:tc>
        <w:tc>
          <w:tcPr>
            <w:tcW w:w="760" w:type="dxa"/>
            <w:vAlign w:val="bottom"/>
          </w:tcPr>
          <w:p>
            <w:pPr>
              <w:spacing w:after="0"/>
              <w:rPr>
                <w:sz w:val="16"/>
                <w:szCs w:val="16"/>
                <w:color w:val="auto"/>
              </w:rPr>
            </w:pPr>
          </w:p>
        </w:tc>
        <w:tc>
          <w:tcPr>
            <w:tcW w:w="9880" w:type="dxa"/>
            <w:vAlign w:val="bottom"/>
            <w:gridSpan w:val="13"/>
          </w:tcPr>
          <w:p>
            <w:pPr>
              <w:spacing w:after="0" w:line="18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u w:val="single" w:color="auto"/>
                  <w:color w:val="0000FF"/>
                </w:rPr>
                <w:t>Form of Change-in-Control Severance Agreement entered into with Nisheet Gupta as of June 30, 2020.</w:t>
              </w:r>
              <w:r>
                <w:rPr>
                  <w:rFonts w:ascii="Times New Roman" w:cs="Times New Roman" w:eastAsia="Times New Roman" w:hAnsi="Times New Roman"/>
                  <w:sz w:val="18"/>
                  <w:szCs w:val="18"/>
                  <w:color w:val="0000FF"/>
                </w:rPr>
                <w:t xml:space="preserve"> (Incorporated herein by</w:t>
              </w:r>
            </w:hyperlink>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60" w:type="dxa"/>
            <w:vAlign w:val="bottom"/>
            <w:gridSpan w:val="9"/>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reference to Exhibit 10.38 to the Company’s Annual Report on Form 10-K filed on April 30, 2018.)</w:t>
              </w:r>
            </w:hyperlink>
          </w:p>
        </w:tc>
        <w:tc>
          <w:tcPr>
            <w:tcW w:w="18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22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80" w:type="dxa"/>
            <w:vAlign w:val="bottom"/>
            <w:gridSpan w:val="3"/>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31.1</w:t>
              </w:r>
            </w:hyperlink>
          </w:p>
        </w:tc>
        <w:tc>
          <w:tcPr>
            <w:tcW w:w="760" w:type="dxa"/>
            <w:vAlign w:val="bottom"/>
            <w:shd w:val="clear" w:color="auto" w:fill="CCEEFF"/>
          </w:tcPr>
          <w:p>
            <w:pPr>
              <w:spacing w:after="0"/>
              <w:rPr>
                <w:sz w:val="19"/>
                <w:szCs w:val="19"/>
                <w:color w:val="auto"/>
              </w:rPr>
            </w:pPr>
          </w:p>
        </w:tc>
        <w:tc>
          <w:tcPr>
            <w:tcW w:w="9880" w:type="dxa"/>
            <w:vAlign w:val="bottom"/>
            <w:tcBorders>
              <w:right w:val="single" w:sz="8" w:color="CCEEFF"/>
            </w:tcBorders>
            <w:gridSpan w:val="13"/>
            <w:shd w:val="clear" w:color="auto" w:fill="CCEEFF"/>
          </w:tcPr>
          <w:p>
            <w:pPr>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Certification of Chief Executive Officer pursuant to Rule 13a-14(a) under the Securities Exchange Act of 1934.</w:t>
              </w:r>
            </w:hyperlink>
          </w:p>
        </w:tc>
      </w:tr>
      <w:tr>
        <w:trPr>
          <w:trHeight w:val="230"/>
        </w:trPr>
        <w:tc>
          <w:tcPr>
            <w:tcW w:w="680" w:type="dxa"/>
            <w:vAlign w:val="bottom"/>
            <w:gridSpan w:val="3"/>
          </w:tcPr>
          <w:p>
            <w:pPr>
              <w:ind w:left="20"/>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31.2</w:t>
              </w:r>
            </w:hyperlink>
          </w:p>
        </w:tc>
        <w:tc>
          <w:tcPr>
            <w:tcW w:w="760" w:type="dxa"/>
            <w:vAlign w:val="bottom"/>
          </w:tcPr>
          <w:p>
            <w:pPr>
              <w:spacing w:after="0"/>
              <w:rPr>
                <w:sz w:val="19"/>
                <w:szCs w:val="19"/>
                <w:color w:val="auto"/>
              </w:rPr>
            </w:pPr>
          </w:p>
        </w:tc>
        <w:tc>
          <w:tcPr>
            <w:tcW w:w="9880" w:type="dxa"/>
            <w:vAlign w:val="bottom"/>
            <w:gridSpan w:val="13"/>
          </w:tcPr>
          <w:p>
            <w:pPr>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Certification of Chief Financial Officer pursuant to Rule 13a-14(a) under the Securities Exchange Act of 1934.</w:t>
              </w:r>
            </w:hyperlink>
          </w:p>
        </w:tc>
      </w:tr>
      <w:tr>
        <w:trPr>
          <w:trHeight w:val="189"/>
        </w:trPr>
        <w:tc>
          <w:tcPr>
            <w:tcW w:w="680" w:type="dxa"/>
            <w:vAlign w:val="bottom"/>
            <w:gridSpan w:val="3"/>
            <w:shd w:val="clear" w:color="auto" w:fill="CCEEFF"/>
          </w:tcPr>
          <w:p>
            <w:pPr>
              <w:ind w:left="20"/>
              <w:spacing w:after="0" w:line="189" w:lineRule="exact"/>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32.1</w:t>
              </w:r>
            </w:hyperlink>
          </w:p>
        </w:tc>
        <w:tc>
          <w:tcPr>
            <w:tcW w:w="760" w:type="dxa"/>
            <w:vAlign w:val="bottom"/>
            <w:shd w:val="clear" w:color="auto" w:fill="CCEEFF"/>
          </w:tcPr>
          <w:p>
            <w:pPr>
              <w:spacing w:after="0"/>
              <w:rPr>
                <w:sz w:val="16"/>
                <w:szCs w:val="16"/>
                <w:color w:val="auto"/>
              </w:rPr>
            </w:pPr>
          </w:p>
        </w:tc>
        <w:tc>
          <w:tcPr>
            <w:tcW w:w="9880" w:type="dxa"/>
            <w:vAlign w:val="bottom"/>
            <w:tcBorders>
              <w:right w:val="single" w:sz="8" w:color="CCEEFF"/>
            </w:tcBorders>
            <w:gridSpan w:val="13"/>
            <w:shd w:val="clear" w:color="auto" w:fill="CCEEFF"/>
          </w:tcPr>
          <w:p>
            <w:pPr>
              <w:spacing w:after="0" w:line="189" w:lineRule="exact"/>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w:t>
              </w:r>
            </w:hyperlink>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9740" w:type="dxa"/>
            <w:vAlign w:val="bottom"/>
            <w:tcBorders>
              <w:top w:val="single" w:sz="8" w:color="0000FF"/>
            </w:tcBorders>
            <w:gridSpan w:val="10"/>
            <w:shd w:val="clear" w:color="auto" w:fill="CCEEFF"/>
          </w:tcPr>
          <w:p>
            <w:pPr>
              <w:spacing w:after="0" w:line="156" w:lineRule="exact"/>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Act of 2002.</w:t>
              </w:r>
            </w:hyperlink>
          </w:p>
        </w:tc>
        <w:tc>
          <w:tcPr>
            <w:tcW w:w="140" w:type="dxa"/>
            <w:vAlign w:val="bottom"/>
            <w:tcBorders>
              <w:top w:val="single" w:sz="8" w:color="CCEEFF"/>
              <w:right w:val="single" w:sz="8" w:color="CCEEFF"/>
            </w:tcBorders>
            <w:gridSpan w:val="3"/>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89"/>
        </w:trPr>
        <w:tc>
          <w:tcPr>
            <w:tcW w:w="680" w:type="dxa"/>
            <w:vAlign w:val="bottom"/>
            <w:gridSpan w:val="3"/>
          </w:tcPr>
          <w:p>
            <w:pPr>
              <w:ind w:left="20"/>
              <w:spacing w:after="0" w:line="189" w:lineRule="exact"/>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32.2</w:t>
              </w:r>
            </w:hyperlink>
          </w:p>
        </w:tc>
        <w:tc>
          <w:tcPr>
            <w:tcW w:w="760" w:type="dxa"/>
            <w:vAlign w:val="bottom"/>
          </w:tcPr>
          <w:p>
            <w:pPr>
              <w:spacing w:after="0"/>
              <w:rPr>
                <w:sz w:val="16"/>
                <w:szCs w:val="16"/>
                <w:color w:val="auto"/>
              </w:rPr>
            </w:pPr>
          </w:p>
        </w:tc>
        <w:tc>
          <w:tcPr>
            <w:tcW w:w="9880" w:type="dxa"/>
            <w:vAlign w:val="bottom"/>
            <w:gridSpan w:val="13"/>
          </w:tcPr>
          <w:p>
            <w:pPr>
              <w:spacing w:after="0" w:line="189" w:lineRule="exact"/>
              <w:rPr>
                <w:rFonts w:ascii="Times New Roman" w:cs="Times New Roman" w:eastAsia="Times New Roman" w:hAnsi="Times New Roman"/>
                <w:sz w:val="18"/>
                <w:szCs w:val="18"/>
                <w:color w:val="0000FF"/>
              </w:rPr>
            </w:pPr>
            <w:hyperlink w:anchor="page33">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hyperlink>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w:anchor="page33">
              <w:r>
                <w:rPr>
                  <w:rFonts w:ascii="Times New Roman" w:cs="Times New Roman" w:eastAsia="Times New Roman" w:hAnsi="Times New Roman"/>
                  <w:sz w:val="18"/>
                  <w:szCs w:val="18"/>
                  <w:color w:val="0000FF"/>
                </w:rPr>
                <w:t>Act of 2002.</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9944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15175" cy="994410"/>
                    </a:xfrm>
                    <a:prstGeom prst="rect">
                      <a:avLst/>
                    </a:prstGeom>
                    <a:noFill/>
                  </pic:spPr>
                </pic:pic>
              </a:graphicData>
            </a:graphic>
          </wp:anchor>
        </w:drawing>
      </w:r>
    </w:p>
    <w:p>
      <w:pPr>
        <w:spacing w:after="0" w:line="16" w:lineRule="exact"/>
        <w:rPr>
          <w:sz w:val="20"/>
          <w:szCs w:val="20"/>
          <w:color w:val="auto"/>
        </w:rPr>
      </w:pPr>
    </w:p>
    <w:p>
      <w:pPr>
        <w:jc w:val="both"/>
        <w:ind w:left="1440" w:right="20" w:hanging="1414"/>
        <w:spacing w:after="0" w:line="255" w:lineRule="auto"/>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Apogee Enterprises, Inc.’s Quarterly Report on Form 10-Q for the quarter ended August 29, 2020, formatted in iXBRL (Inline Extensible Business Reporting Language): (i) the Consolidated Balance Sheets as of August 29, 2020 and February 29, 2020, (ii) the Consolidated Results of Operations for the three- and six-months ended August 29, 2020 and August 31, 2019, (iii) the Consolidated Statements of Comprehensive Earnings for the three- and six-months ended August 29, 2020 and August 31, 2019, (iv) the Consolidated Statements of Cash Flows for the six-months ended August 29, 2020 and August 31, 2019, (v) the Consolidated Statements of Shareholders' Equity for the six-months ended August 29, 2020 and August 31, 2019, and (vi) Notes to Consolidated Financial Statements.</w:t>
      </w:r>
    </w:p>
    <w:p>
      <w:pPr>
        <w:spacing w:after="0" w:line="27" w:lineRule="exact"/>
        <w:rPr>
          <w:sz w:val="20"/>
          <w:szCs w:val="20"/>
          <w:color w:val="auto"/>
        </w:rPr>
      </w:pPr>
    </w:p>
    <w:p>
      <w:pPr>
        <w:ind w:left="1440" w:hanging="1414"/>
        <w:spacing w:after="0"/>
        <w:tabs>
          <w:tab w:leader="none" w:pos="1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APOGEE ENTERPRISES, INC.</w:t>
      </w:r>
    </w:p>
    <w:p>
      <w:pPr>
        <w:spacing w:after="0" w:line="333" w:lineRule="exact"/>
        <w:rPr>
          <w:sz w:val="20"/>
          <w:szCs w:val="20"/>
          <w:color w:val="auto"/>
        </w:rPr>
      </w:pPr>
    </w:p>
    <w:p>
      <w:pPr>
        <w:ind w:left="20"/>
        <w:spacing w:after="0"/>
        <w:tabs>
          <w:tab w:leader="none" w:pos="6060" w:val="left"/>
        </w:tabs>
        <w:rPr>
          <w:sz w:val="20"/>
          <w:szCs w:val="20"/>
          <w:color w:val="auto"/>
        </w:rPr>
      </w:pPr>
      <w:r>
        <w:rPr>
          <w:rFonts w:ascii="Times New Roman" w:cs="Times New Roman" w:eastAsia="Times New Roman" w:hAnsi="Times New Roman"/>
          <w:sz w:val="18"/>
          <w:szCs w:val="18"/>
          <w:color w:val="auto"/>
        </w:rPr>
        <w:t>Date: October 8, 2020</w:t>
      </w:r>
      <w:r>
        <w:rPr>
          <w:sz w:val="20"/>
          <w:szCs w:val="20"/>
          <w:color w:val="auto"/>
        </w:rPr>
        <w:tab/>
      </w:r>
      <w:r>
        <w:rPr>
          <w:rFonts w:ascii="Times New Roman" w:cs="Times New Roman" w:eastAsia="Times New Roman" w:hAnsi="Times New Roman"/>
          <w:sz w:val="17"/>
          <w:szCs w:val="17"/>
          <w:color w:val="auto"/>
        </w:rPr>
        <w:t>By: /s/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34290</wp:posOffset>
            </wp:positionV>
            <wp:extent cx="32143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Joseph F. Puishys</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President and Chief</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53" w:lineRule="exact"/>
        <w:rPr>
          <w:sz w:val="20"/>
          <w:szCs w:val="20"/>
          <w:color w:val="auto"/>
        </w:rPr>
      </w:pPr>
    </w:p>
    <w:p>
      <w:pPr>
        <w:ind w:left="20"/>
        <w:spacing w:after="0"/>
        <w:tabs>
          <w:tab w:leader="none" w:pos="6060" w:val="left"/>
        </w:tabs>
        <w:rPr>
          <w:sz w:val="20"/>
          <w:szCs w:val="20"/>
          <w:color w:val="auto"/>
        </w:rPr>
      </w:pPr>
      <w:r>
        <w:rPr>
          <w:rFonts w:ascii="Times New Roman" w:cs="Times New Roman" w:eastAsia="Times New Roman" w:hAnsi="Times New Roman"/>
          <w:sz w:val="18"/>
          <w:szCs w:val="18"/>
          <w:color w:val="auto"/>
        </w:rPr>
        <w:t>Date: October 8, 2020</w:t>
      </w:r>
      <w:r>
        <w:rPr>
          <w:sz w:val="20"/>
          <w:szCs w:val="20"/>
          <w:color w:val="auto"/>
        </w:rPr>
        <w:tab/>
      </w:r>
      <w:r>
        <w:rPr>
          <w:rFonts w:ascii="Times New Roman" w:cs="Times New Roman" w:eastAsia="Times New Roman" w:hAnsi="Times New Roman"/>
          <w:sz w:val="17"/>
          <w:szCs w:val="17"/>
          <w:color w:val="auto"/>
        </w:rPr>
        <w:t>By: /s/ Nisheet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34290</wp:posOffset>
            </wp:positionV>
            <wp:extent cx="32143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Nisheet Gupta</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00"/>
          </w:cols>
          <w:pgMar w:left="320" w:top="121" w:right="37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F. Puishys, certify that:</w:t>
      </w:r>
    </w:p>
    <w:p>
      <w:pPr>
        <w:spacing w:after="0" w:line="117"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20" w:hanging="652"/>
        <w:spacing w:after="0" w:line="266" w:lineRule="auto"/>
        <w:tabs>
          <w:tab w:leader="none" w:pos="195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196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195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40" w:hanging="652"/>
        <w:spacing w:after="0" w:line="266" w:lineRule="auto"/>
        <w:tabs>
          <w:tab w:leader="none" w:pos="196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280" w:right="120" w:hanging="652"/>
        <w:spacing w:after="0" w:line="266" w:lineRule="auto"/>
        <w:tabs>
          <w:tab w:leader="none" w:pos="195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140" w:hanging="652"/>
        <w:spacing w:after="0" w:line="282" w:lineRule="auto"/>
        <w:tabs>
          <w:tab w:leader="none" w:pos="196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8, 2020</w:t>
      </w:r>
    </w:p>
    <w:p>
      <w:pPr>
        <w:spacing w:after="0" w:line="158"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43180</wp:posOffset>
            </wp:positionV>
            <wp:extent cx="27774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Joseph F. Puishys</w:t>
      </w:r>
    </w:p>
    <w:p>
      <w:pPr>
        <w:ind w:left="69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914"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Nisheet Gupta, certify that:</w:t>
      </w:r>
    </w:p>
    <w:p>
      <w:pPr>
        <w:spacing w:after="0" w:line="117"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0" w:hanging="652"/>
        <w:spacing w:after="0" w:line="266" w:lineRule="auto"/>
        <w:tabs>
          <w:tab w:leader="none" w:pos="22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652"/>
        <w:spacing w:after="0" w:line="289" w:lineRule="auto"/>
        <w:tabs>
          <w:tab w:leader="none" w:pos="2268"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jc w:val="both"/>
        <w:ind w:left="2280" w:right="20" w:hanging="652"/>
        <w:spacing w:after="0" w:line="266" w:lineRule="auto"/>
        <w:tabs>
          <w:tab w:leader="none" w:pos="22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22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280" w:right="280" w:hanging="652"/>
        <w:spacing w:after="0" w:line="266" w:lineRule="auto"/>
        <w:tabs>
          <w:tab w:leader="none" w:pos="22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680" w:hanging="652"/>
        <w:spacing w:after="0" w:line="282" w:lineRule="auto"/>
        <w:tabs>
          <w:tab w:leader="none" w:pos="22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8, 2020</w:t>
      </w:r>
    </w:p>
    <w:p>
      <w:pPr>
        <w:spacing w:after="0" w:line="34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Nisheet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34290</wp:posOffset>
            </wp:positionV>
            <wp:extent cx="27863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5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Nisheet Gupta</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August 29, 2020 as filed with the Securities and Exchange Commission (the “Report”), I, Joseph F. Puishys, Chief Executive Officer of the Company, certify, pursuant to 18 U.S.C. § 1350, as adopted pursuant to § 906 of the Sarbanes-Oxley Act of 2002, that based on my knowledge:</w:t>
      </w:r>
    </w:p>
    <w:p>
      <w:pPr>
        <w:spacing w:after="0" w:line="122"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7774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Joseph F. Puishys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8, 2020</w:t>
      </w:r>
    </w:p>
    <w:p>
      <w:pPr>
        <w:sectPr>
          <w:pgSz w:w="11900" w:h="16838" w:orient="portrait"/>
          <w:cols w:equalWidth="0" w:num="1">
            <w:col w:w="11240"/>
          </w:cols>
          <w:pgMar w:left="320" w:top="88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August 29, 2020 as filed with the Securities and Exchange Commission (the “Report”), I, Nisheet Gupta, Chief Financial Officer of the Company, certify, pursuant to 18 U.S.C. § 1350, as adopted pursuant to § 906 of the Sarbanes-Oxley Act of 2002, that based on my knowledge:</w:t>
      </w:r>
    </w:p>
    <w:p>
      <w:pPr>
        <w:spacing w:after="0" w:line="122"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Nisheet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7774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Nisheet Gupta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8, 2020</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4"/>
    </w:lvl>
  </w:abstractNum>
  <w:abstractNum w:abstractNumId="5">
    <w:nsid w:val="3352255A"/>
    <w:multiLevelType w:val="hybridMultilevel"/>
    <w:lvl w:ilvl="0">
      <w:lvlJc w:val="left"/>
      <w:lvlText w:val="%1."/>
      <w:numFmt w:val="decimal"/>
      <w:start w:val="5"/>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1."/>
      <w:numFmt w:val="decimal"/>
      <w:start w:val="8"/>
    </w:lvl>
  </w:abstractNum>
  <w:abstractNum w:abstractNumId="9">
    <w:nsid w:val="1BEFD79F"/>
    <w:multiLevelType w:val="hybridMultilevel"/>
    <w:lvl w:ilvl="0">
      <w:lvlJc w:val="left"/>
      <w:lvlText w:val="%1."/>
      <w:numFmt w:val="decimal"/>
      <w:start w:val="9"/>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01"/>
    </w:lvl>
  </w:abstractNum>
  <w:abstractNum w:abstractNumId="15">
    <w:nsid w:val="431BD7B7"/>
    <w:multiLevelType w:val="hybridMultilevel"/>
    <w:lvl w:ilvl="0">
      <w:lvlJc w:val="left"/>
      <w:lvlText w:val="%1"/>
      <w:numFmt w:val="decimal"/>
      <w:start w:val="104"/>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44" Type="http://schemas.openxmlformats.org/officeDocument/2006/relationships/hyperlink" Target="http://www.sec.gov/Archives/edgar/data/6845/000119312504079352/dex31.htm" TargetMode="External"/><Relationship Id="rId45" Type="http://schemas.openxmlformats.org/officeDocument/2006/relationships/hyperlink" Target="http://www.sec.gov/Archives/edgar/data/6845/000119312520008887/d874518dex31.htm" TargetMode="External"/><Relationship Id="rId46" Type="http://schemas.openxmlformats.org/officeDocument/2006/relationships/hyperlink" Target="http://www.sec.gov/Archives/edgar/data/6845/000119312518212380/d688800dex31.htm" TargetMode="External"/><Relationship Id="rId47" Type="http://schemas.openxmlformats.org/officeDocument/2006/relationships/hyperlink" Target="http://www.sec.gov/Archives/edgar/data/6845/000119312520188617/d918933dex101.htm" TargetMode="External"/><Relationship Id="rId48" Type="http://schemas.openxmlformats.org/officeDocument/2006/relationships/hyperlink" Target="http://www.sec.gov/Archives/edgar/data/6845/000119312520188617/d918933dex102.htm" TargetMode="External"/><Relationship Id="rId49" Type="http://schemas.openxmlformats.org/officeDocument/2006/relationships/hyperlink" Target="http://www.sec.gov/Archives/edgar/data/6845/000000684518000009/apog-ex1038_201833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2020-10-08T12:56:47Z</dcterms:created>
  <dcterms:modified xsi:type="dcterms:W3CDTF">2020-10-08T12:56:47Z</dcterms:modified>
</cp:coreProperties>
</file>