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688975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65"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41"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w:t>
      </w:r>
    </w:p>
    <w:p>
      <w:pPr>
        <w:ind w:left="500" w:hanging="474"/>
        <w:spacing w:after="0" w:line="195" w:lineRule="auto"/>
        <w:tabs>
          <w:tab w:leader="none" w:pos="50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August 26, 2023</w:t>
      </w:r>
    </w:p>
    <w:p>
      <w:pPr>
        <w:ind w:left="480" w:hanging="454"/>
        <w:spacing w:after="0" w:line="204" w:lineRule="auto"/>
        <w:tabs>
          <w:tab w:leader="none" w:pos="48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139" w:lineRule="exact"/>
        <w:rPr>
          <w:sz w:val="24"/>
          <w:szCs w:val="24"/>
          <w:color w:val="auto"/>
        </w:rPr>
      </w:pPr>
    </w:p>
    <w:p>
      <w:pPr>
        <w:ind w:left="3980"/>
        <w:spacing w:after="0"/>
        <w:tabs>
          <w:tab w:leader="none" w:pos="65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0-6365</w:t>
      </w:r>
    </w:p>
    <w:p>
      <w:pPr>
        <w:spacing w:after="0" w:line="59"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APOGEE ENTERPRISES,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5"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w:t>
      </w:r>
    </w:p>
    <w:p>
      <w:pPr>
        <w:spacing w:after="0" w:line="121" w:lineRule="exact"/>
        <w:rPr>
          <w:sz w:val="24"/>
          <w:szCs w:val="24"/>
          <w:color w:val="auto"/>
        </w:rPr>
      </w:pPr>
    </w:p>
    <w:p>
      <w:pPr>
        <w:ind w:left="1860"/>
        <w:spacing w:after="0"/>
        <w:tabs>
          <w:tab w:leader="none" w:pos="8820" w:val="left"/>
        </w:tabs>
        <w:rPr>
          <w:sz w:val="20"/>
          <w:szCs w:val="20"/>
          <w:color w:val="auto"/>
        </w:rPr>
      </w:pPr>
      <w:r>
        <w:rPr>
          <w:rFonts w:ascii="Arial" w:cs="Arial" w:eastAsia="Arial" w:hAnsi="Arial"/>
          <w:sz w:val="17"/>
          <w:szCs w:val="17"/>
          <w:b w:val="1"/>
          <w:bCs w:val="1"/>
          <w:color w:val="auto"/>
        </w:rPr>
        <w:t>Minnesota</w:t>
      </w:r>
      <w:r>
        <w:rPr>
          <w:sz w:val="20"/>
          <w:szCs w:val="20"/>
          <w:color w:val="auto"/>
        </w:rPr>
        <w:tab/>
      </w:r>
      <w:r>
        <w:rPr>
          <w:rFonts w:ascii="Arial" w:cs="Arial" w:eastAsia="Arial" w:hAnsi="Arial"/>
          <w:sz w:val="17"/>
          <w:szCs w:val="17"/>
          <w:b w:val="1"/>
          <w:bCs w:val="1"/>
          <w:color w:val="auto"/>
        </w:rPr>
        <w:t>41-0919654</w:t>
      </w:r>
    </w:p>
    <w:p>
      <w:pPr>
        <w:spacing w:after="0" w:line="37" w:lineRule="exact"/>
        <w:rPr>
          <w:sz w:val="24"/>
          <w:szCs w:val="24"/>
          <w:color w:val="auto"/>
        </w:rPr>
      </w:pPr>
    </w:p>
    <w:p>
      <w:pPr>
        <w:ind w:left="540"/>
        <w:spacing w:after="0"/>
        <w:tabs>
          <w:tab w:leader="none" w:pos="8200" w:val="left"/>
        </w:tabs>
        <w:rPr>
          <w:sz w:val="20"/>
          <w:szCs w:val="20"/>
          <w:color w:val="auto"/>
        </w:rPr>
      </w:pPr>
      <w:r>
        <w:rPr>
          <w:rFonts w:ascii="Arial" w:cs="Arial" w:eastAsia="Arial" w:hAnsi="Arial"/>
          <w:sz w:val="14"/>
          <w:szCs w:val="14"/>
          <w:color w:val="auto"/>
        </w:rPr>
        <w:t>(State or other jurisdiction of incorporation or organization)</w:t>
      </w:r>
      <w:r>
        <w:rPr>
          <w:sz w:val="20"/>
          <w:szCs w:val="20"/>
          <w:color w:val="auto"/>
        </w:rPr>
        <w:tab/>
      </w:r>
      <w:r>
        <w:rPr>
          <w:rFonts w:ascii="Arial" w:cs="Arial" w:eastAsia="Arial" w:hAnsi="Arial"/>
          <w:sz w:val="13"/>
          <w:szCs w:val="13"/>
          <w:color w:val="auto"/>
        </w:rPr>
        <w:t>(I.R.S. Employer Identification No.)</w:t>
      </w:r>
    </w:p>
    <w:p>
      <w:pPr>
        <w:spacing w:after="0" w:line="92" w:lineRule="exact"/>
        <w:rPr>
          <w:sz w:val="24"/>
          <w:szCs w:val="24"/>
          <w:color w:val="auto"/>
        </w:rPr>
      </w:pPr>
    </w:p>
    <w:p>
      <w:pPr>
        <w:ind w:left="1080"/>
        <w:spacing w:after="0"/>
        <w:tabs>
          <w:tab w:leader="none" w:pos="4700" w:val="left"/>
          <w:tab w:leader="none" w:pos="6120" w:val="left"/>
          <w:tab w:leader="none" w:pos="9020" w:val="left"/>
        </w:tabs>
        <w:rPr>
          <w:sz w:val="20"/>
          <w:szCs w:val="20"/>
          <w:color w:val="auto"/>
        </w:rPr>
      </w:pPr>
      <w:r>
        <w:rPr>
          <w:rFonts w:ascii="Arial" w:cs="Arial" w:eastAsia="Arial" w:hAnsi="Arial"/>
          <w:sz w:val="17"/>
          <w:szCs w:val="17"/>
          <w:b w:val="1"/>
          <w:bCs w:val="1"/>
          <w:color w:val="auto"/>
        </w:rPr>
        <w:t>4400 West 78th Street, Suite 520</w:t>
      </w:r>
      <w:r>
        <w:rPr>
          <w:sz w:val="20"/>
          <w:szCs w:val="20"/>
          <w:color w:val="auto"/>
        </w:rPr>
        <w:tab/>
      </w:r>
      <w:r>
        <w:rPr>
          <w:rFonts w:ascii="Arial" w:cs="Arial" w:eastAsia="Arial" w:hAnsi="Arial"/>
          <w:sz w:val="17"/>
          <w:szCs w:val="17"/>
          <w:b w:val="1"/>
          <w:bCs w:val="1"/>
          <w:color w:val="auto"/>
        </w:rPr>
        <w:t>Minneapolis</w:t>
      </w:r>
      <w:r>
        <w:rPr>
          <w:sz w:val="20"/>
          <w:szCs w:val="20"/>
          <w:color w:val="auto"/>
        </w:rPr>
        <w:tab/>
      </w:r>
      <w:r>
        <w:rPr>
          <w:rFonts w:ascii="Arial" w:cs="Arial" w:eastAsia="Arial" w:hAnsi="Arial"/>
          <w:sz w:val="17"/>
          <w:szCs w:val="17"/>
          <w:b w:val="1"/>
          <w:bCs w:val="1"/>
          <w:color w:val="auto"/>
        </w:rPr>
        <w:t>Minnesota</w:t>
      </w:r>
      <w:r>
        <w:rPr>
          <w:sz w:val="20"/>
          <w:szCs w:val="20"/>
          <w:color w:val="auto"/>
        </w:rPr>
        <w:tab/>
      </w:r>
      <w:r>
        <w:rPr>
          <w:rFonts w:ascii="Arial" w:cs="Arial" w:eastAsia="Arial" w:hAnsi="Arial"/>
          <w:sz w:val="15"/>
          <w:szCs w:val="15"/>
          <w:b w:val="1"/>
          <w:bCs w:val="1"/>
          <w:color w:val="auto"/>
        </w:rPr>
        <w:t>55435</w:t>
      </w:r>
    </w:p>
    <w:p>
      <w:pPr>
        <w:spacing w:after="0" w:line="37" w:lineRule="exact"/>
        <w:rPr>
          <w:sz w:val="24"/>
          <w:szCs w:val="24"/>
          <w:color w:val="auto"/>
        </w:rPr>
      </w:pPr>
    </w:p>
    <w:p>
      <w:pPr>
        <w:ind w:left="1100"/>
        <w:spacing w:after="0"/>
        <w:tabs>
          <w:tab w:leader="none" w:pos="8920" w:val="left"/>
        </w:tabs>
        <w:rPr>
          <w:sz w:val="20"/>
          <w:szCs w:val="20"/>
          <w:color w:val="auto"/>
        </w:rPr>
      </w:pPr>
      <w:r>
        <w:rPr>
          <w:rFonts w:ascii="Arial" w:cs="Arial" w:eastAsia="Arial" w:hAnsi="Arial"/>
          <w:sz w:val="14"/>
          <w:szCs w:val="14"/>
          <w:color w:val="auto"/>
        </w:rPr>
        <w:t>(Address of principal executive offices)</w:t>
      </w:r>
      <w:r>
        <w:rPr>
          <w:sz w:val="20"/>
          <w:szCs w:val="20"/>
          <w:color w:val="auto"/>
        </w:rPr>
        <w:tab/>
      </w:r>
      <w:r>
        <w:rPr>
          <w:rFonts w:ascii="Arial" w:cs="Arial" w:eastAsia="Arial" w:hAnsi="Arial"/>
          <w:sz w:val="13"/>
          <w:szCs w:val="13"/>
          <w:color w:val="auto"/>
        </w:rPr>
        <w:t>(Zip Code)</w:t>
      </w: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Registrant’s telephone number, including area code: (952) 835-1874</w:t>
      </w:r>
    </w:p>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Not Applicable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w:t>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p>
      <w:pPr>
        <w:ind w:left="1460"/>
        <w:spacing w:after="0"/>
        <w:tabs>
          <w:tab w:leader="none" w:pos="4860" w:val="left"/>
          <w:tab w:leader="none" w:pos="738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27" w:lineRule="exact"/>
        <w:rPr>
          <w:sz w:val="24"/>
          <w:szCs w:val="24"/>
          <w:color w:val="auto"/>
        </w:rPr>
      </w:pPr>
    </w:p>
    <w:p>
      <w:pPr>
        <w:ind w:left="500"/>
        <w:spacing w:after="0"/>
        <w:tabs>
          <w:tab w:leader="none" w:pos="5320" w:val="left"/>
          <w:tab w:leader="none" w:pos="7920" w:val="left"/>
        </w:tabs>
        <w:rPr>
          <w:sz w:val="20"/>
          <w:szCs w:val="20"/>
          <w:color w:val="auto"/>
        </w:rPr>
      </w:pPr>
      <w:r>
        <w:rPr>
          <w:rFonts w:ascii="Arial" w:cs="Arial" w:eastAsia="Arial" w:hAnsi="Arial"/>
          <w:sz w:val="18"/>
          <w:szCs w:val="18"/>
          <w:color w:val="auto"/>
        </w:rPr>
        <w:t>Common stock, par value $0.33 1/3 per share</w:t>
      </w:r>
      <w:r>
        <w:rPr>
          <w:sz w:val="20"/>
          <w:szCs w:val="20"/>
          <w:color w:val="auto"/>
        </w:rPr>
        <w:tab/>
      </w:r>
      <w:r>
        <w:rPr>
          <w:rFonts w:ascii="Arial" w:cs="Arial" w:eastAsia="Arial" w:hAnsi="Arial"/>
          <w:sz w:val="18"/>
          <w:szCs w:val="18"/>
          <w:color w:val="auto"/>
        </w:rPr>
        <w:t>APOG</w:t>
      </w:r>
      <w:r>
        <w:rPr>
          <w:sz w:val="20"/>
          <w:szCs w:val="20"/>
          <w:color w:val="auto"/>
        </w:rPr>
        <w:tab/>
      </w:r>
      <w:r>
        <w:rPr>
          <w:rFonts w:ascii="Arial" w:cs="Arial" w:eastAsia="Arial" w:hAnsi="Arial"/>
          <w:sz w:val="16"/>
          <w:szCs w:val="16"/>
          <w:color w:val="auto"/>
        </w:rPr>
        <w:t>The Nasdaq Stock Market LLC</w:t>
      </w:r>
    </w:p>
    <w:p>
      <w:pPr>
        <w:spacing w:after="0" w:line="10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30"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x Yes o No</w:t>
      </w:r>
    </w:p>
    <w:p>
      <w:pPr>
        <w:spacing w:after="0" w:line="92"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14" w:right="339" w:bottom="1440" w:gutter="0" w:footer="0" w:header="0"/>
        </w:sectPr>
      </w:pPr>
    </w:p>
    <w:p>
      <w:pPr>
        <w:spacing w:after="0" w:line="184"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00" w:type="dxa"/>
            <w:vAlign w:val="bottom"/>
          </w:tcPr>
          <w:p>
            <w:pPr>
              <w:ind w:left="460"/>
              <w:spacing w:after="0"/>
              <w:rPr>
                <w:sz w:val="20"/>
                <w:szCs w:val="20"/>
                <w:color w:val="auto"/>
              </w:rPr>
            </w:pPr>
            <w:r>
              <w:rPr>
                <w:rFonts w:ascii="Arial" w:cs="Arial" w:eastAsia="Arial" w:hAnsi="Arial"/>
                <w:sz w:val="18"/>
                <w:szCs w:val="18"/>
                <w:color w:val="auto"/>
              </w:rPr>
              <w:t>x</w:t>
            </w:r>
          </w:p>
        </w:tc>
        <w:tc>
          <w:tcPr>
            <w:tcW w:w="4220" w:type="dxa"/>
            <w:vAlign w:val="bottom"/>
          </w:tcPr>
          <w:p>
            <w:pPr>
              <w:ind w:left="2260"/>
              <w:spacing w:after="0"/>
              <w:rPr>
                <w:sz w:val="20"/>
                <w:szCs w:val="20"/>
                <w:color w:val="auto"/>
              </w:rPr>
            </w:pPr>
            <w:r>
              <w:rPr>
                <w:rFonts w:ascii="Arial" w:cs="Arial" w:eastAsia="Arial" w:hAnsi="Arial"/>
                <w:sz w:val="18"/>
                <w:szCs w:val="18"/>
                <w:color w:val="auto"/>
              </w:rPr>
              <w:t>Accelerated filer</w:t>
            </w:r>
          </w:p>
        </w:tc>
      </w:t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2900" w:type="dxa"/>
            <w:vAlign w:val="bottom"/>
          </w:tcPr>
          <w:p>
            <w:pPr>
              <w:ind w:left="460"/>
              <w:spacing w:after="0"/>
              <w:rPr>
                <w:sz w:val="20"/>
                <w:szCs w:val="20"/>
                <w:color w:val="auto"/>
              </w:rPr>
            </w:pPr>
            <w:r>
              <w:rPr>
                <w:rFonts w:ascii="Arial" w:cs="Arial" w:eastAsia="Arial" w:hAnsi="Arial"/>
                <w:sz w:val="18"/>
                <w:szCs w:val="18"/>
                <w:color w:val="auto"/>
              </w:rPr>
              <w:t>o</w:t>
            </w:r>
          </w:p>
        </w:tc>
        <w:tc>
          <w:tcPr>
            <w:tcW w:w="4220" w:type="dxa"/>
            <w:vAlign w:val="bottom"/>
          </w:tcPr>
          <w:p>
            <w:pPr>
              <w:ind w:left="2260"/>
              <w:spacing w:after="0"/>
              <w:rPr>
                <w:sz w:val="20"/>
                <w:szCs w:val="20"/>
                <w:color w:val="auto"/>
              </w:rPr>
            </w:pPr>
            <w:r>
              <w:rPr>
                <w:rFonts w:ascii="Arial" w:cs="Arial" w:eastAsia="Arial" w:hAnsi="Arial"/>
                <w:sz w:val="18"/>
                <w:szCs w:val="18"/>
                <w:color w:val="auto"/>
                <w:w w:val="90"/>
              </w:rPr>
              <w:t>Smaller reporting company</w:t>
            </w:r>
          </w:p>
        </w:tc>
      </w:tr>
      <w:tr>
        <w:trPr>
          <w:trHeight w:val="299"/>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spacing w:after="0"/>
              <w:rPr>
                <w:sz w:val="24"/>
                <w:szCs w:val="24"/>
                <w:color w:val="auto"/>
              </w:rPr>
            </w:pPr>
          </w:p>
        </w:tc>
      </w:tr>
    </w:tbl>
    <w:p>
      <w:pPr>
        <w:ind w:left="20"/>
        <w:spacing w:after="0" w:line="233"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631190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28" w:lineRule="exact"/>
        <w:rPr>
          <w:sz w:val="24"/>
          <w:szCs w:val="24"/>
          <w:color w:val="auto"/>
        </w:rPr>
      </w:pPr>
    </w:p>
    <w:p>
      <w:pPr>
        <w:jc w:val="center"/>
        <w:ind w:right="520"/>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080" w:space="480"/>
            <w:col w:w="680"/>
          </w:cols>
          <w:pgMar w:left="320" w:top="1214" w:right="339" w:bottom="1440" w:gutter="0" w:footer="0" w:header="0"/>
          <w:type w:val="continuous"/>
        </w:sectPr>
      </w:pPr>
    </w:p>
    <w:bookmarkStart w:id="1" w:name="page2"/>
    <w:bookmarkEnd w:id="1"/>
    <w:p>
      <w:pPr>
        <w:ind w:right="679"/>
        <w:spacing w:after="0" w:line="32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x No As of September 29, 2023, 22,072,357 shares of the registrant’s common stock, par value $0.33 1/3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751205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112395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78105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139"/>
          </w:cols>
          <w:pgMar w:left="320" w:top="958"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APOGEE ENTERPRISES, INC. AND SUBSIDIARIES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440" w:type="dxa"/>
            <w:vAlign w:val="bottom"/>
            <w:gridSpan w:val="6"/>
          </w:tcPr>
          <w:p>
            <w:pPr>
              <w:ind w:left="2600"/>
              <w:spacing w:after="0"/>
              <w:rPr>
                <w:sz w:val="20"/>
                <w:szCs w:val="20"/>
                <w:color w:val="auto"/>
              </w:rPr>
            </w:pPr>
            <w:r>
              <w:rPr>
                <w:rFonts w:ascii="Arial" w:cs="Arial" w:eastAsia="Arial" w:hAnsi="Arial"/>
                <w:sz w:val="14"/>
                <w:szCs w:val="14"/>
                <w:b w:val="1"/>
                <w:bCs w:val="1"/>
                <w:color w:val="auto"/>
              </w:rPr>
              <w:t>Page</w:t>
            </w:r>
          </w:p>
        </w:tc>
      </w:tr>
      <w:tr>
        <w:trPr>
          <w:trHeight w:val="223"/>
        </w:trPr>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7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b w:val="1"/>
                <w:bCs w:val="1"/>
                <w:color w:val="0000FF"/>
                <w:w w:val="92"/>
              </w:rPr>
              <w:t>Financial Information</w:t>
            </w:r>
          </w:p>
        </w:tc>
        <w:tc>
          <w:tcPr>
            <w:tcW w:w="4760" w:type="dxa"/>
            <w:vAlign w:val="bottom"/>
            <w:gridSpan w:val="10"/>
          </w:tcPr>
          <w:p>
            <w:pPr>
              <w:spacing w:after="0"/>
              <w:rPr>
                <w:sz w:val="19"/>
                <w:szCs w:val="19"/>
                <w:color w:val="auto"/>
              </w:rPr>
            </w:pPr>
          </w:p>
        </w:tc>
        <w:tc>
          <w:tcPr>
            <w:tcW w:w="26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60" w:type="dxa"/>
            <w:vAlign w:val="bottom"/>
            <w:gridSpan w:val="15"/>
          </w:tcPr>
          <w:p>
            <w:pPr>
              <w:spacing w:after="0"/>
              <w:rPr>
                <w:sz w:val="20"/>
                <w:szCs w:val="20"/>
                <w:color w:val="auto"/>
              </w:rPr>
            </w:pPr>
            <w:r>
              <w:rPr>
                <w:rFonts w:ascii="Arial" w:cs="Arial" w:eastAsia="Arial" w:hAnsi="Arial"/>
                <w:sz w:val="18"/>
                <w:szCs w:val="18"/>
                <w:color w:val="0000FF"/>
              </w:rPr>
              <w:t>Financial Statements (Unaudited):</w:t>
            </w:r>
          </w:p>
        </w:tc>
        <w:tc>
          <w:tcPr>
            <w:tcW w:w="2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6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Consolidated Balance Sheets</w:t>
            </w:r>
          </w:p>
        </w:tc>
        <w:tc>
          <w:tcPr>
            <w:tcW w:w="4000" w:type="dxa"/>
            <w:vAlign w:val="bottom"/>
            <w:gridSpan w:val="7"/>
          </w:tcPr>
          <w:p>
            <w:pPr>
              <w:spacing w:after="0"/>
              <w:rPr>
                <w:sz w:val="22"/>
                <w:szCs w:val="22"/>
                <w:color w:val="auto"/>
              </w:rPr>
            </w:pPr>
          </w:p>
        </w:tc>
        <w:tc>
          <w:tcPr>
            <w:tcW w:w="3440" w:type="dxa"/>
            <w:vAlign w:val="bottom"/>
            <w:gridSpan w:val="6"/>
          </w:tcPr>
          <w:p>
            <w:pPr>
              <w:jc w:val="right"/>
              <w:ind w:right="40"/>
              <w:spacing w:after="0"/>
              <w:rPr>
                <w:sz w:val="20"/>
                <w:szCs w:val="20"/>
                <w:color w:val="auto"/>
              </w:rPr>
            </w:pPr>
            <w:r>
              <w:rPr>
                <w:rFonts w:ascii="Arial" w:cs="Arial" w:eastAsia="Arial" w:hAnsi="Arial"/>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Arial" w:cs="Arial" w:eastAsia="Arial" w:hAnsi="Arial"/>
                <w:sz w:val="18"/>
                <w:szCs w:val="18"/>
                <w:color w:val="0000FF"/>
              </w:rPr>
              <w:t>Consolidated Results of Operations</w:t>
            </w:r>
          </w:p>
        </w:tc>
        <w:tc>
          <w:tcPr>
            <w:tcW w:w="3440" w:type="dxa"/>
            <w:vAlign w:val="bottom"/>
            <w:gridSpan w:val="6"/>
          </w:tcPr>
          <w:p>
            <w:pPr>
              <w:jc w:val="right"/>
              <w:ind w:right="40"/>
              <w:spacing w:after="0"/>
              <w:rPr>
                <w:sz w:val="20"/>
                <w:szCs w:val="20"/>
                <w:color w:val="auto"/>
              </w:rPr>
            </w:pPr>
            <w:r>
              <w:rPr>
                <w:rFonts w:ascii="Arial" w:cs="Arial" w:eastAsia="Arial" w:hAnsi="Arial"/>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Consolidated Statements of Comprehensive Earnings</w:t>
            </w:r>
          </w:p>
        </w:tc>
        <w:tc>
          <w:tcPr>
            <w:tcW w:w="2620" w:type="dxa"/>
            <w:vAlign w:val="bottom"/>
            <w:gridSpan w:val="2"/>
          </w:tcPr>
          <w:p>
            <w:pPr>
              <w:spacing w:after="0"/>
              <w:rPr>
                <w:sz w:val="22"/>
                <w:szCs w:val="22"/>
                <w:color w:val="auto"/>
              </w:rPr>
            </w:pPr>
          </w:p>
        </w:tc>
        <w:tc>
          <w:tcPr>
            <w:tcW w:w="3300" w:type="dxa"/>
            <w:vAlign w:val="bottom"/>
            <w:gridSpan w:val="4"/>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w:t>
            </w:r>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Arial" w:cs="Arial" w:eastAsia="Arial" w:hAnsi="Arial"/>
                <w:sz w:val="18"/>
                <w:szCs w:val="18"/>
                <w:color w:val="0000FF"/>
              </w:rPr>
              <w:t>Consolidated Statements of Cash Flows</w:t>
            </w:r>
          </w:p>
        </w:tc>
        <w:tc>
          <w:tcPr>
            <w:tcW w:w="3440" w:type="dxa"/>
            <w:vAlign w:val="bottom"/>
            <w:gridSpan w:val="6"/>
          </w:tcPr>
          <w:p>
            <w:pPr>
              <w:jc w:val="right"/>
              <w:ind w:right="40"/>
              <w:spacing w:after="0"/>
              <w:rPr>
                <w:sz w:val="20"/>
                <w:szCs w:val="20"/>
                <w:color w:val="auto"/>
              </w:rPr>
            </w:pPr>
            <w:r>
              <w:rPr>
                <w:rFonts w:ascii="Arial" w:cs="Arial" w:eastAsia="Arial" w:hAnsi="Arial"/>
                <w:sz w:val="18"/>
                <w:szCs w:val="18"/>
                <w:color w:val="0000FF"/>
              </w:rPr>
              <w:t>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52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Consolidated Statements of Shareholders' Equity</w:t>
            </w:r>
          </w:p>
        </w:tc>
        <w:tc>
          <w:tcPr>
            <w:tcW w:w="2940" w:type="dxa"/>
            <w:vAlign w:val="bottom"/>
            <w:gridSpan w:val="3"/>
          </w:tcPr>
          <w:p>
            <w:pPr>
              <w:spacing w:after="0"/>
              <w:rPr>
                <w:sz w:val="22"/>
                <w:szCs w:val="22"/>
                <w:color w:val="auto"/>
              </w:rPr>
            </w:pPr>
          </w:p>
        </w:tc>
        <w:tc>
          <w:tcPr>
            <w:tcW w:w="3300" w:type="dxa"/>
            <w:vAlign w:val="bottom"/>
            <w:gridSpan w:val="4"/>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w:t>
            </w:r>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Arial" w:cs="Arial" w:eastAsia="Arial" w:hAnsi="Arial"/>
                <w:sz w:val="18"/>
                <w:szCs w:val="18"/>
                <w:color w:val="0000FF"/>
              </w:rPr>
              <w:t>Notes to Consolidated Financial Statements</w:t>
            </w:r>
          </w:p>
        </w:tc>
        <w:tc>
          <w:tcPr>
            <w:tcW w:w="3440" w:type="dxa"/>
            <w:vAlign w:val="bottom"/>
            <w:gridSpan w:val="6"/>
          </w:tcPr>
          <w:p>
            <w:pPr>
              <w:jc w:val="right"/>
              <w:ind w:right="40"/>
              <w:spacing w:after="0"/>
              <w:rPr>
                <w:sz w:val="20"/>
                <w:szCs w:val="20"/>
                <w:color w:val="auto"/>
              </w:rPr>
            </w:pPr>
            <w:r>
              <w:rPr>
                <w:rFonts w:ascii="Arial" w:cs="Arial" w:eastAsia="Arial" w:hAnsi="Arial"/>
                <w:sz w:val="18"/>
                <w:szCs w:val="18"/>
                <w:color w:val="0000FF"/>
              </w:rPr>
              <w:t>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5"/>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400" w:type="dxa"/>
            <w:vAlign w:val="bottom"/>
            <w:gridSpan w:val="5"/>
          </w:tcPr>
          <w:p>
            <w:pPr>
              <w:jc w:val="right"/>
              <w:spacing w:after="0"/>
              <w:rPr>
                <w:sz w:val="20"/>
                <w:szCs w:val="20"/>
                <w:color w:val="auto"/>
              </w:rPr>
            </w:pPr>
            <w:r>
              <w:rPr>
                <w:rFonts w:ascii="Arial" w:cs="Arial" w:eastAsia="Arial" w:hAnsi="Arial"/>
                <w:sz w:val="18"/>
                <w:szCs w:val="18"/>
                <w:color w:val="0000FF"/>
              </w:rPr>
              <w:t>17</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4"/>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Arial" w:cs="Arial" w:eastAsia="Arial" w:hAnsi="Arial"/>
                <w:sz w:val="18"/>
                <w:szCs w:val="18"/>
                <w:color w:val="0000FF"/>
              </w:rPr>
              <w:t>24</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2120" w:type="dxa"/>
            <w:vAlign w:val="bottom"/>
            <w:tcBorders>
              <w:left w:val="single" w:sz="8" w:color="0000FF"/>
            </w:tcBorders>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4"/>
          </w:tcPr>
          <w:p>
            <w:pPr>
              <w:spacing w:after="0"/>
              <w:rPr>
                <w:sz w:val="20"/>
                <w:szCs w:val="20"/>
                <w:color w:val="auto"/>
              </w:rPr>
            </w:pPr>
            <w:r>
              <w:rPr>
                <w:rFonts w:ascii="Arial" w:cs="Arial" w:eastAsia="Arial" w:hAnsi="Arial"/>
                <w:sz w:val="18"/>
                <w:szCs w:val="18"/>
                <w:color w:val="0000FF"/>
              </w:rPr>
              <w:t>Controls and Procedures</w:t>
            </w: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Arial" w:cs="Arial" w:eastAsia="Arial" w:hAnsi="Arial"/>
                <w:sz w:val="18"/>
                <w:szCs w:val="18"/>
                <w:color w:val="0000FF"/>
              </w:rPr>
              <w:t>25</w:t>
            </w:r>
          </w:p>
        </w:tc>
        <w:tc>
          <w:tcPr>
            <w:tcW w:w="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3"/>
              </w:rPr>
              <w:t>Other Information</w:t>
            </w:r>
          </w:p>
        </w:tc>
        <w:tc>
          <w:tcPr>
            <w:tcW w:w="320" w:type="dxa"/>
            <w:vAlign w:val="bottom"/>
            <w:tcBorders>
              <w:top w:val="single" w:sz="8" w:color="0000FF"/>
            </w:tcBorders>
            <w:gridSpan w:val="2"/>
          </w:tcPr>
          <w:p>
            <w:pPr>
              <w:spacing w:after="0"/>
              <w:rPr>
                <w:sz w:val="22"/>
                <w:szCs w:val="22"/>
                <w:color w:val="auto"/>
              </w:rPr>
            </w:pPr>
          </w:p>
        </w:tc>
        <w:tc>
          <w:tcPr>
            <w:tcW w:w="4700" w:type="dxa"/>
            <w:vAlign w:val="bottom"/>
            <w:gridSpan w:val="9"/>
          </w:tcPr>
          <w:p>
            <w:pPr>
              <w:spacing w:after="0"/>
              <w:rPr>
                <w:sz w:val="22"/>
                <w:szCs w:val="22"/>
                <w:color w:val="auto"/>
              </w:rPr>
            </w:pPr>
          </w:p>
        </w:tc>
        <w:tc>
          <w:tcPr>
            <w:tcW w:w="2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60" w:type="dxa"/>
            <w:vAlign w:val="bottom"/>
            <w:gridSpan w:val="15"/>
          </w:tcPr>
          <w:p>
            <w:pPr>
              <w:spacing w:after="0"/>
              <w:rPr>
                <w:sz w:val="20"/>
                <w:szCs w:val="20"/>
                <w:color w:val="auto"/>
              </w:rPr>
            </w:pPr>
            <w:r>
              <w:rPr>
                <w:rFonts w:ascii="Arial" w:cs="Arial" w:eastAsia="Arial" w:hAnsi="Arial"/>
                <w:sz w:val="18"/>
                <w:szCs w:val="18"/>
                <w:color w:val="0000FF"/>
              </w:rPr>
              <w:t>Legal Proceedings</w:t>
            </w:r>
          </w:p>
        </w:tc>
        <w:tc>
          <w:tcPr>
            <w:tcW w:w="3400" w:type="dxa"/>
            <w:vAlign w:val="bottom"/>
            <w:gridSpan w:val="5"/>
          </w:tcPr>
          <w:p>
            <w:pPr>
              <w:jc w:val="right"/>
              <w:spacing w:after="0"/>
              <w:rPr>
                <w:sz w:val="20"/>
                <w:szCs w:val="20"/>
                <w:color w:val="auto"/>
              </w:rPr>
            </w:pPr>
            <w:r>
              <w:rPr>
                <w:rFonts w:ascii="Arial" w:cs="Arial" w:eastAsia="Arial" w:hAnsi="Arial"/>
                <w:sz w:val="18"/>
                <w:szCs w:val="18"/>
                <w:color w:val="0000FF"/>
              </w:rPr>
              <w:t>25</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2"/>
          </w:tcPr>
          <w:p>
            <w:pPr>
              <w:spacing w:after="0"/>
              <w:rPr>
                <w:sz w:val="20"/>
                <w:szCs w:val="20"/>
                <w:color w:val="auto"/>
              </w:rPr>
            </w:pPr>
            <w:r>
              <w:rPr>
                <w:rFonts w:ascii="Arial" w:cs="Arial" w:eastAsia="Arial" w:hAnsi="Arial"/>
                <w:sz w:val="18"/>
                <w:szCs w:val="18"/>
                <w:color w:val="0000FF"/>
                <w:w w:val="87"/>
              </w:rPr>
              <w:t>Risk Factors</w:t>
            </w:r>
          </w:p>
        </w:tc>
        <w:tc>
          <w:tcPr>
            <w:tcW w:w="400" w:type="dxa"/>
            <w:vAlign w:val="bottom"/>
          </w:tcPr>
          <w:p>
            <w:pPr>
              <w:spacing w:after="0"/>
              <w:rPr>
                <w:sz w:val="22"/>
                <w:szCs w:val="22"/>
                <w:color w:val="auto"/>
              </w:rPr>
            </w:pPr>
          </w:p>
        </w:tc>
        <w:tc>
          <w:tcPr>
            <w:tcW w:w="5160" w:type="dxa"/>
            <w:vAlign w:val="bottom"/>
            <w:gridSpan w:val="12"/>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Arial" w:cs="Arial" w:eastAsia="Arial" w:hAnsi="Arial"/>
                <w:sz w:val="18"/>
                <w:szCs w:val="18"/>
                <w:color w:val="0000FF"/>
              </w:rPr>
              <w:t>25</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11"/>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5"/>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3400" w:type="dxa"/>
            <w:vAlign w:val="bottom"/>
            <w:gridSpan w:val="5"/>
          </w:tcPr>
          <w:p>
            <w:pPr>
              <w:jc w:val="right"/>
              <w:spacing w:after="0"/>
              <w:rPr>
                <w:sz w:val="20"/>
                <w:szCs w:val="20"/>
                <w:color w:val="auto"/>
              </w:rPr>
            </w:pPr>
            <w:r>
              <w:rPr>
                <w:rFonts w:ascii="Arial" w:cs="Arial" w:eastAsia="Arial" w:hAnsi="Arial"/>
                <w:sz w:val="18"/>
                <w:szCs w:val="18"/>
                <w:color w:val="0000FF"/>
              </w:rPr>
              <w:t>25</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4340" w:type="dxa"/>
            <w:vAlign w:val="bottom"/>
            <w:gridSpan w:val="14"/>
          </w:tcPr>
          <w:p>
            <w:pPr>
              <w:spacing w:after="0"/>
              <w:rPr>
                <w:sz w:val="20"/>
                <w:szCs w:val="20"/>
                <w:color w:val="auto"/>
              </w:rPr>
            </w:pPr>
            <w:r>
              <w:rPr>
                <w:rFonts w:ascii="Arial" w:cs="Arial" w:eastAsia="Arial" w:hAnsi="Arial"/>
                <w:sz w:val="18"/>
                <w:szCs w:val="18"/>
                <w:color w:val="0000FF"/>
              </w:rPr>
              <w:t>Other Information</w:t>
            </w: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Arial" w:cs="Arial" w:eastAsia="Arial" w:hAnsi="Arial"/>
                <w:sz w:val="18"/>
                <w:szCs w:val="18"/>
                <w:color w:val="0000FF"/>
              </w:rPr>
              <w:t>26</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160" w:type="dxa"/>
            <w:vAlign w:val="bottom"/>
            <w:gridSpan w:val="12"/>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sz w:val="20"/>
                <w:szCs w:val="20"/>
                <w:color w:val="auto"/>
              </w:rPr>
            </w:pPr>
            <w:r>
              <w:rPr>
                <w:rFonts w:ascii="Arial" w:cs="Arial" w:eastAsia="Arial" w:hAnsi="Arial"/>
                <w:sz w:val="18"/>
                <w:szCs w:val="18"/>
                <w:color w:val="0000FF"/>
                <w:w w:val="91"/>
              </w:rPr>
              <w:t>Exhibits</w:t>
            </w:r>
          </w:p>
        </w:tc>
        <w:tc>
          <w:tcPr>
            <w:tcW w:w="700" w:type="dxa"/>
            <w:vAlign w:val="bottom"/>
            <w:gridSpan w:val="2"/>
          </w:tcPr>
          <w:p>
            <w:pPr>
              <w:spacing w:after="0"/>
              <w:rPr>
                <w:sz w:val="22"/>
                <w:szCs w:val="22"/>
                <w:color w:val="auto"/>
              </w:rPr>
            </w:pPr>
          </w:p>
        </w:tc>
        <w:tc>
          <w:tcPr>
            <w:tcW w:w="5160" w:type="dxa"/>
            <w:vAlign w:val="bottom"/>
            <w:gridSpan w:val="12"/>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Arial" w:cs="Arial" w:eastAsia="Arial" w:hAnsi="Arial"/>
                <w:sz w:val="18"/>
                <w:szCs w:val="18"/>
                <w:color w:val="0000FF"/>
              </w:rPr>
              <w:t>26</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Arial" w:cs="Arial" w:eastAsia="Arial" w:hAnsi="Arial"/>
                <w:sz w:val="18"/>
                <w:szCs w:val="18"/>
                <w:color w:val="0000FF"/>
              </w:rPr>
              <w:t>27</w:t>
            </w:r>
          </w:p>
        </w:tc>
        <w:tc>
          <w:tcPr>
            <w:tcW w:w="40" w:type="dxa"/>
            <w:vAlign w:val="bottom"/>
          </w:tcPr>
          <w:p>
            <w:pPr>
              <w:spacing w:after="0"/>
              <w:rPr>
                <w:sz w:val="22"/>
                <w:szCs w:val="22"/>
                <w:color w:val="auto"/>
              </w:rPr>
            </w:pPr>
          </w:p>
        </w:tc>
      </w:tr>
      <w:tr>
        <w:trPr>
          <w:trHeight w:val="88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4340" w:type="dxa"/>
            <w:vAlign w:val="bottom"/>
            <w:gridSpan w:val="14"/>
          </w:tcPr>
          <w:p>
            <w:pPr>
              <w:ind w:left="4240"/>
              <w:spacing w:after="0"/>
              <w:rPr>
                <w:sz w:val="20"/>
                <w:szCs w:val="20"/>
                <w:color w:val="auto"/>
              </w:rPr>
            </w:pPr>
            <w:r>
              <w:rPr>
                <w:rFonts w:ascii="Arial" w:cs="Arial" w:eastAsia="Arial" w:hAnsi="Arial"/>
                <w:sz w:val="15"/>
                <w:szCs w:val="15"/>
                <w:color w:val="auto"/>
                <w:w w:val="71"/>
              </w:rPr>
              <w:t>3</w:t>
            </w:r>
          </w:p>
        </w:tc>
        <w:tc>
          <w:tcPr>
            <w:tcW w:w="2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820" w:type="dxa"/>
            <w:vAlign w:val="bottom"/>
            <w:gridSpan w:val="4"/>
          </w:tcPr>
          <w:p>
            <w:pPr>
              <w:spacing w:after="0"/>
              <w:rPr>
                <w:sz w:val="20"/>
                <w:szCs w:val="20"/>
                <w:color w:val="auto"/>
              </w:rPr>
            </w:pPr>
            <w:r>
              <w:rPr>
                <w:rFonts w:ascii="Arial" w:cs="Arial" w:eastAsia="Arial" w:hAnsi="Arial"/>
                <w:sz w:val="18"/>
                <w:szCs w:val="18"/>
                <w:color w:val="0000FF"/>
              </w:rPr>
              <w:t>Table of Contents</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6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6540" w:type="dxa"/>
            <w:vAlign w:val="bottom"/>
            <w:gridSpan w:val="2"/>
          </w:tcPr>
          <w:p>
            <w:pPr>
              <w:ind w:left="2820"/>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200" w:type="dxa"/>
            <w:vAlign w:val="bottom"/>
            <w:gridSpan w:val="3"/>
          </w:tcPr>
          <w:p>
            <w:pPr>
              <w:ind w:left="20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820" w:type="dxa"/>
            <w:vAlign w:val="bottom"/>
            <w:gridSpan w:val="4"/>
          </w:tcPr>
          <w:p>
            <w:pPr>
              <w:spacing w:after="0"/>
              <w:rPr>
                <w:sz w:val="20"/>
                <w:szCs w:val="20"/>
                <w:color w:val="auto"/>
              </w:rPr>
            </w:pPr>
            <w:r>
              <w:rPr>
                <w:rFonts w:ascii="Arial" w:cs="Arial" w:eastAsia="Arial" w:hAnsi="Arial"/>
                <w:sz w:val="18"/>
                <w:szCs w:val="18"/>
                <w:b w:val="1"/>
                <w:bCs w:val="1"/>
                <w:color w:val="auto"/>
              </w:rPr>
              <w:t>CONSOLIDATED BALANCE SHEETS</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20" w:type="dxa"/>
            <w:vAlign w:val="bottom"/>
            <w:gridSpan w:val="4"/>
          </w:tcPr>
          <w:p>
            <w:pPr>
              <w:spacing w:after="0"/>
              <w:rPr>
                <w:sz w:val="20"/>
                <w:szCs w:val="20"/>
                <w:color w:val="auto"/>
              </w:rPr>
            </w:pPr>
            <w:r>
              <w:rPr>
                <w:rFonts w:ascii="Arial" w:cs="Arial" w:eastAsia="Arial" w:hAnsi="Arial"/>
                <w:sz w:val="18"/>
                <w:szCs w:val="18"/>
                <w:color w:val="auto"/>
              </w:rPr>
              <w:t>(Unaudited)</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7820" w:type="dxa"/>
            <w:vAlign w:val="bottom"/>
            <w:gridSpan w:val="4"/>
          </w:tcPr>
          <w:p>
            <w:pPr>
              <w:ind w:left="20"/>
              <w:spacing w:after="0"/>
              <w:rPr>
                <w:sz w:val="20"/>
                <w:szCs w:val="20"/>
                <w:color w:val="auto"/>
              </w:rPr>
            </w:pPr>
            <w:r>
              <w:rPr>
                <w:rFonts w:ascii="Arial" w:cs="Arial" w:eastAsia="Arial" w:hAnsi="Arial"/>
                <w:sz w:val="14"/>
                <w:szCs w:val="14"/>
                <w:i w:val="1"/>
                <w:iCs w:val="1"/>
                <w:color w:val="auto"/>
              </w:rPr>
              <w:t>(In thousands, except stock data)</w:t>
            </w:r>
          </w:p>
        </w:tc>
        <w:tc>
          <w:tcPr>
            <w:tcW w:w="180" w:type="dxa"/>
            <w:vAlign w:val="bottom"/>
          </w:tcPr>
          <w:p>
            <w:pPr>
              <w:spacing w:after="0"/>
              <w:rPr>
                <w:sz w:val="24"/>
                <w:szCs w:val="24"/>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26, 2023</w:t>
            </w:r>
          </w:p>
        </w:tc>
        <w:tc>
          <w:tcPr>
            <w:tcW w:w="160" w:type="dxa"/>
            <w:vAlign w:val="bottom"/>
          </w:tcPr>
          <w:p>
            <w:pPr>
              <w:spacing w:after="0"/>
              <w:rPr>
                <w:sz w:val="24"/>
                <w:szCs w:val="24"/>
                <w:color w:val="auto"/>
              </w:rPr>
            </w:pPr>
          </w:p>
        </w:tc>
        <w:tc>
          <w:tcPr>
            <w:tcW w:w="1500" w:type="dxa"/>
            <w:vAlign w:val="bottom"/>
          </w:tcPr>
          <w:p>
            <w:pPr>
              <w:jc w:val="right"/>
              <w:ind w:right="110"/>
              <w:spacing w:after="0"/>
              <w:rPr>
                <w:sz w:val="20"/>
                <w:szCs w:val="20"/>
                <w:color w:val="auto"/>
              </w:rPr>
            </w:pPr>
            <w:r>
              <w:rPr>
                <w:rFonts w:ascii="Arial" w:cs="Arial" w:eastAsia="Arial" w:hAnsi="Arial"/>
                <w:sz w:val="16"/>
                <w:szCs w:val="16"/>
                <w:b w:val="1"/>
                <w:bCs w:val="1"/>
                <w:color w:val="auto"/>
                <w:w w:val="94"/>
              </w:rPr>
              <w:t>February 25, 2023</w:t>
            </w:r>
          </w:p>
        </w:tc>
        <w:tc>
          <w:tcPr>
            <w:tcW w:w="0" w:type="dxa"/>
            <w:vAlign w:val="bottom"/>
          </w:tcPr>
          <w:p>
            <w:pPr>
              <w:spacing w:after="0"/>
              <w:rPr>
                <w:sz w:val="1"/>
                <w:szCs w:val="1"/>
                <w:color w:val="auto"/>
              </w:rPr>
            </w:pPr>
          </w:p>
        </w:tc>
      </w:tr>
      <w:tr>
        <w:trPr>
          <w:trHeight w:val="226"/>
        </w:trPr>
        <w:tc>
          <w:tcPr>
            <w:tcW w:w="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8"/>
              </w:rPr>
              <w:t>Assets</w:t>
            </w:r>
          </w:p>
        </w:tc>
        <w:tc>
          <w:tcPr>
            <w:tcW w:w="660" w:type="dxa"/>
            <w:vAlign w:val="bottom"/>
            <w:tcBorders>
              <w:top w:val="single" w:sz="8" w:color="auto"/>
            </w:tcBorders>
            <w:shd w:val="clear" w:color="auto" w:fill="CCEEFF"/>
          </w:tcPr>
          <w:p>
            <w:pPr>
              <w:spacing w:after="0"/>
              <w:rPr>
                <w:sz w:val="19"/>
                <w:szCs w:val="19"/>
                <w:color w:val="auto"/>
              </w:rPr>
            </w:pPr>
          </w:p>
        </w:tc>
        <w:tc>
          <w:tcPr>
            <w:tcW w:w="6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gridSpan w:val="4"/>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19,924</w:t>
            </w:r>
          </w:p>
        </w:tc>
        <w:tc>
          <w:tcPr>
            <w:tcW w:w="0" w:type="dxa"/>
            <w:vAlign w:val="bottom"/>
          </w:tcPr>
          <w:p>
            <w:pPr>
              <w:spacing w:after="0"/>
              <w:rPr>
                <w:sz w:val="1"/>
                <w:szCs w:val="1"/>
                <w:color w:val="auto"/>
              </w:rPr>
            </w:pPr>
          </w:p>
        </w:tc>
      </w:tr>
      <w:tr>
        <w:trPr>
          <w:trHeight w:val="229"/>
        </w:trPr>
        <w:tc>
          <w:tcPr>
            <w:tcW w:w="7820" w:type="dxa"/>
            <w:vAlign w:val="bottom"/>
            <w:gridSpan w:val="4"/>
          </w:tcPr>
          <w:p>
            <w:pPr>
              <w:ind w:left="36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29"/>
        </w:trPr>
        <w:tc>
          <w:tcPr>
            <w:tcW w:w="78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Receivables, net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197,267</w:t>
            </w:r>
          </w:p>
        </w:tc>
        <w:tc>
          <w:tcPr>
            <w:tcW w:w="0" w:type="dxa"/>
            <w:vAlign w:val="bottom"/>
          </w:tcPr>
          <w:p>
            <w:pPr>
              <w:spacing w:after="0"/>
              <w:rPr>
                <w:sz w:val="1"/>
                <w:szCs w:val="1"/>
                <w:color w:val="auto"/>
              </w:rPr>
            </w:pPr>
          </w:p>
        </w:tc>
      </w:tr>
      <w:tr>
        <w:trPr>
          <w:trHeight w:val="230"/>
        </w:trPr>
        <w:tc>
          <w:tcPr>
            <w:tcW w:w="7820" w:type="dxa"/>
            <w:vAlign w:val="bottom"/>
            <w:gridSpan w:val="4"/>
          </w:tcPr>
          <w:p>
            <w:pPr>
              <w:ind w:left="36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72,775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78,441</w:t>
            </w:r>
          </w:p>
        </w:tc>
        <w:tc>
          <w:tcPr>
            <w:tcW w:w="0" w:type="dxa"/>
            <w:vAlign w:val="bottom"/>
          </w:tcPr>
          <w:p>
            <w:pPr>
              <w:spacing w:after="0"/>
              <w:rPr>
                <w:sz w:val="1"/>
                <w:szCs w:val="1"/>
                <w:color w:val="auto"/>
              </w:rPr>
            </w:pPr>
          </w:p>
        </w:tc>
      </w:tr>
      <w:tr>
        <w:trPr>
          <w:trHeight w:val="229"/>
        </w:trPr>
        <w:tc>
          <w:tcPr>
            <w:tcW w:w="78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Contract assets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59,403</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gridSpan w:val="4"/>
          </w:tcPr>
          <w:p>
            <w:pPr>
              <w:ind w:left="36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26,517</w:t>
            </w:r>
          </w:p>
        </w:tc>
        <w:tc>
          <w:tcPr>
            <w:tcW w:w="0" w:type="dxa"/>
            <w:vAlign w:val="bottom"/>
          </w:tcPr>
          <w:p>
            <w:pPr>
              <w:spacing w:after="0"/>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72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383,101</w:t>
            </w:r>
          </w:p>
        </w:tc>
        <w:tc>
          <w:tcPr>
            <w:tcW w:w="0" w:type="dxa"/>
            <w:vAlign w:val="bottom"/>
          </w:tcPr>
          <w:p>
            <w:pPr>
              <w:spacing w:after="0"/>
              <w:rPr>
                <w:sz w:val="1"/>
                <w:szCs w:val="1"/>
                <w:color w:val="auto"/>
              </w:rPr>
            </w:pPr>
          </w:p>
        </w:tc>
      </w:tr>
      <w:tr>
        <w:trPr>
          <w:trHeight w:val="223"/>
        </w:trPr>
        <w:tc>
          <w:tcPr>
            <w:tcW w:w="7820" w:type="dxa"/>
            <w:vAlign w:val="bottom"/>
            <w:gridSpan w:val="4"/>
          </w:tcPr>
          <w:p>
            <w:pPr>
              <w:ind w:left="20"/>
              <w:spacing w:after="0"/>
              <w:rPr>
                <w:sz w:val="20"/>
                <w:szCs w:val="20"/>
                <w:color w:val="auto"/>
              </w:rPr>
            </w:pPr>
            <w:r>
              <w:rPr>
                <w:rFonts w:ascii="Arial" w:cs="Arial" w:eastAsia="Arial" w:hAnsi="Arial"/>
                <w:sz w:val="18"/>
                <w:szCs w:val="18"/>
                <w:color w:val="auto"/>
              </w:rPr>
              <w:t>Property, plant and equipment, net of accumulated depreciation of $449,110 and $431,710</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245,541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248,867</w:t>
            </w:r>
          </w:p>
        </w:tc>
        <w:tc>
          <w:tcPr>
            <w:tcW w:w="0" w:type="dxa"/>
            <w:vAlign w:val="bottom"/>
          </w:tcPr>
          <w:p>
            <w:pPr>
              <w:spacing w:after="0"/>
              <w:rPr>
                <w:sz w:val="1"/>
                <w:szCs w:val="1"/>
                <w:color w:val="auto"/>
              </w:rPr>
            </w:pPr>
          </w:p>
        </w:tc>
      </w:tr>
      <w:tr>
        <w:trPr>
          <w:trHeight w:val="229"/>
        </w:trPr>
        <w:tc>
          <w:tcPr>
            <w:tcW w:w="7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41,354</w:t>
            </w:r>
          </w:p>
        </w:tc>
        <w:tc>
          <w:tcPr>
            <w:tcW w:w="0" w:type="dxa"/>
            <w:vAlign w:val="bottom"/>
          </w:tcPr>
          <w:p>
            <w:pPr>
              <w:spacing w:after="0"/>
              <w:rPr>
                <w:sz w:val="1"/>
                <w:szCs w:val="1"/>
                <w:color w:val="auto"/>
              </w:rPr>
            </w:pPr>
          </w:p>
        </w:tc>
      </w:tr>
      <w:tr>
        <w:trPr>
          <w:trHeight w:val="229"/>
        </w:trPr>
        <w:tc>
          <w:tcPr>
            <w:tcW w:w="7820" w:type="dxa"/>
            <w:vAlign w:val="bottom"/>
            <w:gridSpan w:val="4"/>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129,143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129,026</w:t>
            </w:r>
          </w:p>
        </w:tc>
        <w:tc>
          <w:tcPr>
            <w:tcW w:w="0" w:type="dxa"/>
            <w:vAlign w:val="bottom"/>
          </w:tcPr>
          <w:p>
            <w:pPr>
              <w:spacing w:after="0"/>
              <w:rPr>
                <w:sz w:val="1"/>
                <w:szCs w:val="1"/>
                <w:color w:val="auto"/>
              </w:rPr>
            </w:pPr>
          </w:p>
        </w:tc>
      </w:tr>
      <w:tr>
        <w:trPr>
          <w:trHeight w:val="230"/>
        </w:trPr>
        <w:tc>
          <w:tcPr>
            <w:tcW w:w="7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67,375</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51,229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45,642</w:t>
            </w:r>
          </w:p>
        </w:tc>
        <w:tc>
          <w:tcPr>
            <w:tcW w:w="0" w:type="dxa"/>
            <w:vAlign w:val="bottom"/>
          </w:tcPr>
          <w:p>
            <w:pPr>
              <w:spacing w:after="0"/>
              <w:rPr>
                <w:sz w:val="1"/>
                <w:szCs w:val="1"/>
                <w:color w:val="auto"/>
              </w:rPr>
            </w:pPr>
          </w:p>
        </w:tc>
      </w:tr>
      <w:tr>
        <w:trPr>
          <w:trHeight w:val="248"/>
        </w:trPr>
        <w:tc>
          <w:tcPr>
            <w:tcW w:w="620" w:type="dxa"/>
            <w:vAlign w:val="bottom"/>
            <w:tcBorders>
              <w:bottom w:val="single" w:sz="8" w:color="CCEEFF"/>
            </w:tcBorders>
            <w:shd w:val="clear" w:color="auto" w:fill="CCEEFF"/>
          </w:tcPr>
          <w:p>
            <w:pPr>
              <w:spacing w:after="0"/>
              <w:rPr>
                <w:sz w:val="21"/>
                <w:szCs w:val="21"/>
                <w:color w:val="auto"/>
              </w:rPr>
            </w:pPr>
          </w:p>
        </w:tc>
        <w:tc>
          <w:tcPr>
            <w:tcW w:w="720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908,579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915,365</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2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gridSpan w:val="4"/>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78,323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86,549</w:t>
            </w:r>
          </w:p>
        </w:tc>
        <w:tc>
          <w:tcPr>
            <w:tcW w:w="0" w:type="dxa"/>
            <w:vAlign w:val="bottom"/>
          </w:tcPr>
          <w:p>
            <w:pPr>
              <w:spacing w:after="0"/>
              <w:rPr>
                <w:sz w:val="1"/>
                <w:szCs w:val="1"/>
                <w:color w:val="auto"/>
              </w:rPr>
            </w:pPr>
          </w:p>
        </w:tc>
      </w:tr>
      <w:tr>
        <w:trPr>
          <w:trHeight w:val="230"/>
        </w:trPr>
        <w:tc>
          <w:tcPr>
            <w:tcW w:w="78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51,651</w:t>
            </w:r>
          </w:p>
        </w:tc>
        <w:tc>
          <w:tcPr>
            <w:tcW w:w="0" w:type="dxa"/>
            <w:vAlign w:val="bottom"/>
          </w:tcPr>
          <w:p>
            <w:pPr>
              <w:spacing w:after="0"/>
              <w:rPr>
                <w:sz w:val="1"/>
                <w:szCs w:val="1"/>
                <w:color w:val="auto"/>
              </w:rPr>
            </w:pPr>
          </w:p>
        </w:tc>
      </w:tr>
      <w:tr>
        <w:trPr>
          <w:trHeight w:val="230"/>
        </w:trPr>
        <w:tc>
          <w:tcPr>
            <w:tcW w:w="7820" w:type="dxa"/>
            <w:vAlign w:val="bottom"/>
            <w:gridSpan w:val="4"/>
          </w:tcPr>
          <w:p>
            <w:pPr>
              <w:ind w:left="360"/>
              <w:spacing w:after="0"/>
              <w:rPr>
                <w:sz w:val="20"/>
                <w:szCs w:val="20"/>
                <w:color w:val="auto"/>
              </w:rPr>
            </w:pPr>
            <w:r>
              <w:rPr>
                <w:rFonts w:ascii="Arial" w:cs="Arial" w:eastAsia="Arial" w:hAnsi="Arial"/>
                <w:sz w:val="18"/>
                <w:szCs w:val="18"/>
                <w:color w:val="auto"/>
              </w:rPr>
              <w:t>Contract liabilities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32,498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28,011</w:t>
            </w:r>
          </w:p>
        </w:tc>
        <w:tc>
          <w:tcPr>
            <w:tcW w:w="0" w:type="dxa"/>
            <w:vAlign w:val="bottom"/>
          </w:tcPr>
          <w:p>
            <w:pPr>
              <w:spacing w:after="0"/>
              <w:rPr>
                <w:sz w:val="1"/>
                <w:szCs w:val="1"/>
                <w:color w:val="auto"/>
              </w:rPr>
            </w:pPr>
          </w:p>
        </w:tc>
      </w:tr>
      <w:tr>
        <w:trPr>
          <w:trHeight w:val="230"/>
        </w:trPr>
        <w:tc>
          <w:tcPr>
            <w:tcW w:w="78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11,806</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gridSpan w:val="4"/>
          </w:tcPr>
          <w:p>
            <w:pPr>
              <w:ind w:left="36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64,532</w:t>
            </w:r>
          </w:p>
        </w:tc>
        <w:tc>
          <w:tcPr>
            <w:tcW w:w="0" w:type="dxa"/>
            <w:vAlign w:val="bottom"/>
          </w:tcPr>
          <w:p>
            <w:pPr>
              <w:spacing w:after="0"/>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72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242,549</w:t>
            </w:r>
          </w:p>
        </w:tc>
        <w:tc>
          <w:tcPr>
            <w:tcW w:w="0" w:type="dxa"/>
            <w:vAlign w:val="bottom"/>
          </w:tcPr>
          <w:p>
            <w:pPr>
              <w:spacing w:after="0"/>
              <w:rPr>
                <w:sz w:val="1"/>
                <w:szCs w:val="1"/>
                <w:color w:val="auto"/>
              </w:rPr>
            </w:pPr>
          </w:p>
        </w:tc>
      </w:tr>
      <w:tr>
        <w:trPr>
          <w:trHeight w:val="223"/>
        </w:trPr>
        <w:tc>
          <w:tcPr>
            <w:tcW w:w="7820" w:type="dxa"/>
            <w:vAlign w:val="bottom"/>
            <w:gridSpan w:val="4"/>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145,675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169,837</w:t>
            </w:r>
          </w:p>
        </w:tc>
        <w:tc>
          <w:tcPr>
            <w:tcW w:w="0" w:type="dxa"/>
            <w:vAlign w:val="bottom"/>
          </w:tcPr>
          <w:p>
            <w:pPr>
              <w:spacing w:after="0"/>
              <w:rPr>
                <w:sz w:val="1"/>
                <w:szCs w:val="1"/>
                <w:color w:val="auto"/>
              </w:rPr>
            </w:pPr>
          </w:p>
        </w:tc>
      </w:tr>
      <w:tr>
        <w:trPr>
          <w:trHeight w:val="229"/>
        </w:trPr>
        <w:tc>
          <w:tcPr>
            <w:tcW w:w="7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33,072</w:t>
            </w:r>
          </w:p>
        </w:tc>
        <w:tc>
          <w:tcPr>
            <w:tcW w:w="0" w:type="dxa"/>
            <w:vAlign w:val="bottom"/>
          </w:tcPr>
          <w:p>
            <w:pPr>
              <w:spacing w:after="0"/>
              <w:rPr>
                <w:sz w:val="1"/>
                <w:szCs w:val="1"/>
                <w:color w:val="auto"/>
              </w:rPr>
            </w:pPr>
          </w:p>
        </w:tc>
      </w:tr>
      <w:tr>
        <w:trPr>
          <w:trHeight w:val="230"/>
        </w:trPr>
        <w:tc>
          <w:tcPr>
            <w:tcW w:w="7820" w:type="dxa"/>
            <w:vAlign w:val="bottom"/>
            <w:gridSpan w:val="4"/>
          </w:tcPr>
          <w:p>
            <w:pPr>
              <w:ind w:left="20"/>
              <w:spacing w:after="0"/>
              <w:rPr>
                <w:sz w:val="20"/>
                <w:szCs w:val="20"/>
                <w:color w:val="auto"/>
              </w:rPr>
            </w:pPr>
            <w:r>
              <w:rPr>
                <w:rFonts w:ascii="Arial" w:cs="Arial" w:eastAsia="Arial" w:hAnsi="Arial"/>
                <w:sz w:val="18"/>
                <w:szCs w:val="18"/>
                <w:color w:val="auto"/>
              </w:rPr>
              <w:t>Non-current self-insurance reserves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32,933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29,316</w:t>
            </w:r>
          </w:p>
        </w:tc>
        <w:tc>
          <w:tcPr>
            <w:tcW w:w="0" w:type="dxa"/>
            <w:vAlign w:val="bottom"/>
          </w:tcPr>
          <w:p>
            <w:pPr>
              <w:spacing w:after="0"/>
              <w:rPr>
                <w:sz w:val="1"/>
                <w:szCs w:val="1"/>
                <w:color w:val="auto"/>
              </w:rPr>
            </w:pPr>
          </w:p>
        </w:tc>
      </w:tr>
      <w:tr>
        <w:trPr>
          <w:trHeight w:val="230"/>
        </w:trPr>
        <w:tc>
          <w:tcPr>
            <w:tcW w:w="7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44,183</w:t>
            </w:r>
          </w:p>
        </w:tc>
        <w:tc>
          <w:tcPr>
            <w:tcW w:w="0" w:type="dxa"/>
            <w:vAlign w:val="bottom"/>
          </w:tcPr>
          <w:p>
            <w:pPr>
              <w:spacing w:after="0"/>
              <w:rPr>
                <w:sz w:val="1"/>
                <w:szCs w:val="1"/>
                <w:color w:val="auto"/>
              </w:rPr>
            </w:pPr>
          </w:p>
        </w:tc>
      </w:tr>
      <w:tr>
        <w:trPr>
          <w:trHeight w:val="230"/>
        </w:trPr>
        <w:tc>
          <w:tcPr>
            <w:tcW w:w="7820" w:type="dxa"/>
            <w:vAlign w:val="bottom"/>
            <w:gridSpan w:val="4"/>
          </w:tcPr>
          <w:p>
            <w:pPr>
              <w:ind w:left="20"/>
              <w:spacing w:after="0"/>
              <w:rPr>
                <w:sz w:val="20"/>
                <w:szCs w:val="20"/>
                <w:color w:val="auto"/>
              </w:rPr>
            </w:pPr>
            <w:r>
              <w:rPr>
                <w:rFonts w:ascii="Arial" w:cs="Arial" w:eastAsia="Arial" w:hAnsi="Arial"/>
                <w:sz w:val="18"/>
                <w:szCs w:val="18"/>
                <w:color w:val="auto"/>
              </w:rPr>
              <w:t>Commitments and contingent liabilities (Note 7)</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820" w:type="dxa"/>
            <w:vAlign w:val="bottom"/>
            <w:gridSpan w:val="4"/>
          </w:tcPr>
          <w:p>
            <w:pPr>
              <w:ind w:left="360"/>
              <w:spacing w:after="0" w:line="176" w:lineRule="exact"/>
              <w:rPr>
                <w:sz w:val="20"/>
                <w:szCs w:val="20"/>
                <w:color w:val="auto"/>
              </w:rPr>
            </w:pPr>
            <w:r>
              <w:rPr>
                <w:rFonts w:ascii="Arial" w:cs="Arial" w:eastAsia="Arial" w:hAnsi="Arial"/>
                <w:sz w:val="18"/>
                <w:szCs w:val="18"/>
                <w:color w:val="auto"/>
              </w:rPr>
              <w:t>Common stock of $0.33-1/3 par value; authorized 50,000,000 shares; issued and outstanding</w:t>
            </w: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20" w:type="dxa"/>
            <w:vAlign w:val="bottom"/>
            <w:gridSpan w:val="4"/>
          </w:tcPr>
          <w:p>
            <w:pPr>
              <w:ind w:left="360"/>
              <w:spacing w:after="0"/>
              <w:rPr>
                <w:sz w:val="20"/>
                <w:szCs w:val="20"/>
                <w:color w:val="auto"/>
              </w:rPr>
            </w:pPr>
            <w:r>
              <w:rPr>
                <w:rFonts w:ascii="Arial" w:cs="Arial" w:eastAsia="Arial" w:hAnsi="Arial"/>
                <w:sz w:val="18"/>
                <w:szCs w:val="18"/>
                <w:color w:val="auto"/>
              </w:rPr>
              <w:t>22,072,123 and 22,224,299, respectively</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30"/>
        </w:trPr>
        <w:tc>
          <w:tcPr>
            <w:tcW w:w="78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146,816</w:t>
            </w:r>
          </w:p>
        </w:tc>
        <w:tc>
          <w:tcPr>
            <w:tcW w:w="0" w:type="dxa"/>
            <w:vAlign w:val="bottom"/>
          </w:tcPr>
          <w:p>
            <w:pPr>
              <w:spacing w:after="0"/>
              <w:rPr>
                <w:sz w:val="1"/>
                <w:szCs w:val="1"/>
                <w:color w:val="auto"/>
              </w:rPr>
            </w:pPr>
          </w:p>
        </w:tc>
      </w:tr>
      <w:tr>
        <w:trPr>
          <w:trHeight w:val="229"/>
        </w:trPr>
        <w:tc>
          <w:tcPr>
            <w:tcW w:w="7820" w:type="dxa"/>
            <w:vAlign w:val="bottom"/>
            <w:gridSpan w:val="4"/>
          </w:tcPr>
          <w:p>
            <w:pPr>
              <w:ind w:left="36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308,248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273,740</w:t>
            </w:r>
          </w:p>
        </w:tc>
        <w:tc>
          <w:tcPr>
            <w:tcW w:w="0" w:type="dxa"/>
            <w:vAlign w:val="bottom"/>
          </w:tcPr>
          <w:p>
            <w:pPr>
              <w:spacing w:after="0"/>
              <w:rPr>
                <w:sz w:val="1"/>
                <w:szCs w:val="1"/>
                <w:color w:val="auto"/>
              </w:rPr>
            </w:pPr>
          </w:p>
        </w:tc>
      </w:tr>
      <w:tr>
        <w:trPr>
          <w:trHeight w:val="230"/>
        </w:trPr>
        <w:tc>
          <w:tcPr>
            <w:tcW w:w="78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(31,556)</w:t>
            </w:r>
          </w:p>
        </w:tc>
        <w:tc>
          <w:tcPr>
            <w:tcW w:w="0" w:type="dxa"/>
            <w:vAlign w:val="bottom"/>
          </w:tcPr>
          <w:p>
            <w:pPr>
              <w:spacing w:after="0"/>
              <w:rPr>
                <w:sz w:val="1"/>
                <w:szCs w:val="1"/>
                <w:color w:val="auto"/>
              </w:rPr>
            </w:pPr>
          </w:p>
        </w:tc>
      </w:tr>
      <w:tr>
        <w:trPr>
          <w:trHeight w:val="223"/>
        </w:trPr>
        <w:tc>
          <w:tcPr>
            <w:tcW w:w="620" w:type="dxa"/>
            <w:vAlign w:val="bottom"/>
            <w:tcBorders>
              <w:bottom w:val="single" w:sz="8" w:color="CCEEFF"/>
            </w:tcBorders>
          </w:tcPr>
          <w:p>
            <w:pPr>
              <w:spacing w:after="0"/>
              <w:rPr>
                <w:sz w:val="19"/>
                <w:szCs w:val="19"/>
                <w:color w:val="auto"/>
              </w:rPr>
            </w:pPr>
          </w:p>
        </w:tc>
        <w:tc>
          <w:tcPr>
            <w:tcW w:w="7200" w:type="dxa"/>
            <w:vAlign w:val="bottom"/>
            <w:tcBorders>
              <w:bottom w:val="single" w:sz="8" w:color="CCEEFF"/>
            </w:tcBorders>
            <w:gridSpan w:val="3"/>
          </w:tcPr>
          <w:p>
            <w:pPr>
              <w:ind w:left="6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432,318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396,408</w:t>
            </w:r>
          </w:p>
        </w:tc>
        <w:tc>
          <w:tcPr>
            <w:tcW w:w="0" w:type="dxa"/>
            <w:vAlign w:val="bottom"/>
          </w:tcPr>
          <w:p>
            <w:pPr>
              <w:spacing w:after="0"/>
              <w:rPr>
                <w:sz w:val="1"/>
                <w:szCs w:val="1"/>
                <w:color w:val="auto"/>
              </w:rPr>
            </w:pPr>
          </w:p>
        </w:tc>
      </w:tr>
      <w:tr>
        <w:trPr>
          <w:trHeight w:val="248"/>
        </w:trPr>
        <w:tc>
          <w:tcPr>
            <w:tcW w:w="620" w:type="dxa"/>
            <w:vAlign w:val="bottom"/>
            <w:tcBorders>
              <w:bottom w:val="single" w:sz="8" w:color="CCEEFF"/>
            </w:tcBorders>
            <w:shd w:val="clear" w:color="auto" w:fill="CCEEFF"/>
          </w:tcPr>
          <w:p>
            <w:pPr>
              <w:spacing w:after="0"/>
              <w:rPr>
                <w:sz w:val="21"/>
                <w:szCs w:val="21"/>
                <w:color w:val="auto"/>
              </w:rPr>
            </w:pPr>
          </w:p>
        </w:tc>
        <w:tc>
          <w:tcPr>
            <w:tcW w:w="720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908,579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915,365</w:t>
            </w: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5"/>
          </w:tcPr>
          <w:p>
            <w:pPr>
              <w:ind w:left="68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3000" w:type="dxa"/>
            <w:vAlign w:val="bottom"/>
            <w:gridSpan w:val="4"/>
          </w:tcPr>
          <w:p>
            <w:pPr>
              <w:jc w:val="right"/>
              <w:ind w:right="85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48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August 26, 2023</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1"/>
              </w:rPr>
              <w:t>August 27, 2022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August 26, 2023</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1"/>
              </w:rPr>
              <w:t>August 27, 2022</w:t>
            </w:r>
          </w:p>
        </w:tc>
      </w:tr>
      <w:tr>
        <w:trPr>
          <w:trHeight w:val="226"/>
        </w:trPr>
        <w:tc>
          <w:tcPr>
            <w:tcW w:w="4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353,675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372,109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715,388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728,744</w:t>
            </w:r>
          </w:p>
        </w:tc>
      </w:tr>
      <w:tr>
        <w:trPr>
          <w:trHeight w:val="229"/>
        </w:trPr>
        <w:tc>
          <w:tcPr>
            <w:tcW w:w="4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258,304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527,031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558,191</w:t>
            </w:r>
          </w:p>
        </w:tc>
      </w:tr>
      <w:tr>
        <w:trPr>
          <w:trHeight w:val="223"/>
        </w:trPr>
        <w:tc>
          <w:tcPr>
            <w:tcW w:w="4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170,553</w:t>
            </w:r>
          </w:p>
        </w:tc>
      </w:tr>
      <w:tr>
        <w:trPr>
          <w:trHeight w:val="229"/>
        </w:trPr>
        <w:tc>
          <w:tcPr>
            <w:tcW w:w="4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52,864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114,037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105,265</w:t>
            </w:r>
          </w:p>
        </w:tc>
      </w:tr>
      <w:tr>
        <w:trPr>
          <w:trHeight w:val="223"/>
        </w:trPr>
        <w:tc>
          <w:tcPr>
            <w:tcW w:w="4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65,288</w:t>
            </w:r>
          </w:p>
        </w:tc>
      </w:tr>
      <w:tr>
        <w:trPr>
          <w:trHeight w:val="229"/>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2,904</w:t>
            </w:r>
          </w:p>
        </w:tc>
      </w:tr>
      <w:tr>
        <w:trPr>
          <w:trHeight w:val="229"/>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r>
      <w:tr>
        <w:trPr>
          <w:trHeight w:val="223"/>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Earnings before income taxes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43,223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30,201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74,666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60,901</w:t>
            </w:r>
          </w:p>
        </w:tc>
      </w:tr>
      <w:tr>
        <w:trPr>
          <w:trHeight w:val="229"/>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w:t>
            </w:r>
          </w:p>
        </w:tc>
      </w:tr>
      <w:tr>
        <w:trPr>
          <w:trHeight w:val="223"/>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Net earnings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33,327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56,903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60,120</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29"/>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Diluted earnings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30"/>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basic shares outstanding</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22,129</w:t>
            </w:r>
          </w:p>
        </w:tc>
      </w:tr>
      <w:tr>
        <w:trPr>
          <w:trHeight w:val="230"/>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Weighted average diluted shares outstanding</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21,962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22,245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22,105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22,563</w:t>
            </w: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5600"/>
        <w:spacing w:after="0" w:line="282" w:lineRule="auto"/>
        <w:rPr>
          <w:sz w:val="20"/>
          <w:szCs w:val="20"/>
          <w:color w:val="auto"/>
        </w:rPr>
      </w:pPr>
      <w:r>
        <w:rPr>
          <w:rFonts w:ascii="Arial" w:cs="Arial" w:eastAsia="Arial" w:hAnsi="Arial"/>
          <w:sz w:val="18"/>
          <w:szCs w:val="18"/>
          <w:b w:val="1"/>
          <w:bCs w:val="1"/>
          <w:color w:val="auto"/>
        </w:rPr>
        <w:t xml:space="preserve">CONSOLIDATED STATEMENTS OF COMPREHENSIVE EARNINGS </w:t>
      </w:r>
      <w:r>
        <w:rPr>
          <w:rFonts w:ascii="Arial" w:cs="Arial" w:eastAsia="Arial" w:hAnsi="Arial"/>
          <w:sz w:val="18"/>
          <w:szCs w:val="18"/>
          <w:color w:val="auto"/>
        </w:rPr>
        <w:t>(Unaudited)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980" w:type="dxa"/>
            <w:vAlign w:val="bottom"/>
            <w:gridSpan w:val="4"/>
          </w:tcPr>
          <w:p>
            <w:pPr>
              <w:jc w:val="right"/>
              <w:ind w:right="85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48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August 26, 2023</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1"/>
              </w:rPr>
              <w:t>August 27, 2022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August 26, 2023</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1"/>
              </w:rPr>
              <w:t>August 27, 2022</w:t>
            </w:r>
          </w:p>
        </w:tc>
      </w:tr>
      <w:tr>
        <w:trPr>
          <w:trHeight w:val="226"/>
        </w:trPr>
        <w:tc>
          <w:tcPr>
            <w:tcW w:w="4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33,327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56,903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60,120</w:t>
            </w:r>
          </w:p>
        </w:tc>
      </w:tr>
      <w:tr>
        <w:trPr>
          <w:trHeight w:val="229"/>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Other comprehensive earnings (loss):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76"/>
        </w:trPr>
        <w:tc>
          <w:tcPr>
            <w:tcW w:w="486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w w:val="95"/>
              </w:rPr>
              <w:t>Unrealized (loss) gain on marketable securities, net of $(8),</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75"/>
        </w:trPr>
        <w:tc>
          <w:tcPr>
            <w:tcW w:w="4860" w:type="dxa"/>
            <w:vAlign w:val="bottom"/>
            <w:gridSpan w:val="2"/>
            <w:shd w:val="clear" w:color="auto" w:fill="CCEEFF"/>
          </w:tcPr>
          <w:p>
            <w:pPr>
              <w:ind w:left="520"/>
              <w:spacing w:after="0" w:line="176" w:lineRule="exact"/>
              <w:rPr>
                <w:sz w:val="20"/>
                <w:szCs w:val="20"/>
                <w:color w:val="auto"/>
              </w:rPr>
            </w:pPr>
            <w:r>
              <w:rPr>
                <w:rFonts w:ascii="Arial" w:cs="Arial" w:eastAsia="Arial" w:hAnsi="Arial"/>
                <w:sz w:val="18"/>
                <w:szCs w:val="18"/>
                <w:color w:val="auto"/>
              </w:rPr>
              <w:t>$(28), $25 and $(102) of tax (benefit) expense,</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43"/>
        </w:trPr>
        <w:tc>
          <w:tcPr>
            <w:tcW w:w="4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175"/>
        </w:trPr>
        <w:tc>
          <w:tcPr>
            <w:tcW w:w="4860" w:type="dxa"/>
            <w:vAlign w:val="bottom"/>
            <w:gridSpan w:val="2"/>
          </w:tcPr>
          <w:p>
            <w:pPr>
              <w:ind w:left="360"/>
              <w:spacing w:after="0" w:line="176" w:lineRule="exact"/>
              <w:rPr>
                <w:sz w:val="20"/>
                <w:szCs w:val="20"/>
                <w:color w:val="auto"/>
              </w:rPr>
            </w:pPr>
            <w:r>
              <w:rPr>
                <w:rFonts w:ascii="Arial" w:cs="Arial" w:eastAsia="Arial" w:hAnsi="Arial"/>
                <w:sz w:val="18"/>
                <w:szCs w:val="18"/>
                <w:color w:val="auto"/>
                <w:w w:val="94"/>
              </w:rPr>
              <w:t>Unrealized gain (loss) on derivative instruments, net of $66,</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4860" w:type="dxa"/>
            <w:vAlign w:val="bottom"/>
            <w:gridSpan w:val="2"/>
          </w:tcPr>
          <w:p>
            <w:pPr>
              <w:ind w:left="520"/>
              <w:spacing w:after="0" w:line="176" w:lineRule="exact"/>
              <w:rPr>
                <w:sz w:val="20"/>
                <w:szCs w:val="20"/>
                <w:color w:val="auto"/>
              </w:rPr>
            </w:pPr>
            <w:r>
              <w:rPr>
                <w:rFonts w:ascii="Arial" w:cs="Arial" w:eastAsia="Arial" w:hAnsi="Arial"/>
                <w:sz w:val="18"/>
                <w:szCs w:val="18"/>
                <w:color w:val="auto"/>
              </w:rPr>
              <w:t>$(152), $(55) and $(1,469) of tax expense (benefit),</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43"/>
        </w:trPr>
        <w:tc>
          <w:tcPr>
            <w:tcW w:w="4860" w:type="dxa"/>
            <w:vAlign w:val="bottom"/>
            <w:gridSpan w:val="2"/>
          </w:tcPr>
          <w:p>
            <w:pPr>
              <w:ind w:left="52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(4,816)</w:t>
            </w:r>
          </w:p>
        </w:tc>
      </w:tr>
      <w:tr>
        <w:trPr>
          <w:trHeight w:val="229"/>
        </w:trPr>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r>
      <w:tr>
        <w:trPr>
          <w:trHeight w:val="223"/>
        </w:trPr>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comprehensive earnings (loss)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(6,243)</w:t>
            </w:r>
          </w:p>
        </w:tc>
      </w:tr>
      <w:tr>
        <w:trPr>
          <w:trHeight w:val="248"/>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comprehensive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53,877</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80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26, 2023</w:t>
            </w:r>
          </w:p>
        </w:tc>
        <w:tc>
          <w:tcPr>
            <w:tcW w:w="16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Arial" w:cs="Arial" w:eastAsia="Arial" w:hAnsi="Arial"/>
                <w:sz w:val="16"/>
                <w:szCs w:val="16"/>
                <w:b w:val="1"/>
                <w:bCs w:val="1"/>
                <w:color w:val="auto"/>
                <w:w w:val="91"/>
              </w:rPr>
              <w:t>August 27, 2022</w:t>
            </w:r>
          </w:p>
        </w:tc>
      </w:tr>
      <w:tr>
        <w:trPr>
          <w:trHeight w:val="226"/>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r>
      <w:tr>
        <w:trPr>
          <w:trHeight w:val="229"/>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Net earnings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56,903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60,120</w:t>
            </w:r>
          </w:p>
        </w:tc>
      </w:tr>
      <w:tr>
        <w:trPr>
          <w:trHeight w:val="22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08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20,661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21,448</w:t>
            </w:r>
          </w:p>
        </w:tc>
      </w:tr>
      <w:tr>
        <w:trPr>
          <w:trHeight w:val="229"/>
        </w:trPr>
        <w:tc>
          <w:tcPr>
            <w:tcW w:w="8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w:t>
            </w:r>
          </w:p>
        </w:tc>
      </w:tr>
      <w:tr>
        <w:trPr>
          <w:trHeight w:val="230"/>
        </w:trPr>
        <w:tc>
          <w:tcPr>
            <w:tcW w:w="8080" w:type="dxa"/>
            <w:vAlign w:val="bottom"/>
            <w:gridSpan w:val="2"/>
          </w:tcPr>
          <w:p>
            <w:pPr>
              <w:ind w:left="36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6,858</w:t>
            </w:r>
          </w:p>
        </w:tc>
      </w:tr>
      <w:tr>
        <w:trPr>
          <w:trHeight w:val="229"/>
        </w:trPr>
        <w:tc>
          <w:tcPr>
            <w:tcW w:w="8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Gain on disposal of assets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29"/>
        </w:trPr>
        <w:tc>
          <w:tcPr>
            <w:tcW w:w="8080" w:type="dxa"/>
            <w:vAlign w:val="bottom"/>
            <w:gridSpan w:val="2"/>
          </w:tcPr>
          <w:p>
            <w:pPr>
              <w:ind w:left="360"/>
              <w:spacing w:after="0"/>
              <w:rPr>
                <w:sz w:val="20"/>
                <w:szCs w:val="20"/>
                <w:color w:val="auto"/>
              </w:rPr>
            </w:pPr>
            <w:r>
              <w:rPr>
                <w:rFonts w:ascii="Arial" w:cs="Arial" w:eastAsia="Arial" w:hAnsi="Arial"/>
                <w:sz w:val="18"/>
                <w:szCs w:val="18"/>
                <w:color w:val="auto"/>
              </w:rPr>
              <w:t>Proceeds from New Markets Tax Credit transaction, net of deferred costs</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18,390</w:t>
            </w:r>
          </w:p>
        </w:tc>
      </w:tr>
      <w:tr>
        <w:trPr>
          <w:trHeight w:val="230"/>
        </w:trPr>
        <w:tc>
          <w:tcPr>
            <w:tcW w:w="8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Settlement of New Markets Tax Credit transaction</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(19,523)</w:t>
            </w:r>
          </w:p>
        </w:tc>
      </w:tr>
      <w:tr>
        <w:trPr>
          <w:trHeight w:val="229"/>
        </w:trPr>
        <w:tc>
          <w:tcPr>
            <w:tcW w:w="8080" w:type="dxa"/>
            <w:vAlign w:val="bottom"/>
            <w:gridSpan w:val="2"/>
          </w:tcPr>
          <w:p>
            <w:pPr>
              <w:ind w:left="360"/>
              <w:spacing w:after="0"/>
              <w:rPr>
                <w:sz w:val="20"/>
                <w:szCs w:val="20"/>
                <w:color w:val="auto"/>
              </w:rPr>
            </w:pPr>
            <w:r>
              <w:rPr>
                <w:rFonts w:ascii="Arial" w:cs="Arial" w:eastAsia="Arial" w:hAnsi="Arial"/>
                <w:sz w:val="18"/>
                <w:szCs w:val="18"/>
                <w:color w:val="auto"/>
              </w:rPr>
              <w:t>Noncash lease expense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6,160</w:t>
            </w:r>
          </w:p>
        </w:tc>
      </w:tr>
      <w:tr>
        <w:trPr>
          <w:trHeight w:val="229"/>
        </w:trPr>
        <w:tc>
          <w:tcPr>
            <w:tcW w:w="8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w:t>
            </w: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Receivables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(71,720)</w:t>
            </w:r>
          </w:p>
        </w:tc>
      </w:tr>
      <w:tr>
        <w:trPr>
          <w:trHeight w:val="230"/>
        </w:trPr>
        <w:tc>
          <w:tcPr>
            <w:tcW w:w="8080" w:type="dxa"/>
            <w:vAlign w:val="bottom"/>
            <w:gridSpan w:val="2"/>
          </w:tcPr>
          <w:p>
            <w:pPr>
              <w:ind w:left="36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(17,636)</w:t>
            </w:r>
          </w:p>
        </w:tc>
      </w:tr>
      <w:tr>
        <w:trPr>
          <w:trHeight w:val="229"/>
        </w:trPr>
        <w:tc>
          <w:tcPr>
            <w:tcW w:w="8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Contract assets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w:t>
            </w:r>
          </w:p>
        </w:tc>
      </w:tr>
      <w:tr>
        <w:trPr>
          <w:trHeight w:val="229"/>
        </w:trPr>
        <w:tc>
          <w:tcPr>
            <w:tcW w:w="8080" w:type="dxa"/>
            <w:vAlign w:val="bottom"/>
            <w:gridSpan w:val="2"/>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(21,096)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(11,793)</w:t>
            </w:r>
          </w:p>
        </w:tc>
      </w:tr>
      <w:tr>
        <w:trPr>
          <w:trHeight w:val="230"/>
        </w:trPr>
        <w:tc>
          <w:tcPr>
            <w:tcW w:w="8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Contract liabilities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20,927</w:t>
            </w:r>
          </w:p>
        </w:tc>
      </w:tr>
      <w:tr>
        <w:trPr>
          <w:trHeight w:val="229"/>
        </w:trPr>
        <w:tc>
          <w:tcPr>
            <w:tcW w:w="8080" w:type="dxa"/>
            <w:vAlign w:val="bottom"/>
            <w:gridSpan w:val="2"/>
          </w:tcPr>
          <w:p>
            <w:pPr>
              <w:ind w:left="360"/>
              <w:spacing w:after="0"/>
              <w:rPr>
                <w:sz w:val="20"/>
                <w:szCs w:val="20"/>
                <w:color w:val="auto"/>
              </w:rPr>
            </w:pPr>
            <w:r>
              <w:rPr>
                <w:rFonts w:ascii="Arial" w:cs="Arial" w:eastAsia="Arial" w:hAnsi="Arial"/>
                <w:sz w:val="18"/>
                <w:szCs w:val="18"/>
                <w:color w:val="auto"/>
              </w:rPr>
              <w:t>Refundable and accrued income taxes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(20,486)</w:t>
            </w:r>
          </w:p>
        </w:tc>
      </w:tr>
      <w:tr>
        <w:trPr>
          <w:trHeight w:val="230"/>
        </w:trPr>
        <w:tc>
          <w:tcPr>
            <w:tcW w:w="8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lease liability</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w:t>
            </w:r>
          </w:p>
        </w:tc>
      </w:tr>
      <w:tr>
        <w:trPr>
          <w:trHeight w:val="229"/>
        </w:trPr>
        <w:tc>
          <w:tcPr>
            <w:tcW w:w="80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r>
      <w:tr>
        <w:trPr>
          <w:trHeight w:val="223"/>
        </w:trPr>
        <w:tc>
          <w:tcPr>
            <w:tcW w:w="8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Net cash provided (used) by operating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62,564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(2,643)</w:t>
            </w:r>
          </w:p>
        </w:tc>
      </w:tr>
      <w:tr>
        <w:trPr>
          <w:trHeight w:val="210"/>
        </w:trPr>
        <w:tc>
          <w:tcPr>
            <w:tcW w:w="808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(9,255)</w:t>
            </w: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Proceeds from sales of property, plant and equipment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4,122</w:t>
            </w:r>
          </w:p>
        </w:tc>
      </w:tr>
      <w:tr>
        <w:trPr>
          <w:trHeight w:val="230"/>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Purchases of marketable securities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Sales/maturities of marketable securities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r>
      <w:tr>
        <w:trPr>
          <w:trHeight w:val="223"/>
        </w:trPr>
        <w:tc>
          <w:tcPr>
            <w:tcW w:w="8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Net cash used by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(4,683)</w:t>
            </w:r>
          </w:p>
        </w:tc>
      </w:tr>
      <w:tr>
        <w:trPr>
          <w:trHeight w:val="210"/>
        </w:trPr>
        <w:tc>
          <w:tcPr>
            <w:tcW w:w="808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Borrowings on line of credit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409,880</w:t>
            </w: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Repayment on debt</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(151,000)</w:t>
            </w:r>
          </w:p>
        </w:tc>
      </w:tr>
      <w:tr>
        <w:trPr>
          <w:trHeight w:val="230"/>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Payments on line of credit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(171,000)</w:t>
            </w: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Payments on debt issue costs</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(687)</w:t>
            </w:r>
          </w:p>
        </w:tc>
      </w:tr>
      <w:tr>
        <w:trPr>
          <w:trHeight w:val="22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Repurchase and retirement of common stock</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(74,312)</w:t>
            </w: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(9,602)</w:t>
            </w:r>
          </w:p>
        </w:tc>
      </w:tr>
      <w:tr>
        <w:trPr>
          <w:trHeight w:val="230"/>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w:t>
            </w:r>
          </w:p>
        </w:tc>
      </w:tr>
      <w:tr>
        <w:trPr>
          <w:trHeight w:val="223"/>
        </w:trPr>
        <w:tc>
          <w:tcPr>
            <w:tcW w:w="808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Net cash (used) provided by financing activities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(50,140)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r>
      <w:tr>
        <w:trPr>
          <w:trHeight w:val="223"/>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Decrease in cash, cash equivalents and restricted cash</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w:t>
            </w: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Effect of exchange rates on cash</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37,583</w:t>
            </w:r>
          </w:p>
        </w:tc>
      </w:tr>
      <w:tr>
        <w:trPr>
          <w:trHeight w:val="22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30,749</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6"/>
        </w:trPr>
        <w:tc>
          <w:tcPr>
            <w:tcW w:w="80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Noncash Activity</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Capital expenditures in 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2,493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2,019</w:t>
            </w: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1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3"/>
              </w:rPr>
              <w:t>Accumulated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w w:val="94"/>
              </w:rPr>
              <w:t>Common Shares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vMerge w:val="restart"/>
          </w:tcPr>
          <w:p>
            <w:pPr>
              <w:jc w:val="right"/>
              <w:ind w:right="20"/>
              <w:spacing w:after="0"/>
              <w:rPr>
                <w:sz w:val="20"/>
                <w:szCs w:val="20"/>
                <w:color w:val="auto"/>
              </w:rPr>
            </w:pPr>
            <w:r>
              <w:rPr>
                <w:rFonts w:ascii="Arial" w:cs="Arial" w:eastAsia="Arial" w:hAnsi="Arial"/>
                <w:sz w:val="13"/>
                <w:szCs w:val="13"/>
                <w:b w:val="1"/>
                <w:bCs w:val="1"/>
                <w:color w:val="auto"/>
                <w:w w:val="94"/>
              </w:rPr>
              <w:t>Common Stock at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6"/>
            <w:vMerge w:val="restart"/>
          </w:tcPr>
          <w:p>
            <w:pPr>
              <w:ind w:left="20"/>
              <w:spacing w:after="0"/>
              <w:rPr>
                <w:sz w:val="20"/>
                <w:szCs w:val="20"/>
                <w:color w:val="auto"/>
              </w:rPr>
            </w:pPr>
            <w:r>
              <w:rPr>
                <w:rFonts w:ascii="Arial" w:cs="Arial" w:eastAsia="Arial" w:hAnsi="Arial"/>
                <w:sz w:val="13"/>
                <w:szCs w:val="13"/>
                <w:b w:val="1"/>
                <w:bCs w:val="1"/>
                <w:color w:val="auto"/>
              </w:rPr>
              <w:t>Additional Paid-In</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Other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3520" w:type="dxa"/>
            <w:vAlign w:val="bottom"/>
            <w:gridSpan w:val="3"/>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6"/>
            <w:vMerge w:val="continue"/>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Comprehensive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Shareholders'</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3520" w:type="dxa"/>
            <w:vAlign w:val="bottom"/>
            <w:tcBorders>
              <w:bottom w:val="single" w:sz="8" w:color="auto"/>
            </w:tcBorders>
            <w:gridSpan w:val="3"/>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Outstanding</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Par Value</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3"/>
                <w:szCs w:val="13"/>
                <w:b w:val="1"/>
                <w:bCs w:val="1"/>
                <w:color w:val="auto"/>
              </w:rPr>
              <w:t>Capital</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2"/>
              </w:rPr>
              <w:t>Retained Earnings</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2"/>
              </w:rPr>
              <w:t>(Loss) Income</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35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February 25, 2023</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22,224</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7,408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146,816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273,740</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1000" w:type="dxa"/>
            <w:vAlign w:val="bottom"/>
            <w:gridSpan w:val="3"/>
            <w:shd w:val="clear" w:color="auto" w:fill="CCEEFF"/>
          </w:tcPr>
          <w:p>
            <w:pPr>
              <w:jc w:val="center"/>
              <w:ind w:left="452"/>
              <w:spacing w:after="0"/>
              <w:rPr>
                <w:sz w:val="20"/>
                <w:szCs w:val="20"/>
                <w:color w:val="auto"/>
              </w:rPr>
            </w:pPr>
            <w:r>
              <w:rPr>
                <w:rFonts w:ascii="Arial" w:cs="Arial" w:eastAsia="Arial" w:hAnsi="Arial"/>
                <w:sz w:val="14"/>
                <w:szCs w:val="14"/>
                <w:b w:val="1"/>
                <w:bCs w:val="1"/>
                <w:color w:val="auto"/>
                <w:w w:val="91"/>
              </w:rPr>
              <w:t>(31,556)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396,408</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3520" w:type="dxa"/>
            <w:vAlign w:val="bottom"/>
            <w:gridSpan w:val="3"/>
          </w:tcPr>
          <w:p>
            <w:pPr>
              <w:ind w:left="20"/>
              <w:spacing w:after="0"/>
              <w:rPr>
                <w:sz w:val="20"/>
                <w:szCs w:val="20"/>
                <w:color w:val="auto"/>
              </w:rPr>
            </w:pPr>
            <w:r>
              <w:rPr>
                <w:rFonts w:ascii="Arial" w:cs="Arial" w:eastAsia="Arial" w:hAnsi="Arial"/>
                <w:sz w:val="14"/>
                <w:szCs w:val="14"/>
                <w:color w:val="auto"/>
              </w:rPr>
              <w:t>Net earnings</w:t>
            </w:r>
          </w:p>
        </w:tc>
        <w:tc>
          <w:tcPr>
            <w:tcW w:w="10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23,576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23,576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5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3520" w:type="dxa"/>
            <w:vAlign w:val="bottom"/>
            <w:gridSpan w:val="3"/>
          </w:tcPr>
          <w:p>
            <w:pPr>
              <w:ind w:left="20"/>
              <w:spacing w:after="0"/>
              <w:rPr>
                <w:sz w:val="20"/>
                <w:szCs w:val="20"/>
                <w:color w:val="auto"/>
              </w:rPr>
            </w:pPr>
            <w:r>
              <w:rPr>
                <w:rFonts w:ascii="Arial" w:cs="Arial" w:eastAsia="Arial" w:hAnsi="Arial"/>
                <w:sz w:val="14"/>
                <w:szCs w:val="14"/>
                <w:color w:val="auto"/>
              </w:rPr>
              <w:t>Issuance of stock, net of cancellations</w:t>
            </w:r>
          </w:p>
        </w:tc>
        <w:tc>
          <w:tcPr>
            <w:tcW w:w="1180" w:type="dxa"/>
            <w:vAlign w:val="bottom"/>
            <w:gridSpan w:val="3"/>
          </w:tcPr>
          <w:p>
            <w:pPr>
              <w:jc w:val="right"/>
              <w:ind w:right="40"/>
              <w:spacing w:after="0"/>
              <w:rPr>
                <w:sz w:val="20"/>
                <w:szCs w:val="20"/>
                <w:color w:val="auto"/>
              </w:rPr>
            </w:pPr>
            <w:r>
              <w:rPr>
                <w:rFonts w:ascii="Arial" w:cs="Arial" w:eastAsia="Arial" w:hAnsi="Arial"/>
                <w:sz w:val="14"/>
                <w:szCs w:val="14"/>
                <w:color w:val="auto"/>
              </w:rPr>
              <w:t>155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52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5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2,178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2,178</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3520" w:type="dxa"/>
            <w:vAlign w:val="bottom"/>
            <w:gridSpan w:val="3"/>
          </w:tcPr>
          <w:p>
            <w:pPr>
              <w:ind w:left="20"/>
              <w:spacing w:after="0"/>
              <w:rPr>
                <w:sz w:val="20"/>
                <w:szCs w:val="20"/>
                <w:color w:val="auto"/>
              </w:rPr>
            </w:pPr>
            <w:r>
              <w:rPr>
                <w:rFonts w:ascii="Arial" w:cs="Arial" w:eastAsia="Arial" w:hAnsi="Arial"/>
                <w:sz w:val="14"/>
                <w:szCs w:val="14"/>
                <w:color w:val="auto"/>
              </w:rPr>
              <w:t>Share repurchases</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(120)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(40)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(829)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(4,324)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(5,193)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5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share retirements</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(1,438)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(1,733)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52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Cash dividends</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(5,245)</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(5,245)</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35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May 27, 2023</w:t>
            </w: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22,219</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7,406</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147,897</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286,300</w:t>
            </w: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gridSpan w:val="3"/>
            <w:shd w:val="clear" w:color="auto" w:fill="CCEEFF"/>
          </w:tcPr>
          <w:p>
            <w:pPr>
              <w:jc w:val="center"/>
              <w:ind w:left="452"/>
              <w:spacing w:after="0"/>
              <w:rPr>
                <w:sz w:val="20"/>
                <w:szCs w:val="20"/>
                <w:color w:val="auto"/>
              </w:rPr>
            </w:pPr>
            <w:r>
              <w:rPr>
                <w:rFonts w:ascii="Arial" w:cs="Arial" w:eastAsia="Arial" w:hAnsi="Arial"/>
                <w:sz w:val="14"/>
                <w:szCs w:val="14"/>
                <w:b w:val="1"/>
                <w:bCs w:val="1"/>
                <w:color w:val="auto"/>
                <w:w w:val="91"/>
              </w:rPr>
              <w:t>(31,397)</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410,206</w:t>
            </w: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3520" w:type="dxa"/>
            <w:vAlign w:val="bottom"/>
            <w:gridSpan w:val="3"/>
          </w:tcPr>
          <w:p>
            <w:pPr>
              <w:ind w:left="20"/>
              <w:spacing w:after="0"/>
              <w:rPr>
                <w:sz w:val="20"/>
                <w:szCs w:val="20"/>
                <w:color w:val="auto"/>
              </w:rPr>
            </w:pPr>
            <w:r>
              <w:rPr>
                <w:rFonts w:ascii="Arial" w:cs="Arial" w:eastAsia="Arial" w:hAnsi="Arial"/>
                <w:sz w:val="14"/>
                <w:szCs w:val="14"/>
                <w:color w:val="auto"/>
              </w:rPr>
              <w:t>Net earnings</w:t>
            </w:r>
          </w:p>
        </w:tc>
        <w:tc>
          <w:tcPr>
            <w:tcW w:w="10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33,327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w w:val="76"/>
              </w:rPr>
              <w:t>$</w:t>
            </w:r>
          </w:p>
        </w:tc>
        <w:tc>
          <w:tcPr>
            <w:tcW w:w="10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33,327</w:t>
            </w: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35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697</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697</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3520" w:type="dxa"/>
            <w:vAlign w:val="bottom"/>
            <w:gridSpan w:val="3"/>
          </w:tcPr>
          <w:p>
            <w:pPr>
              <w:ind w:left="20"/>
              <w:spacing w:after="0"/>
              <w:rPr>
                <w:sz w:val="20"/>
                <w:szCs w:val="20"/>
                <w:color w:val="auto"/>
              </w:rPr>
            </w:pPr>
            <w:r>
              <w:rPr>
                <w:rFonts w:ascii="Arial" w:cs="Arial" w:eastAsia="Arial" w:hAnsi="Arial"/>
                <w:sz w:val="14"/>
                <w:szCs w:val="14"/>
                <w:color w:val="auto"/>
              </w:rPr>
              <w:t>Issuance of stock, net of cancellations</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(195)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5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2,305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2,305</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3520" w:type="dxa"/>
            <w:vAlign w:val="bottom"/>
            <w:gridSpan w:val="3"/>
          </w:tcPr>
          <w:p>
            <w:pPr>
              <w:ind w:left="20"/>
              <w:spacing w:after="0"/>
              <w:rPr>
                <w:sz w:val="20"/>
                <w:szCs w:val="20"/>
                <w:color w:val="auto"/>
              </w:rPr>
            </w:pPr>
            <w:r>
              <w:rPr>
                <w:rFonts w:ascii="Arial" w:cs="Arial" w:eastAsia="Arial" w:hAnsi="Arial"/>
                <w:sz w:val="14"/>
                <w:szCs w:val="14"/>
                <w:color w:val="auto"/>
              </w:rPr>
              <w:t>Exercise of stock options</w:t>
            </w:r>
          </w:p>
        </w:tc>
        <w:tc>
          <w:tcPr>
            <w:tcW w:w="1180" w:type="dxa"/>
            <w:vAlign w:val="bottom"/>
            <w:gridSpan w:val="3"/>
          </w:tcPr>
          <w:p>
            <w:pPr>
              <w:jc w:val="right"/>
              <w:ind w:right="40"/>
              <w:spacing w:after="0"/>
              <w:rPr>
                <w:sz w:val="20"/>
                <w:szCs w:val="20"/>
                <w:color w:val="auto"/>
              </w:rPr>
            </w:pPr>
            <w:r>
              <w:rPr>
                <w:rFonts w:ascii="Arial" w:cs="Arial" w:eastAsia="Arial" w:hAnsi="Arial"/>
                <w:sz w:val="14"/>
                <w:szCs w:val="14"/>
                <w:color w:val="auto"/>
              </w:rPr>
              <w:t>25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(1,192)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(1,184)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5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Share repurchases</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(5,415)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(6,628)</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3520" w:type="dxa"/>
            <w:vAlign w:val="bottom"/>
            <w:gridSpan w:val="3"/>
          </w:tcPr>
          <w:p>
            <w:pPr>
              <w:ind w:left="20"/>
              <w:spacing w:after="0"/>
              <w:rPr>
                <w:sz w:val="20"/>
                <w:szCs w:val="20"/>
                <w:color w:val="auto"/>
              </w:rPr>
            </w:pPr>
            <w:r>
              <w:rPr>
                <w:rFonts w:ascii="Arial" w:cs="Arial" w:eastAsia="Arial" w:hAnsi="Arial"/>
                <w:sz w:val="14"/>
                <w:szCs w:val="14"/>
                <w:color w:val="auto"/>
              </w:rPr>
              <w:t>Other share retirements</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(444)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(547)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(994)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5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Cash dividends</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(5,222)</w:t>
            </w: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(5,222)</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52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 August 26, 2023</w:t>
            </w:r>
          </w:p>
        </w:tc>
        <w:tc>
          <w:tcPr>
            <w:tcW w:w="100" w:type="dxa"/>
            <w:vAlign w:val="bottom"/>
          </w:tcPr>
          <w:p>
            <w:pPr>
              <w:spacing w:after="0"/>
              <w:rPr>
                <w:sz w:val="15"/>
                <w:szCs w:val="15"/>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22,072</w:t>
            </w: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7,357</w:t>
            </w: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147,413</w:t>
            </w: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308,248</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gridSpan w:val="3"/>
          </w:tcPr>
          <w:p>
            <w:pPr>
              <w:jc w:val="center"/>
              <w:ind w:left="452"/>
              <w:spacing w:after="0"/>
              <w:rPr>
                <w:sz w:val="20"/>
                <w:szCs w:val="20"/>
                <w:color w:val="auto"/>
              </w:rPr>
            </w:pPr>
            <w:r>
              <w:rPr>
                <w:rFonts w:ascii="Arial" w:cs="Arial" w:eastAsia="Arial" w:hAnsi="Arial"/>
                <w:sz w:val="14"/>
                <w:szCs w:val="14"/>
                <w:b w:val="1"/>
                <w:bCs w:val="1"/>
                <w:color w:val="auto"/>
                <w:w w:val="91"/>
              </w:rPr>
              <w:t>(30,700)</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432,318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5"/>
        </w:trPr>
        <w:tc>
          <w:tcPr>
            <w:tcW w:w="1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93"/>
              </w:rPr>
              <w:t>Accumulated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vMerge w:val="restart"/>
          </w:tcPr>
          <w:p>
            <w:pPr>
              <w:jc w:val="right"/>
              <w:ind w:right="180"/>
              <w:spacing w:after="0"/>
              <w:rPr>
                <w:sz w:val="20"/>
                <w:szCs w:val="20"/>
                <w:color w:val="auto"/>
              </w:rPr>
            </w:pPr>
            <w:r>
              <w:rPr>
                <w:rFonts w:ascii="Arial" w:cs="Arial" w:eastAsia="Arial" w:hAnsi="Arial"/>
                <w:sz w:val="13"/>
                <w:szCs w:val="13"/>
                <w:b w:val="1"/>
                <w:bCs w:val="1"/>
                <w:color w:val="auto"/>
                <w:w w:val="94"/>
              </w:rPr>
              <w:t>Common Shares</w:t>
            </w:r>
          </w:p>
        </w:tc>
        <w:tc>
          <w:tcPr>
            <w:tcW w:w="40" w:type="dxa"/>
            <w:vAlign w:val="bottom"/>
          </w:tcPr>
          <w:p>
            <w:pPr>
              <w:spacing w:after="0"/>
              <w:rPr>
                <w:sz w:val="11"/>
                <w:szCs w:val="11"/>
                <w:color w:val="auto"/>
              </w:rPr>
            </w:pPr>
          </w:p>
        </w:tc>
        <w:tc>
          <w:tcPr>
            <w:tcW w:w="1160" w:type="dxa"/>
            <w:vAlign w:val="bottom"/>
            <w:gridSpan w:val="4"/>
            <w:vMerge w:val="restart"/>
          </w:tcPr>
          <w:p>
            <w:pPr>
              <w:jc w:val="right"/>
              <w:ind w:right="140"/>
              <w:spacing w:after="0"/>
              <w:rPr>
                <w:sz w:val="20"/>
                <w:szCs w:val="20"/>
                <w:color w:val="auto"/>
              </w:rPr>
            </w:pPr>
            <w:r>
              <w:rPr>
                <w:rFonts w:ascii="Arial" w:cs="Arial" w:eastAsia="Arial" w:hAnsi="Arial"/>
                <w:sz w:val="13"/>
                <w:szCs w:val="13"/>
                <w:b w:val="1"/>
                <w:bCs w:val="1"/>
                <w:color w:val="auto"/>
                <w:w w:val="90"/>
              </w:rPr>
              <w:t>Common Stock at</w:t>
            </w:r>
          </w:p>
        </w:tc>
        <w:tc>
          <w:tcPr>
            <w:tcW w:w="1200" w:type="dxa"/>
            <w:vAlign w:val="bottom"/>
            <w:gridSpan w:val="5"/>
            <w:vMerge w:val="restart"/>
          </w:tcPr>
          <w:p>
            <w:pPr>
              <w:ind w:left="20"/>
              <w:spacing w:after="0"/>
              <w:rPr>
                <w:sz w:val="20"/>
                <w:szCs w:val="20"/>
                <w:color w:val="auto"/>
              </w:rPr>
            </w:pPr>
            <w:r>
              <w:rPr>
                <w:rFonts w:ascii="Arial" w:cs="Arial" w:eastAsia="Arial" w:hAnsi="Arial"/>
                <w:sz w:val="13"/>
                <w:szCs w:val="13"/>
                <w:b w:val="1"/>
                <w:bCs w:val="1"/>
                <w:color w:val="auto"/>
              </w:rPr>
              <w:t>Additional Paid-In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center"/>
              <w:ind w:right="340"/>
              <w:spacing w:after="0" w:line="135" w:lineRule="exact"/>
              <w:rPr>
                <w:sz w:val="20"/>
                <w:szCs w:val="20"/>
                <w:color w:val="auto"/>
              </w:rPr>
            </w:pPr>
            <w:r>
              <w:rPr>
                <w:rFonts w:ascii="Arial" w:cs="Arial" w:eastAsia="Arial" w:hAnsi="Arial"/>
                <w:sz w:val="13"/>
                <w:szCs w:val="13"/>
                <w:b w:val="1"/>
                <w:bCs w:val="1"/>
                <w:color w:val="auto"/>
                <w:w w:val="97"/>
              </w:rPr>
              <w:t>Other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40" w:type="dxa"/>
            <w:vAlign w:val="bottom"/>
            <w:gridSpan w:val="4"/>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11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4"/>
            <w:vMerge w:val="continue"/>
          </w:tcPr>
          <w:p>
            <w:pPr>
              <w:spacing w:after="0"/>
              <w:rPr>
                <w:sz w:val="11"/>
                <w:szCs w:val="11"/>
                <w:color w:val="auto"/>
              </w:rPr>
            </w:pPr>
          </w:p>
        </w:tc>
        <w:tc>
          <w:tcPr>
            <w:tcW w:w="1200" w:type="dxa"/>
            <w:vAlign w:val="bottom"/>
            <w:gridSpan w:val="5"/>
            <w:vMerge w:val="continue"/>
          </w:tcPr>
          <w:p>
            <w:pPr>
              <w:spacing w:after="0"/>
              <w:rPr>
                <w:sz w:val="11"/>
                <w:szCs w:val="11"/>
                <w:color w:val="auto"/>
              </w:rPr>
            </w:pPr>
          </w:p>
        </w:tc>
        <w:tc>
          <w:tcPr>
            <w:tcW w:w="1220" w:type="dxa"/>
            <w:vAlign w:val="bottom"/>
            <w:gridSpan w:val="6"/>
            <w:vMerge w:val="restart"/>
          </w:tcPr>
          <w:p>
            <w:pPr>
              <w:ind w:left="20"/>
              <w:spacing w:after="0"/>
              <w:rPr>
                <w:sz w:val="20"/>
                <w:szCs w:val="20"/>
                <w:color w:val="auto"/>
              </w:rPr>
            </w:pPr>
            <w:r>
              <w:rPr>
                <w:rFonts w:ascii="Arial" w:cs="Arial" w:eastAsia="Arial" w:hAnsi="Arial"/>
                <w:sz w:val="13"/>
                <w:szCs w:val="13"/>
                <w:b w:val="1"/>
                <w:bCs w:val="1"/>
                <w:color w:val="auto"/>
              </w:rPr>
              <w:t>Retained Earnings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5"/>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Comprehensive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Shareholders'</w:t>
            </w:r>
          </w:p>
        </w:tc>
        <w:tc>
          <w:tcPr>
            <w:tcW w:w="0" w:type="dxa"/>
            <w:vAlign w:val="bottom"/>
          </w:tcPr>
          <w:p>
            <w:pPr>
              <w:spacing w:after="0"/>
              <w:rPr>
                <w:sz w:val="1"/>
                <w:szCs w:val="1"/>
                <w:color w:val="auto"/>
              </w:rPr>
            </w:pPr>
          </w:p>
        </w:tc>
      </w:tr>
      <w:tr>
        <w:trPr>
          <w:trHeight w:val="182"/>
        </w:trPr>
        <w:tc>
          <w:tcPr>
            <w:tcW w:w="36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b w:val="1"/>
                <w:bCs w:val="1"/>
                <w:color w:val="auto"/>
              </w:rPr>
              <w:t>Outstanding</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7"/>
              </w:rPr>
              <w:t>Par Value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Capital</w:t>
            </w:r>
          </w:p>
        </w:tc>
        <w:tc>
          <w:tcPr>
            <w:tcW w:w="1220" w:type="dxa"/>
            <w:vAlign w:val="bottom"/>
            <w:gridSpan w:val="6"/>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4"/>
          </w:tcPr>
          <w:p>
            <w:pPr>
              <w:ind w:left="20"/>
              <w:spacing w:after="0"/>
              <w:rPr>
                <w:sz w:val="20"/>
                <w:szCs w:val="20"/>
                <w:color w:val="auto"/>
              </w:rPr>
            </w:pPr>
            <w:r>
              <w:rPr>
                <w:rFonts w:ascii="Arial" w:cs="Arial" w:eastAsia="Arial" w:hAnsi="Arial"/>
                <w:sz w:val="13"/>
                <w:szCs w:val="13"/>
                <w:b w:val="1"/>
                <w:bCs w:val="1"/>
                <w:color w:val="auto"/>
              </w:rPr>
              <w:t>(Loss) Income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9"/>
        </w:trPr>
        <w:tc>
          <w:tcPr>
            <w:tcW w:w="35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February 26, 2022</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23,701</w:t>
            </w: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7,901</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149,713</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254,825</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(26,240)</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386,199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40" w:type="dxa"/>
            <w:vAlign w:val="bottom"/>
            <w:gridSpan w:val="4"/>
          </w:tcPr>
          <w:p>
            <w:pPr>
              <w:spacing w:after="0"/>
              <w:rPr>
                <w:sz w:val="20"/>
                <w:szCs w:val="20"/>
                <w:color w:val="auto"/>
              </w:rPr>
            </w:pPr>
            <w:r>
              <w:rPr>
                <w:rFonts w:ascii="Arial" w:cs="Arial" w:eastAsia="Arial" w:hAnsi="Arial"/>
                <w:sz w:val="14"/>
                <w:szCs w:val="14"/>
                <w:color w:val="auto"/>
              </w:rPr>
              <w:t>Net earnings</w:t>
            </w:r>
          </w:p>
        </w:tc>
        <w:tc>
          <w:tcPr>
            <w:tcW w:w="1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22,731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left="472"/>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22,731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Other comprehensive loss, net of tax</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640" w:type="dxa"/>
            <w:vAlign w:val="bottom"/>
            <w:gridSpan w:val="4"/>
          </w:tcPr>
          <w:p>
            <w:pPr>
              <w:spacing w:after="0"/>
              <w:rPr>
                <w:sz w:val="20"/>
                <w:szCs w:val="20"/>
                <w:color w:val="auto"/>
              </w:rPr>
            </w:pPr>
            <w:r>
              <w:rPr>
                <w:rFonts w:ascii="Arial" w:cs="Arial" w:eastAsia="Arial" w:hAnsi="Arial"/>
                <w:sz w:val="14"/>
                <w:szCs w:val="14"/>
                <w:color w:val="auto"/>
              </w:rPr>
              <w:t>Issuance of stock, net of cancellations</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left="472"/>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1,597</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center"/>
              <w:ind w:left="472"/>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640" w:type="dxa"/>
            <w:vAlign w:val="bottom"/>
            <w:gridSpan w:val="4"/>
          </w:tcPr>
          <w:p>
            <w:pPr>
              <w:spacing w:after="0"/>
              <w:rPr>
                <w:sz w:val="20"/>
                <w:szCs w:val="20"/>
                <w:color w:val="auto"/>
              </w:rPr>
            </w:pPr>
            <w:r>
              <w:rPr>
                <w:rFonts w:ascii="Arial" w:cs="Arial" w:eastAsia="Arial" w:hAnsi="Arial"/>
                <w:sz w:val="14"/>
                <w:szCs w:val="14"/>
                <w:color w:val="auto"/>
              </w:rPr>
              <w:t>Share repurchases</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(1,571)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(10,350)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(63,438)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left="472"/>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(74,312)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Other share retirements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center"/>
              <w:ind w:left="472"/>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60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Cash dividends</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(4,793)</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left="572"/>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Balance at May 28, 2022</w:t>
            </w:r>
          </w:p>
        </w:tc>
        <w:tc>
          <w:tcPr>
            <w:tcW w:w="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22,200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7,400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140,785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208,205</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0"/>
                <w:szCs w:val="10"/>
                <w:b w:val="1"/>
                <w:bCs w:val="1"/>
                <w:color w:val="auto"/>
                <w:w w:val="71"/>
              </w:rPr>
              <w:t>$</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(29,100)</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327,290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40" w:type="dxa"/>
            <w:vAlign w:val="bottom"/>
            <w:gridSpan w:val="4"/>
          </w:tcPr>
          <w:p>
            <w:pPr>
              <w:spacing w:after="0" w:line="156" w:lineRule="exact"/>
              <w:rPr>
                <w:sz w:val="20"/>
                <w:szCs w:val="20"/>
                <w:color w:val="auto"/>
              </w:rPr>
            </w:pPr>
            <w:r>
              <w:rPr>
                <w:rFonts w:ascii="Arial" w:cs="Arial" w:eastAsia="Arial" w:hAnsi="Arial"/>
                <w:sz w:val="14"/>
                <w:szCs w:val="14"/>
                <w:color w:val="auto"/>
              </w:rPr>
              <w:t>Net earnings</w:t>
            </w:r>
          </w:p>
        </w:tc>
        <w:tc>
          <w:tcPr>
            <w:tcW w:w="100" w:type="dxa"/>
            <w:vAlign w:val="bottom"/>
          </w:tcPr>
          <w:p>
            <w:pPr>
              <w:spacing w:after="0"/>
              <w:rPr>
                <w:sz w:val="13"/>
                <w:szCs w:val="13"/>
                <w:color w:val="auto"/>
              </w:rPr>
            </w:pPr>
          </w:p>
        </w:tc>
        <w:tc>
          <w:tcPr>
            <w:tcW w:w="108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140"/>
              <w:spacing w:after="0" w:line="156"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Arial" w:cs="Arial" w:eastAsia="Arial" w:hAnsi="Arial"/>
                <w:sz w:val="14"/>
                <w:szCs w:val="14"/>
                <w:color w:val="auto"/>
              </w:rPr>
              <w:t>37,389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left="472"/>
              <w:spacing w:after="0" w:line="156" w:lineRule="exact"/>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line="156" w:lineRule="exact"/>
              <w:rPr>
                <w:sz w:val="20"/>
                <w:szCs w:val="20"/>
                <w:color w:val="auto"/>
              </w:rPr>
            </w:pPr>
            <w:r>
              <w:rPr>
                <w:rFonts w:ascii="Arial" w:cs="Arial" w:eastAsia="Arial" w:hAnsi="Arial"/>
                <w:sz w:val="14"/>
                <w:szCs w:val="14"/>
                <w:color w:val="auto"/>
              </w:rPr>
              <w:t>37,389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6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Other comprehensive loss, net of tax</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640" w:type="dxa"/>
            <w:vAlign w:val="bottom"/>
            <w:gridSpan w:val="4"/>
          </w:tcPr>
          <w:p>
            <w:pPr>
              <w:spacing w:after="0"/>
              <w:rPr>
                <w:sz w:val="20"/>
                <w:szCs w:val="20"/>
                <w:color w:val="auto"/>
              </w:rPr>
            </w:pPr>
            <w:r>
              <w:rPr>
                <w:rFonts w:ascii="Arial" w:cs="Arial" w:eastAsia="Arial" w:hAnsi="Arial"/>
                <w:sz w:val="14"/>
                <w:szCs w:val="14"/>
                <w:color w:val="auto"/>
              </w:rPr>
              <w:t>Issuance of stock, net of cancellations</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left="472"/>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1,797</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center"/>
              <w:ind w:left="472"/>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640" w:type="dxa"/>
            <w:vAlign w:val="bottom"/>
            <w:gridSpan w:val="4"/>
          </w:tcPr>
          <w:p>
            <w:pPr>
              <w:spacing w:after="0"/>
              <w:rPr>
                <w:sz w:val="20"/>
                <w:szCs w:val="20"/>
                <w:color w:val="auto"/>
              </w:rPr>
            </w:pPr>
            <w:r>
              <w:rPr>
                <w:rFonts w:ascii="Arial" w:cs="Arial" w:eastAsia="Arial" w:hAnsi="Arial"/>
                <w:sz w:val="14"/>
                <w:szCs w:val="14"/>
                <w:color w:val="auto"/>
              </w:rPr>
              <w:t>Exercise of stock options</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(954)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left="472"/>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(942)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Other share retirements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center"/>
              <w:ind w:left="472"/>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60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Cash dividends</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(4,809)</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left="572"/>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4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Balance at August 27, 2022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22,209</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7,403</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141,575</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240,245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b w:val="1"/>
                <w:bCs w:val="1"/>
                <w:color w:val="auto"/>
                <w:w w:val="71"/>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(32,483)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b w:val="1"/>
                <w:bCs w:val="1"/>
                <w:color w:val="auto"/>
                <w:w w:val="71"/>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356,740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consolidated financial statements of Apogee Enterprises, Inc. (we, us, our or the Company) have been prepared in accordance with accounting principles generally accepted in the United States. The information included in this Form 10-Q should be read in conjunction with the Company’s Form 10-K for the year ended February 25, 2023. We use the same accounting policies in preparing quarterly and annual financial statements. All adjustments necessary for a fair presentation of quarterly and year to date operating results are reflected herein and are of a normal, recurring nature. The results of operations for the three- and six-month periods ended August 26, 2023 are not necessarily indicative of the results to be expected for the full year.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reclassifications of amounts previously reported have been made to the accompanying consolidated balance sheets, consolidated statements of cash flows and notes to consolidated financial statements to conform to current year presentation of contract assets and liabilities. These reclassifications had no impact on reported cash flows or total assets and liabilities.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the first quarter, we adopted the guidance in ASU 2022-04, </w:t>
      </w:r>
      <w:r>
        <w:rPr>
          <w:rFonts w:ascii="Arial" w:cs="Arial" w:eastAsia="Arial" w:hAnsi="Arial"/>
          <w:sz w:val="17"/>
          <w:szCs w:val="17"/>
          <w:i w:val="1"/>
          <w:iCs w:val="1"/>
          <w:color w:val="auto"/>
        </w:rPr>
        <w:t>Liabilities – Supplier Finance Programs, Disclosure of Supplier Finance Program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Obligations. </w:t>
      </w:r>
      <w:r>
        <w:rPr>
          <w:rFonts w:ascii="Arial" w:cs="Arial" w:eastAsia="Arial" w:hAnsi="Arial"/>
          <w:sz w:val="17"/>
          <w:szCs w:val="17"/>
          <w:color w:val="auto"/>
        </w:rPr>
        <w:t>The guidance requires that entities that use supplier finance programs disclose information about the nature and potential magnitude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 activity during the period, and changes from period to period. Beginning in the first quarter, we implemented a supplier financing arrangement with U.S. Bank that enables our suppliers, at their sole discretion, to sell their Apogee receivables (i.e., our payment obligations to the suppliers) to U.S. Bank on a non-recourse basis in order to be paid earlier than our payment terms provide. Our suppliers’ voluntary inclusion of invoices in the supplier financing arrangement has no bearing on our payment terms, the amounts we pay, or our liquidity. We have no economic interest in a supplier’s decision to participate in the supplier financing program, and we do not provide any guarantees in connection with it. As of August 26, 2023, $4.9 million of obligations remained outstanding that we have confirmed as valid to the administrators of our program with U.S. Bank. These balances are reflected in accounts payable in the consolidated balance sheets and are reflected in net cash provided (used by) operating activities in our consolidated statements of cash flows when settled.</w:t>
      </w:r>
    </w:p>
    <w:p>
      <w:pPr>
        <w:spacing w:after="0" w:line="20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Receivables and Contract Assets and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total revenue by timing of recognition (see Note 11 for disclosure of revenue by segment):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5"/>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3040" w:type="dxa"/>
            <w:vAlign w:val="bottom"/>
            <w:gridSpan w:val="4"/>
          </w:tcPr>
          <w:p>
            <w:pPr>
              <w:jc w:val="right"/>
              <w:ind w:right="975"/>
              <w:spacing w:after="0"/>
              <w:rPr>
                <w:sz w:val="20"/>
                <w:szCs w:val="20"/>
                <w:color w:val="auto"/>
              </w:rPr>
            </w:pPr>
            <w:r>
              <w:rPr>
                <w:rFonts w:ascii="Arial" w:cs="Arial" w:eastAsia="Arial" w:hAnsi="Arial"/>
                <w:sz w:val="14"/>
                <w:szCs w:val="14"/>
                <w:b w:val="1"/>
                <w:bCs w:val="1"/>
                <w:color w:val="auto"/>
              </w:rPr>
              <w:t>Six Months Ended</w:t>
            </w:r>
          </w:p>
        </w:tc>
      </w:tr>
      <w:tr>
        <w:trPr>
          <w:trHeight w:val="25"/>
        </w:trPr>
        <w:tc>
          <w:tcPr>
            <w:tcW w:w="46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90"/>
        </w:trPr>
        <w:tc>
          <w:tcPr>
            <w:tcW w:w="466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August 26, 2023</w:t>
            </w: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9"/>
              </w:rPr>
              <w:t>August 27, 2022</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August 26, 2023</w:t>
            </w: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7"/>
              </w:rPr>
              <w:t>August 27, 2022</w:t>
            </w:r>
          </w:p>
        </w:tc>
      </w:tr>
      <w:tr>
        <w:trPr>
          <w:trHeight w:val="229"/>
        </w:trPr>
        <w:tc>
          <w:tcPr>
            <w:tcW w:w="4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Recognized at shipment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174,693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304,895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335,857</w:t>
            </w:r>
          </w:p>
        </w:tc>
      </w:tr>
      <w:tr>
        <w:trPr>
          <w:trHeight w:val="230"/>
        </w:trPr>
        <w:tc>
          <w:tcPr>
            <w:tcW w:w="4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Recognized over time</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410,493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392,887</w:t>
            </w:r>
          </w:p>
        </w:tc>
      </w:tr>
      <w:tr>
        <w:trPr>
          <w:trHeight w:val="248"/>
        </w:trPr>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715,388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728,744</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Receivables reflected in the financial statements represent the net amount expected to be collected. An allowance for credit losses is established based on expected losses. Expected losses are estimated by reviewing individual accounts, considering aging, financial condition of the debtor, recent payment history, current and forecast economic conditions and other relevant factors. Upon billing, aging of receivables is monitored until collection. An account is considered current when it is within agreed upon payment terms. An account is written off when it is determined that the asset is no longer collectible.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26, 2023</w:t>
            </w:r>
          </w:p>
        </w:tc>
        <w:tc>
          <w:tcPr>
            <w:tcW w:w="160" w:type="dxa"/>
            <w:vAlign w:val="bottom"/>
          </w:tcPr>
          <w:p>
            <w:pPr>
              <w:spacing w:after="0"/>
              <w:rPr>
                <w:sz w:val="17"/>
                <w:szCs w:val="17"/>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9"/>
              </w:rPr>
              <w:t>February 25, 2023</w:t>
            </w:r>
          </w:p>
        </w:tc>
        <w:tc>
          <w:tcPr>
            <w:tcW w:w="0" w:type="dxa"/>
            <w:vAlign w:val="bottom"/>
          </w:tcPr>
          <w:p>
            <w:pPr>
              <w:spacing w:after="0"/>
              <w:rPr>
                <w:sz w:val="1"/>
                <w:szCs w:val="1"/>
                <w:color w:val="auto"/>
              </w:rPr>
            </w:pPr>
          </w:p>
        </w:tc>
      </w:tr>
      <w:tr>
        <w:trPr>
          <w:trHeight w:val="230"/>
        </w:trPr>
        <w:tc>
          <w:tcPr>
            <w:tcW w:w="3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Trade accounts</w:t>
            </w:r>
          </w:p>
        </w:tc>
        <w:tc>
          <w:tcPr>
            <w:tcW w:w="3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138,283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140,732</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contracts</w:t>
            </w:r>
          </w:p>
        </w:tc>
        <w:tc>
          <w:tcPr>
            <w:tcW w:w="3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58,331</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receivables</w:t>
            </w:r>
          </w:p>
        </w:tc>
        <w:tc>
          <w:tcPr>
            <w:tcW w:w="3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199,063</w:t>
            </w:r>
          </w:p>
        </w:tc>
        <w:tc>
          <w:tcPr>
            <w:tcW w:w="0" w:type="dxa"/>
            <w:vAlign w:val="bottom"/>
          </w:tcPr>
          <w:p>
            <w:pPr>
              <w:spacing w:after="0"/>
              <w:rPr>
                <w:sz w:val="1"/>
                <w:szCs w:val="1"/>
                <w:color w:val="auto"/>
              </w:rPr>
            </w:pPr>
          </w:p>
        </w:tc>
      </w:tr>
      <w:tr>
        <w:trPr>
          <w:trHeight w:val="229"/>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credit losses</w:t>
            </w:r>
          </w:p>
        </w:tc>
        <w:tc>
          <w:tcPr>
            <w:tcW w:w="3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3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197,267</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bottom w:val="single" w:sz="8" w:color="CCEEFF"/>
            </w:tcBorders>
            <w:vMerge w:val="restart"/>
          </w:tcPr>
          <w:p>
            <w:pPr>
              <w:jc w:val="right"/>
              <w:ind w:right="2110"/>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98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the allowance for credit losses for the six-month period ended: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66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Pr>
          <w:p>
            <w:pPr>
              <w:spacing w:after="0"/>
              <w:rPr>
                <w:sz w:val="17"/>
                <w:szCs w:val="17"/>
                <w:color w:val="auto"/>
              </w:rPr>
            </w:pPr>
          </w:p>
        </w:tc>
        <w:tc>
          <w:tcPr>
            <w:tcW w:w="1380" w:type="dxa"/>
            <w:vAlign w:val="bottom"/>
          </w:tcPr>
          <w:p>
            <w:pPr>
              <w:jc w:val="right"/>
              <w:ind w:right="213"/>
              <w:spacing w:after="0"/>
              <w:rPr>
                <w:sz w:val="20"/>
                <w:szCs w:val="20"/>
                <w:color w:val="auto"/>
              </w:rPr>
            </w:pPr>
            <w:r>
              <w:rPr>
                <w:rFonts w:ascii="Arial" w:cs="Arial" w:eastAsia="Arial" w:hAnsi="Arial"/>
                <w:sz w:val="14"/>
                <w:szCs w:val="14"/>
                <w:b w:val="1"/>
                <w:bCs w:val="1"/>
                <w:color w:val="auto"/>
                <w:w w:val="99"/>
              </w:rPr>
              <w:t>August 26, 2023</w:t>
            </w:r>
          </w:p>
        </w:tc>
      </w:tr>
      <w:tr>
        <w:trPr>
          <w:trHeight w:val="229"/>
        </w:trPr>
        <w:tc>
          <w:tcPr>
            <w:tcW w:w="9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r>
      <w:tr>
        <w:trPr>
          <w:trHeight w:val="229"/>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Additions charged to costs and expenses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1,594</w:t>
            </w:r>
          </w:p>
        </w:tc>
      </w:tr>
      <w:tr>
        <w:trPr>
          <w:trHeight w:val="230"/>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Deductions from allowance, net of recoveries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9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 currency effects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9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3,305</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Contract assets consist of retainage, costs and earnings in excess of billings and other unbilled amounts typically generated when revenue recognized exceeds the amount billed to the customer. Retainage on construction contracts represents amounts withheld by our customers on long-term projects until the project reaches a level of completion where amounts are released to us from the customer. Contract liabilities consist of billings in excess of costs and earnings and other deferred revenue on contracts.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time period between when performance obligations are complete and payment is due is not significant. In certain parts of our business that recognize revenue over time, progress billings follow an agreed-upon schedule of values.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contract assets and contract liabilities were mainly due to timing of project activity within our businesses that operate under long-term contracts.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contract-related disclosures</w:t>
            </w:r>
          </w:p>
        </w:tc>
        <w:tc>
          <w:tcPr>
            <w:tcW w:w="200" w:type="dxa"/>
            <w:vAlign w:val="bottom"/>
          </w:tcPr>
          <w:p>
            <w:pPr>
              <w:spacing w:after="0"/>
              <w:rPr>
                <w:sz w:val="20"/>
                <w:szCs w:val="20"/>
                <w:color w:val="auto"/>
              </w:rPr>
            </w:pPr>
          </w:p>
        </w:tc>
        <w:tc>
          <w:tcPr>
            <w:tcW w:w="3140" w:type="dxa"/>
            <w:vAlign w:val="bottom"/>
            <w:gridSpan w:val="5"/>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20"/>
                <w:szCs w:val="20"/>
                <w:color w:val="auto"/>
              </w:rPr>
            </w:pPr>
          </w:p>
        </w:tc>
        <w:tc>
          <w:tcPr>
            <w:tcW w:w="3040" w:type="dxa"/>
            <w:vAlign w:val="bottom"/>
            <w:gridSpan w:val="4"/>
          </w:tcPr>
          <w:p>
            <w:pPr>
              <w:jc w:val="right"/>
              <w:ind w:right="976"/>
              <w:spacing w:after="0"/>
              <w:rPr>
                <w:sz w:val="20"/>
                <w:szCs w:val="20"/>
                <w:color w:val="auto"/>
              </w:rPr>
            </w:pPr>
            <w:r>
              <w:rPr>
                <w:rFonts w:ascii="Arial" w:cs="Arial" w:eastAsia="Arial" w:hAnsi="Arial"/>
                <w:sz w:val="14"/>
                <w:szCs w:val="14"/>
                <w:b w:val="1"/>
                <w:bCs w:val="1"/>
                <w:color w:val="auto"/>
              </w:rPr>
              <w:t>Six Months Ended</w:t>
            </w:r>
          </w:p>
        </w:tc>
      </w:tr>
      <w:tr>
        <w:trPr>
          <w:trHeight w:val="190"/>
        </w:trPr>
        <w:tc>
          <w:tcPr>
            <w:tcW w:w="466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August 26, 2023</w:t>
            </w: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9"/>
              </w:rPr>
              <w:t>August 27, 2022</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August 26, 2023</w:t>
            </w: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7"/>
              </w:rPr>
              <w:t>August 27, 2022</w:t>
            </w:r>
          </w:p>
        </w:tc>
      </w:tr>
      <w:tr>
        <w:trPr>
          <w:trHeight w:val="175"/>
        </w:trPr>
        <w:tc>
          <w:tcPr>
            <w:tcW w:w="4540" w:type="dxa"/>
            <w:vAlign w:val="bottom"/>
            <w:tcBorders>
              <w:top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Revenue recognized related to contract liabilities from prior</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r>
      <w:tr>
        <w:trPr>
          <w:trHeight w:val="243"/>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year-end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33,157</w:t>
            </w:r>
          </w:p>
        </w:tc>
      </w:tr>
      <w:tr>
        <w:trPr>
          <w:trHeight w:val="175"/>
        </w:trPr>
        <w:tc>
          <w:tcPr>
            <w:tcW w:w="4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Revenue recognized related to prior satisfaction of</w:t>
            </w: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43"/>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performance obligations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4,946</w:t>
            </w: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contracts have an expected duration of longer than a year, with performance obligations extending over that time frame. Generally, these contracts are found in our businesses that typically operate with long-term contracts, which recognize revenue over time. The transaction prices associated with unsatisfied performance obligations at August 26, 2023 are expected to be satisfied, and the corresponding revenue to be recognized, over the following estimated time periods:</w:t>
      </w:r>
    </w:p>
    <w:p>
      <w:pPr>
        <w:sectPr>
          <w:pgSz w:w="11900" w:h="16838" w:orient="portrait"/>
          <w:cols w:equalWidth="0" w:num="1">
            <w:col w:w="11240"/>
          </w:cols>
          <w:pgMar w:left="320" w:top="125" w:right="339" w:bottom="1440" w:gutter="0" w:footer="0" w:header="0"/>
        </w:sectPr>
      </w:pPr>
    </w:p>
    <w:p>
      <w:pPr>
        <w:spacing w:after="0" w:line="119"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(In thousands)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Within one year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Within two years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Beyond two years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(In thousands)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Raw materials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Work-in-process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Finished goods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inventories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August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32385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ind w:left="1700"/>
        <w:spacing w:after="0"/>
        <w:tabs>
          <w:tab w:leader="none" w:pos="2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444,579</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256,248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14605</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49,970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14605</wp:posOffset>
            </wp:positionV>
            <wp:extent cx="10033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15" w:lineRule="exact"/>
        <w:rPr>
          <w:sz w:val="20"/>
          <w:szCs w:val="20"/>
          <w:color w:val="auto"/>
        </w:rPr>
      </w:pPr>
    </w:p>
    <w:p>
      <w:pPr>
        <w:ind w:left="1700"/>
        <w:spacing w:after="0"/>
        <w:tabs>
          <w:tab w:leader="none" w:pos="2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750,797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14605</wp:posOffset>
            </wp:positionV>
            <wp:extent cx="10033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1066800</wp:posOffset>
            </wp:positionH>
            <wp:positionV relativeFrom="paragraph">
              <wp:posOffset>40640</wp:posOffset>
            </wp:positionV>
            <wp:extent cx="10033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26, 2023</w:t>
            </w:r>
          </w:p>
        </w:tc>
        <w:tc>
          <w:tcPr>
            <w:tcW w:w="16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9"/>
              </w:rPr>
              <w:t>February 25, 2023</w:t>
            </w:r>
          </w:p>
        </w:tc>
      </w:tr>
      <w:tr>
        <w:trPr>
          <w:trHeight w:val="25"/>
        </w:trPr>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2"/>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36,465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36,869</w:t>
            </w:r>
          </w:p>
        </w:tc>
      </w:tr>
      <w:tr>
        <w:trPr>
          <w:trHeight w:val="230"/>
        </w:trPr>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15,543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18,024</w:t>
            </w:r>
          </w:p>
        </w:tc>
      </w:tr>
      <w:tr>
        <w:trPr>
          <w:trHeight w:val="230"/>
        </w:trPr>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20,767</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23,548</w:t>
            </w:r>
          </w:p>
        </w:tc>
      </w:tr>
      <w:tr>
        <w:trPr>
          <w:trHeight w:val="223"/>
        </w:trPr>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72,775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78,441</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-334010</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-633730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326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Through our wholly-owned insurance subsidiary, Prism Assurance, Ltd. (Prism), we hold the following available-for-sale marketable securities, made up of fixed-maturity investments: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Unrealized Gains</w:t>
            </w:r>
          </w:p>
        </w:tc>
        <w:tc>
          <w:tcPr>
            <w:tcW w:w="18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Gross Unrealized</w:t>
            </w:r>
          </w:p>
        </w:tc>
        <w:tc>
          <w:tcPr>
            <w:tcW w:w="260" w:type="dxa"/>
            <w:vAlign w:val="bottom"/>
          </w:tcPr>
          <w:p>
            <w:pPr>
              <w:spacing w:after="0"/>
              <w:rPr>
                <w:sz w:val="14"/>
                <w:szCs w:val="14"/>
                <w:color w:val="auto"/>
              </w:rPr>
            </w:pPr>
          </w:p>
        </w:tc>
        <w:tc>
          <w:tcPr>
            <w:tcW w:w="1260" w:type="dxa"/>
            <w:vAlign w:val="bottom"/>
          </w:tcPr>
          <w:p>
            <w:pPr>
              <w:jc w:val="right"/>
              <w:ind w:right="379"/>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6"/>
        </w:trPr>
        <w:tc>
          <w:tcPr>
            <w:tcW w:w="484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7"/>
                <w:szCs w:val="17"/>
                <w:color w:val="auto"/>
              </w:rPr>
            </w:pPr>
          </w:p>
        </w:tc>
        <w:tc>
          <w:tcPr>
            <w:tcW w:w="1260" w:type="dxa"/>
            <w:vAlign w:val="bottom"/>
          </w:tcPr>
          <w:p>
            <w:pPr>
              <w:jc w:val="right"/>
              <w:ind w:right="35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9"/>
        </w:trPr>
        <w:tc>
          <w:tcPr>
            <w:tcW w:w="4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August 26, 2023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10,778</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10,192</w:t>
            </w:r>
          </w:p>
        </w:tc>
        <w:tc>
          <w:tcPr>
            <w:tcW w:w="0" w:type="dxa"/>
            <w:vAlign w:val="bottom"/>
          </w:tcPr>
          <w:p>
            <w:pPr>
              <w:spacing w:after="0"/>
              <w:rPr>
                <w:sz w:val="1"/>
                <w:szCs w:val="1"/>
                <w:color w:val="auto"/>
              </w:rPr>
            </w:pPr>
          </w:p>
        </w:tc>
      </w:tr>
      <w:tr>
        <w:trPr>
          <w:trHeight w:val="230"/>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February 25, 2023</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10,647</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9,945</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Prism insures a portion of our general liability, workers’ compensation and automobile liability risks using reinsurance agreements to meet statutory requirements. The reinsurance carrier requires Prism to maintain fixed-maturity investments for the purpose of providing collateral for Prism’s obligations under the reinsurance agreements.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and estimated fair values of these investments at August 26, 2023, by contractual maturity, are shown below. Expected maturities may differ from contractual maturities, as borrowers may have the right to call or prepay obligations with or without penalty.</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8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Pr>
          <w:p>
            <w:pPr>
              <w:spacing w:after="0"/>
              <w:rPr>
                <w:sz w:val="17"/>
                <w:szCs w:val="17"/>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7"/>
                <w:szCs w:val="17"/>
                <w:color w:val="auto"/>
              </w:rPr>
            </w:pPr>
          </w:p>
        </w:tc>
        <w:tc>
          <w:tcPr>
            <w:tcW w:w="1420" w:type="dxa"/>
            <w:vAlign w:val="bottom"/>
          </w:tcPr>
          <w:p>
            <w:pPr>
              <w:jc w:val="right"/>
              <w:ind w:right="15"/>
              <w:spacing w:after="0"/>
              <w:rPr>
                <w:sz w:val="20"/>
                <w:szCs w:val="20"/>
                <w:color w:val="auto"/>
              </w:rPr>
            </w:pPr>
            <w:r>
              <w:rPr>
                <w:rFonts w:ascii="Arial" w:cs="Arial" w:eastAsia="Arial" w:hAnsi="Arial"/>
                <w:sz w:val="14"/>
                <w:szCs w:val="14"/>
                <w:b w:val="1"/>
                <w:bCs w:val="1"/>
                <w:color w:val="auto"/>
                <w:w w:val="94"/>
              </w:rPr>
              <w:t>Estimated Fair Value</w:t>
            </w:r>
          </w:p>
        </w:tc>
      </w:tr>
      <w:tr>
        <w:trPr>
          <w:trHeight w:val="229"/>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w:t>
            </w: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Due after one year through five years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7,517</w:t>
            </w: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use interest rate swaps, foreign exchange contracts, commodity swaps and forward purchase contracts to manage risks generally associated with foreign exchange rate, interest rate and commodity price fluctuations. The information that follows explains the various types of derivatives and financial instruments we use, how such instruments are accounted for, and how such instruments impact our financial position and performance.</w:t>
      </w:r>
    </w:p>
    <w:p>
      <w:pPr>
        <w:spacing w:after="0" w:line="20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fiscal 2020, we entered into an interest rate swap to hedge exposure to variability in cash flows from interest payments on our floating-rate revolving credit facility. As of August 26, 2023, the interest rate swap contract had a notional value of $30.0 million and has a maturity date of February 5, 2026.</w:t>
      </w:r>
    </w:p>
    <w:p>
      <w:pPr>
        <w:spacing w:after="0" w:line="151"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We periodically enter into forward purchase contracts and/or fixed/floating swaps to manage the risk associated with fluctuations in aluminum prices and fluctuations in foreign exchange rates. These contracts generally have an original maturity date of less than one year. As of August 26, 2023, we held aluminum fixed/floating swaps and foreign exchange contracts with U.S. dollar notional values of $12.9 million and $1.6 million, respectively.</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derivative instruments are recorded within our consolidated balance sheets within other current assets and liabilities. Gains or losses associated with these instruments are recorded as a component of accumulated other comprehensive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financial assets or liabilities.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Other Observable</w:t>
            </w: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196"/>
        </w:trPr>
        <w:tc>
          <w:tcPr>
            <w:tcW w:w="632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Pr>
          <w:p>
            <w:pPr>
              <w:spacing w:after="0"/>
              <w:rPr>
                <w:sz w:val="17"/>
                <w:szCs w:val="17"/>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 (Level 2)</w:t>
            </w:r>
          </w:p>
        </w:tc>
        <w:tc>
          <w:tcPr>
            <w:tcW w:w="2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August 26, 2023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9,385</w:t>
            </w: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Municipal and corporate bonds</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10,192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10,192</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currency option contract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Interest rate swap contract</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Aluminum hedging contract</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20"/>
              <w:spacing w:after="0"/>
              <w:rPr>
                <w:sz w:val="20"/>
                <w:szCs w:val="20"/>
                <w:color w:val="auto"/>
              </w:rPr>
            </w:pPr>
            <w:r>
              <w:rPr>
                <w:rFonts w:ascii="Arial" w:cs="Arial" w:eastAsia="Arial" w:hAnsi="Arial"/>
                <w:sz w:val="18"/>
                <w:szCs w:val="18"/>
                <w:b w:val="1"/>
                <w:bCs w:val="1"/>
                <w:color w:val="auto"/>
              </w:rPr>
              <w:t>February 25, 2023</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8,062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8,062</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Municipal and corporate bonds</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w:t>
            </w: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Interest rate swap contract</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Foreign currency forward/option contract</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Aluminum hedging contract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Goodwill and Other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Goodwill represents the excess of the cost over the value of net tangible and identified intangible assets of acquired businesses. We evaluate goodwill for impairment annually as of the first day of our fiscal fourth quarter, or more frequently if events or changes in circumstances indicate that the carrying value of goodwill may not be recoverable.</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At the beginning of the first quarter of fiscal 2023, we began management of the Sotawall and Harmon businesses under the Architectural Services segment in order to create a single, unified offering for larger custom curtainwall projects, which resulted in the combination of the Sotawall and Harmon reporting units into a single reporting unit. We evaluated goodwill on a qualitative basis prior to and subsequent to this change for these reporting units and concluded that no adjustment to the carrying value of goodwill was necessary. Concurrent with the move of Sotawall from the Architectural Framing Systems segment to the Architectural Services segment effective at the start of our first quarter of fiscal 2023, goodwill was reallocated to the affected reporting units within each segment, using a relative fair value approach as outlined in ASC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w:t>
      </w:r>
    </w:p>
    <w:p>
      <w:pPr>
        <w:spacing w:after="0" w:line="18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the second quarter of fiscal 2024, we did not identify any qualitative indicators of impairment at any of our reporting units, and therefore, no interim quantitative goodwill impairment evaluation was performed.</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following table presents the carrying amount of goodwill attributable to each reporting segment including the amount of goodwill that was reallocated from the Architectural Framing Systems segment to the Architectural Services segment using the relative fair value approach during the first quarter of fiscal 2023:</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Architectural Framing</w:t>
            </w:r>
          </w:p>
        </w:tc>
        <w:tc>
          <w:tcPr>
            <w:tcW w:w="120" w:type="dxa"/>
            <w:vAlign w:val="bottom"/>
          </w:tcPr>
          <w:p>
            <w:pPr>
              <w:spacing w:after="0"/>
              <w:rPr>
                <w:sz w:val="14"/>
                <w:szCs w:val="14"/>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Architectural Glass</w:t>
            </w:r>
          </w:p>
        </w:tc>
        <w:tc>
          <w:tcPr>
            <w:tcW w:w="15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Architectural Services</w:t>
            </w:r>
          </w:p>
        </w:tc>
        <w:tc>
          <w:tcPr>
            <w:tcW w:w="24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Large-Scale</w:t>
            </w:r>
          </w:p>
        </w:tc>
        <w:tc>
          <w:tcPr>
            <w:tcW w:w="34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Systems</w:t>
            </w: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Optical</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February 26, 2022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93,181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25,244</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130,102</w:t>
            </w:r>
          </w:p>
        </w:tc>
        <w:tc>
          <w:tcPr>
            <w:tcW w:w="0" w:type="dxa"/>
            <w:vAlign w:val="bottom"/>
          </w:tcPr>
          <w:p>
            <w:pPr>
              <w:spacing w:after="0"/>
              <w:rPr>
                <w:sz w:val="1"/>
                <w:szCs w:val="1"/>
                <w:color w:val="auto"/>
              </w:rPr>
            </w:pPr>
          </w:p>
        </w:tc>
      </w:tr>
      <w:tr>
        <w:trPr>
          <w:trHeight w:val="230"/>
        </w:trPr>
        <w:tc>
          <w:tcPr>
            <w:tcW w:w="35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Reallocation among reporting units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23"/>
        </w:trPr>
        <w:tc>
          <w:tcPr>
            <w:tcW w:w="354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February 25, 2023</w:t>
            </w: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90,137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25,301</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10,557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129,026</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354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August 26, 2023</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90,143</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25,412</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129,143</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0" w:right="220" w:firstLine="6"/>
        <w:spacing w:after="0" w:line="230" w:lineRule="auto"/>
        <w:tabs>
          <w:tab w:leader="none" w:pos="165"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Represents the reallocation of goodwill as a result of transitioning Sotawall from the Architectural Framing Systems segment to the Architectural Services segment as of the start of the first quarter of fiscal 2023.</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jc w:val="both"/>
        <w:spacing w:after="0" w:line="244" w:lineRule="auto"/>
        <w:rPr>
          <w:sz w:val="20"/>
          <w:szCs w:val="20"/>
          <w:color w:val="auto"/>
        </w:rPr>
      </w:pPr>
      <w:r>
        <w:rPr>
          <w:rFonts w:ascii="Arial" w:cs="Arial" w:eastAsia="Arial" w:hAnsi="Arial"/>
          <w:sz w:val="18"/>
          <w:szCs w:val="18"/>
          <w:color w:val="auto"/>
        </w:rPr>
        <w:t>We have intangible assets for certain acquired trade names and trademarks which are determined to have indefinite useful lives. We test indefinite-lived intangible assets for impairment annually at the same measurement date as goodwill, the first day of our fiscal fourth quarter, or more frequently if events or changes in circumstances indicate that it is more likely than not that the asset is impaired. During the second quarter of fiscal 2024, we did not identify any qualitative indicators of impairment at any of our reporting units, and therefore, no interim quantitative intangible impairment evaluation was performed.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Finite-lived intangible assets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Long-lived assets or asset groups, including intangible assets subject to amortization and property and equipment, are reviewed for impairment whenever events or changes in circumstances indicate that the carrying value of those assets may not be recoverable. We use undiscounted cash flows to determine whether impairment exists and measure any impairment loss using discounted cash flows to determine the fair value of long-lived assets.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of other intangible assets and related accumulated amortization was: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Currency</w:t>
            </w:r>
          </w:p>
        </w:tc>
        <w:tc>
          <w:tcPr>
            <w:tcW w:w="340" w:type="dxa"/>
            <w:vAlign w:val="bottom"/>
          </w:tcPr>
          <w:p>
            <w:pPr>
              <w:spacing w:after="0"/>
              <w:rPr>
                <w:sz w:val="12"/>
                <w:szCs w:val="12"/>
                <w:color w:val="auto"/>
              </w:rPr>
            </w:pPr>
          </w:p>
        </w:tc>
        <w:tc>
          <w:tcPr>
            <w:tcW w:w="10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546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Translation</w:t>
            </w: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August 26, 2023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gridSpan w:val="2"/>
          </w:tcPr>
          <w:p>
            <w:pPr>
              <w:ind w:left="20"/>
              <w:spacing w:after="0"/>
              <w:rPr>
                <w:sz w:val="20"/>
                <w:szCs w:val="20"/>
                <w:color w:val="auto"/>
              </w:rPr>
            </w:pPr>
            <w:r>
              <w:rPr>
                <w:rFonts w:ascii="Arial" w:cs="Arial" w:eastAsia="Arial" w:hAnsi="Arial"/>
                <w:sz w:val="18"/>
                <w:szCs w:val="18"/>
                <w:b w:val="1"/>
                <w:bCs w:val="1"/>
                <w:color w:val="auto"/>
              </w:rPr>
              <w:t>Definite-lived intangible assets: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Customer relationships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35,619</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intangibles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38,360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23"/>
        </w:trPr>
        <w:tc>
          <w:tcPr>
            <w:tcW w:w="5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38,450</w:t>
            </w:r>
          </w:p>
        </w:tc>
        <w:tc>
          <w:tcPr>
            <w:tcW w:w="0" w:type="dxa"/>
            <w:vAlign w:val="bottom"/>
          </w:tcPr>
          <w:p>
            <w:pPr>
              <w:spacing w:after="0"/>
              <w:rPr>
                <w:sz w:val="1"/>
                <w:szCs w:val="1"/>
                <w:color w:val="auto"/>
              </w:rPr>
            </w:pPr>
          </w:p>
        </w:tc>
      </w:tr>
      <w:tr>
        <w:trPr>
          <w:trHeight w:val="230"/>
        </w:trPr>
        <w:tc>
          <w:tcPr>
            <w:tcW w:w="5460" w:type="dxa"/>
            <w:vAlign w:val="bottom"/>
            <w:gridSpan w:val="2"/>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Trademarks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26,853</w:t>
            </w:r>
          </w:p>
        </w:tc>
        <w:tc>
          <w:tcPr>
            <w:tcW w:w="0" w:type="dxa"/>
            <w:vAlign w:val="bottom"/>
          </w:tcPr>
          <w:p>
            <w:pPr>
              <w:spacing w:after="0"/>
              <w:rPr>
                <w:sz w:val="1"/>
                <w:szCs w:val="1"/>
                <w:color w:val="auto"/>
              </w:rPr>
            </w:pPr>
          </w:p>
        </w:tc>
      </w:tr>
      <w:tr>
        <w:trPr>
          <w:trHeight w:val="223"/>
        </w:trPr>
        <w:tc>
          <w:tcPr>
            <w:tcW w:w="5460" w:type="dxa"/>
            <w:vAlign w:val="bottom"/>
            <w:gridSpan w:val="2"/>
          </w:tcPr>
          <w:p>
            <w:pPr>
              <w:ind w:left="220"/>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152,009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(86,958)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65,303</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February 25, 2023</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ind w:left="20"/>
              <w:spacing w:after="0"/>
              <w:rPr>
                <w:sz w:val="20"/>
                <w:szCs w:val="20"/>
                <w:color w:val="auto"/>
              </w:rPr>
            </w:pPr>
            <w:r>
              <w:rPr>
                <w:rFonts w:ascii="Arial" w:cs="Arial" w:eastAsia="Arial" w:hAnsi="Arial"/>
                <w:sz w:val="18"/>
                <w:szCs w:val="18"/>
                <w:b w:val="1"/>
                <w:bCs w:val="1"/>
                <w:color w:val="auto"/>
              </w:rPr>
              <w:t>Definite-lived intangible assets: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Customer relationships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37,394</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intangibles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39,404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23"/>
        </w:trPr>
        <w:tc>
          <w:tcPr>
            <w:tcW w:w="5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40,524</w:t>
            </w:r>
          </w:p>
        </w:tc>
        <w:tc>
          <w:tcPr>
            <w:tcW w:w="0" w:type="dxa"/>
            <w:vAlign w:val="bottom"/>
          </w:tcPr>
          <w:p>
            <w:pPr>
              <w:spacing w:after="0"/>
              <w:rPr>
                <w:sz w:val="1"/>
                <w:szCs w:val="1"/>
                <w:color w:val="auto"/>
              </w:rPr>
            </w:pPr>
          </w:p>
        </w:tc>
      </w:tr>
      <w:tr>
        <w:trPr>
          <w:trHeight w:val="229"/>
        </w:trPr>
        <w:tc>
          <w:tcPr>
            <w:tcW w:w="5460" w:type="dxa"/>
            <w:vAlign w:val="bottom"/>
            <w:gridSpan w:val="2"/>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Trademarks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26,851</w:t>
            </w:r>
          </w:p>
        </w:tc>
        <w:tc>
          <w:tcPr>
            <w:tcW w:w="0" w:type="dxa"/>
            <w:vAlign w:val="bottom"/>
          </w:tcPr>
          <w:p>
            <w:pPr>
              <w:spacing w:after="0"/>
              <w:rPr>
                <w:sz w:val="1"/>
                <w:szCs w:val="1"/>
                <w:color w:val="auto"/>
              </w:rPr>
            </w:pPr>
          </w:p>
        </w:tc>
      </w:tr>
      <w:tr>
        <w:trPr>
          <w:trHeight w:val="223"/>
        </w:trPr>
        <w:tc>
          <w:tcPr>
            <w:tcW w:w="5460" w:type="dxa"/>
            <w:vAlign w:val="bottom"/>
            <w:gridSpan w:val="2"/>
          </w:tcPr>
          <w:p>
            <w:pPr>
              <w:ind w:left="220"/>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156,028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(84,633)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(4,020)</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67,375</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on definite-lived intangible assets was $2.0 million and $2.1 million for the six-month periods ended August 26, 2023 and August 27, 2022, respectively. Amortization expense of other identifiable intangible assets is included in selling, general and administrative expenses. At August 26, 2023, the estimated future amortization expense for definite-lived intangible assets was: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4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40" w:type="dxa"/>
            <w:vAlign w:val="bottom"/>
          </w:tcPr>
          <w:p>
            <w:pPr>
              <w:spacing w:after="0"/>
              <w:rPr>
                <w:sz w:val="17"/>
                <w:szCs w:val="17"/>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Remainder of 2024</w:t>
            </w:r>
          </w:p>
        </w:tc>
        <w:tc>
          <w:tcPr>
            <w:tcW w:w="360" w:type="dxa"/>
            <w:vAlign w:val="bottom"/>
          </w:tcPr>
          <w:p>
            <w:pPr>
              <w:spacing w:after="0"/>
              <w:rPr>
                <w:sz w:val="17"/>
                <w:szCs w:val="17"/>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2027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39"/>
              <w:spacing w:after="0"/>
              <w:rPr>
                <w:sz w:val="20"/>
                <w:szCs w:val="20"/>
                <w:color w:val="auto"/>
              </w:rPr>
            </w:pPr>
            <w:r>
              <w:rPr>
                <w:rFonts w:ascii="Arial" w:cs="Arial" w:eastAsia="Arial" w:hAnsi="Arial"/>
                <w:sz w:val="14"/>
                <w:szCs w:val="14"/>
                <w:b w:val="1"/>
                <w:bCs w:val="1"/>
                <w:color w:val="auto"/>
              </w:rPr>
              <w:t>2028</w:t>
            </w:r>
          </w:p>
        </w:tc>
      </w:tr>
      <w:tr>
        <w:trPr>
          <w:trHeight w:val="230"/>
        </w:trPr>
        <w:tc>
          <w:tcPr>
            <w:tcW w:w="3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Estimated amortization expense</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4,211</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3,913</w:t>
            </w:r>
          </w:p>
        </w:tc>
      </w:tr>
    </w:tbl>
    <w:p>
      <w:pPr>
        <w:spacing w:after="0" w:line="30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August 26, 2023, we had a committed revolving credit facility with Wells Fargo Bank, N.A. as administrative agent, and other lenders (U.S. credit facility) with maximum borrowings of up to $385 million and a maturity date of August 5, 2027. Outstanding borrowings under the revolving credit facility were $130.0 million and $156.0 million as of August 26, 2023 and February 25, 2023, respectively.</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also maintain two Canadian committed, revolving credit facilities with the Bank of Montreal totaling $25.0 million USD (Canadian facilities). The Canadian facilities expire annually in February, but can be renewed each year solely at our discretion until August 2027. Therefore, we have classified all outstanding amounts under these facilities as long-term debt within our consolidated balance sheets. At August 26, 2023 and February 25, 2023, outstanding borrowings under these Canadian facilities were $3.7 million and $1.8 million, respectively.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revolving credit facilities contain two maintenance financial covenants that require us to stay below a maximum debt-to-EBITDA ratio of 3.25 and maintain a minimum ratio of EBITDA-to-interest expense of 3.00. Both ratios are computed quarterly, with EBITDA calculated on a rolling four-quarter basis. At August 26, 2023, we were in compliance with both financial covenants.</w:t>
      </w:r>
    </w:p>
    <w:p>
      <w:pPr>
        <w:spacing w:after="0" w:line="20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U.S. credit facility also contains an acquisition holiday. In the event we make an acquisition for which the purchase price is greater than $75 million, we can elect to increase the maximum debt-to-EBITDA ratio to 3.75 for a period of four consecutive fiscal quarters, commencing with the fiscal quarter in which a qualifying acquisition occurs. No more than two acquisition "holidays" can occur during the term of the facility, and at least two fiscal quarters must separate qualifying acquisitions.</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Borrowings under the credit facilities bear floating interest at either the Base Rate or Term SOFR, plus a margin based on the Leverage Ratio (as defined in the Credit Agreement). For Base Rate borrowings, the margin ranges from 0.125% to 0.75%. For Term SOFR borrowings, the margin ranges from 1.135% to 1.85%.</w:t>
      </w:r>
    </w:p>
    <w:p>
      <w:pPr>
        <w:spacing w:after="0" w:line="20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U.S. credit facility also contains an "accordion" provision. Under this provision, we can request that the facility be increased by as much $200.0 million. Any Lender may elect or decline to participate in the requested increase at the Lender’s sole discretion.</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August 26, 2023, we had a total of $15.2 million of ongoing letters of credit related to industrial revenue bonds, construction contracts and insurance collateral that expire in fiscal year 2025 and reduce borrowing capacity under the revolving credit facility. As of August 26, 2023, the amount available for revolving borrowings was $239.8 million and $21.3 million under the Wells Fargo credit facility and Bank of Montreal credit facilities,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At August 26, 2023, debt included $12.0 million of industrial revenue bonds that mature in fiscal years 2036 through 2043.</w:t>
      </w:r>
    </w:p>
    <w:p>
      <w:pPr>
        <w:spacing w:after="0" w:line="239"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fair value of our U.S. credit facility, Canadian credit facilities and industrial revenue bonds approximated carrying value at August 26, 2023, and would be classified as Level 2 within the fair value hierarchy described in Note 4, due to the variable interest rates on these instruments..</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Interest payments under the U.S. and Canadian credit facilities were $5.4 million and $2.8 million for the six months ended August 26, 2023 and August 27, 2022, respectively.</w:t>
      </w:r>
    </w:p>
    <w:p>
      <w:pPr>
        <w:spacing w:after="0" w:line="20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 commitments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ordinary course of business, predominantly in our Architectural Services and Architectural Framing Systems segments, we are required to provide surety or performance bonds that commit payments to our customers for any non-performance. At August 26, 2023, $1.3 billion of these types of bonds were outstanding, of which $452.4 million is in our backlog. These bonds do not have stated expiration dates. We have never been required to make payments under surety or performance bonds with respect to our existing businesses.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and project-related contingencies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reserve estimated exposures on known claims, as well as on a portion of anticipated claims, for product warranty and rework cost, based on historical product liability claims as a ratio of sales. Claim costs are deducted from the accrual when paid. Factors that could have an impact on these accruals in any given period include the following: changes in manufacturing quality, changes in product mix, and any significant changes in sales volume.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4"/>
          </w:tcPr>
          <w:p>
            <w:pPr>
              <w:jc w:val="right"/>
              <w:ind w:right="974"/>
              <w:spacing w:after="0"/>
              <w:rPr>
                <w:sz w:val="20"/>
                <w:szCs w:val="20"/>
                <w:color w:val="auto"/>
              </w:rPr>
            </w:pPr>
            <w:r>
              <w:rPr>
                <w:rFonts w:ascii="Arial" w:cs="Arial" w:eastAsia="Arial" w:hAnsi="Arial"/>
                <w:sz w:val="14"/>
                <w:szCs w:val="14"/>
                <w:b w:val="1"/>
                <w:bCs w:val="1"/>
                <w:color w:val="auto"/>
              </w:rPr>
              <w:t>Six Months Ended</w:t>
            </w:r>
          </w:p>
        </w:tc>
      </w:tr>
      <w:tr>
        <w:trPr>
          <w:trHeight w:val="25"/>
        </w:trPr>
        <w:tc>
          <w:tcPr>
            <w:tcW w:w="800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800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26, 2023</w:t>
            </w:r>
          </w:p>
        </w:tc>
        <w:tc>
          <w:tcPr>
            <w:tcW w:w="200" w:type="dxa"/>
            <w:vAlign w:val="bottom"/>
          </w:tcPr>
          <w:p>
            <w:pPr>
              <w:spacing w:after="0"/>
              <w:rPr>
                <w:sz w:val="16"/>
                <w:szCs w:val="16"/>
                <w:color w:val="auto"/>
              </w:rPr>
            </w:pPr>
          </w:p>
        </w:tc>
        <w:tc>
          <w:tcPr>
            <w:tcW w:w="1360" w:type="dxa"/>
            <w:vAlign w:val="bottom"/>
          </w:tcPr>
          <w:p>
            <w:pPr>
              <w:jc w:val="right"/>
              <w:ind w:right="214"/>
              <w:spacing w:after="0"/>
              <w:rPr>
                <w:sz w:val="20"/>
                <w:szCs w:val="20"/>
                <w:color w:val="auto"/>
              </w:rPr>
            </w:pPr>
            <w:r>
              <w:rPr>
                <w:rFonts w:ascii="Arial" w:cs="Arial" w:eastAsia="Arial" w:hAnsi="Arial"/>
                <w:sz w:val="14"/>
                <w:szCs w:val="14"/>
                <w:b w:val="1"/>
                <w:bCs w:val="1"/>
                <w:color w:val="auto"/>
                <w:w w:val="97"/>
              </w:rPr>
              <w:t>August 27, 2022</w:t>
            </w:r>
          </w:p>
        </w:tc>
      </w:tr>
      <w:tr>
        <w:trPr>
          <w:trHeight w:val="230"/>
        </w:trPr>
        <w:tc>
          <w:tcPr>
            <w:tcW w:w="7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13,923</w:t>
            </w:r>
          </w:p>
        </w:tc>
      </w:tr>
      <w:tr>
        <w:trPr>
          <w:trHeight w:val="230"/>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Additional accruals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6,918</w:t>
            </w:r>
          </w:p>
        </w:tc>
      </w:tr>
      <w:tr>
        <w:trPr>
          <w:trHeight w:val="229"/>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Claims paid</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w:t>
            </w:r>
          </w:p>
        </w:tc>
      </w:tr>
      <w:tr>
        <w:trPr>
          <w:trHeight w:val="223"/>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16,640</w:t>
            </w:r>
          </w:p>
        </w:tc>
      </w:tr>
      <w:tr>
        <w:trPr>
          <w:trHeight w:val="20"/>
        </w:trPr>
        <w:tc>
          <w:tcPr>
            <w:tcW w:w="7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we are subject to project management and installation-related contingencies as a result of our fixed-price material supply and installation service contracts, primarily in our Architectural Services segment and certain of our Architectural Framing Systems businesses. We manage the risk of these exposures through contract negotiations, proactive project management and insurance coverages.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August 26, 2023, we had $15.2 million of ongoing letters of credit, all of which have been issued under our committed revolving credit facility, as discussed in Note 6. We also have a $3.4 million letter of credit which has been issued outside our committed revolving credit facility, with no impact on our borrowing capacity and debt covenants.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obligations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Purchase obligations for raw material commitments and capital expenditures totaled $30.4 million as of August 26, 2023.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Markets Tax Credit (NMTC) transactions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two outstanding NMTC arrangements which help to support operational expansion. Proceeds received from investors on these transactions are included within other non-current liabilities in our consolidated balance sheets. The NMTC arrangements are subject to 100 percent tax credit recapture for a period of seven years from the date of each respective transaction. Upon the termination of each arrangement, these proceeds will be recognized in earnings in exchange for the transfer of tax credits. The direct and incremental costs incurred in structuring these arrangements have been deferred and are included in other non-current assets in our consolidated balance sheets. These costs will be recognized in conjunction with the recognition of the related proceeds on each arrangement. During the construction phase or for working capital purposes for each project, we are required to hold cash dedicated to fund each project which is classified as restricted cash in our consolidated balance sheets. Variable-interest entities, which have been included within our consolidated financial statements, have been created as a result of the structure of these transactions, as investors in the programs do not have a material interest in their underlying economics.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second quarter ended August 26, 2023, one NMTC transaction was settled as expected and as a result, a $4.7 million benefit was recorded in other (income) expense, net.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 summary of estimated benefits related to our outstanding NMTC transactions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60" w:type="dxa"/>
            <w:vAlign w:val="bottom"/>
          </w:tcPr>
          <w:p>
            <w:pPr>
              <w:ind w:left="20"/>
              <w:spacing w:after="0"/>
              <w:rPr>
                <w:sz w:val="20"/>
                <w:szCs w:val="20"/>
                <w:color w:val="auto"/>
              </w:rPr>
            </w:pPr>
            <w:r>
              <w:rPr>
                <w:rFonts w:ascii="Arial" w:cs="Arial" w:eastAsia="Arial" w:hAnsi="Arial"/>
                <w:sz w:val="16"/>
                <w:szCs w:val="16"/>
                <w:b w:val="1"/>
                <w:bCs w:val="1"/>
                <w:color w:val="auto"/>
              </w:rPr>
              <w:t>Inception date</w:t>
            </w:r>
          </w:p>
        </w:tc>
        <w:tc>
          <w:tcPr>
            <w:tcW w:w="3720" w:type="dxa"/>
            <w:vAlign w:val="bottom"/>
          </w:tcPr>
          <w:p>
            <w:pPr>
              <w:ind w:left="840"/>
              <w:spacing w:after="0"/>
              <w:rPr>
                <w:sz w:val="20"/>
                <w:szCs w:val="20"/>
                <w:color w:val="auto"/>
              </w:rPr>
            </w:pPr>
            <w:r>
              <w:rPr>
                <w:rFonts w:ascii="Arial" w:cs="Arial" w:eastAsia="Arial" w:hAnsi="Arial"/>
                <w:sz w:val="16"/>
                <w:szCs w:val="16"/>
                <w:b w:val="1"/>
                <w:bCs w:val="1"/>
                <w:color w:val="auto"/>
              </w:rPr>
              <w:t>Termination date</w:t>
            </w:r>
          </w:p>
        </w:tc>
        <w:tc>
          <w:tcPr>
            <w:tcW w:w="200" w:type="dxa"/>
            <w:vAlign w:val="bottom"/>
          </w:tcPr>
          <w:p>
            <w:pPr>
              <w:spacing w:after="0"/>
              <w:rPr>
                <w:sz w:val="18"/>
                <w:szCs w:val="18"/>
                <w:color w:val="auto"/>
              </w:rPr>
            </w:pPr>
          </w:p>
        </w:tc>
        <w:tc>
          <w:tcPr>
            <w:tcW w:w="1640" w:type="dxa"/>
            <w:vAlign w:val="bottom"/>
            <w:gridSpan w:val="2"/>
          </w:tcPr>
          <w:p>
            <w:pPr>
              <w:ind w:left="80"/>
              <w:spacing w:after="0"/>
              <w:rPr>
                <w:sz w:val="20"/>
                <w:szCs w:val="20"/>
                <w:color w:val="auto"/>
              </w:rPr>
            </w:pPr>
            <w:r>
              <w:rPr>
                <w:rFonts w:ascii="Arial" w:cs="Arial" w:eastAsia="Arial" w:hAnsi="Arial"/>
                <w:sz w:val="16"/>
                <w:szCs w:val="16"/>
                <w:b w:val="1"/>
                <w:bCs w:val="1"/>
                <w:color w:val="auto"/>
              </w:rPr>
              <w:t>Deferred Benefit</w:t>
            </w:r>
          </w:p>
        </w:tc>
        <w:tc>
          <w:tcPr>
            <w:tcW w:w="24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rPr>
              <w:t>Deferred costs</w:t>
            </w:r>
          </w:p>
        </w:tc>
        <w:tc>
          <w:tcPr>
            <w:tcW w:w="300" w:type="dxa"/>
            <w:vAlign w:val="bottom"/>
          </w:tcPr>
          <w:p>
            <w:pPr>
              <w:spacing w:after="0"/>
              <w:rPr>
                <w:sz w:val="18"/>
                <w:szCs w:val="18"/>
                <w:color w:val="auto"/>
              </w:rPr>
            </w:pPr>
          </w:p>
        </w:tc>
        <w:tc>
          <w:tcPr>
            <w:tcW w:w="1440" w:type="dxa"/>
            <w:vAlign w:val="bottom"/>
          </w:tcPr>
          <w:p>
            <w:pPr>
              <w:jc w:val="right"/>
              <w:ind w:right="412"/>
              <w:spacing w:after="0"/>
              <w:rPr>
                <w:sz w:val="20"/>
                <w:szCs w:val="20"/>
                <w:color w:val="auto"/>
              </w:rPr>
            </w:pPr>
            <w:r>
              <w:rPr>
                <w:rFonts w:ascii="Arial" w:cs="Arial" w:eastAsia="Arial" w:hAnsi="Arial"/>
                <w:sz w:val="16"/>
                <w:szCs w:val="16"/>
                <w:b w:val="1"/>
                <w:bCs w:val="1"/>
                <w:color w:val="auto"/>
              </w:rPr>
              <w:t>Net benefit</w:t>
            </w:r>
          </w:p>
        </w:tc>
      </w:tr>
      <w:tr>
        <w:trPr>
          <w:trHeight w:val="226"/>
        </w:trPr>
        <w:tc>
          <w:tcPr>
            <w:tcW w:w="2060" w:type="dxa"/>
            <w:vAlign w:val="bottom"/>
            <w:tcBorders>
              <w:top w:val="single" w:sz="8" w:color="CCEEFF"/>
            </w:tcBorders>
            <w:shd w:val="clear" w:color="auto" w:fill="CCEEFF"/>
          </w:tcPr>
          <w:p>
            <w:pPr>
              <w:ind w:left="20"/>
              <w:spacing w:after="0" w:line="226" w:lineRule="exact"/>
              <w:rPr>
                <w:sz w:val="20"/>
                <w:szCs w:val="20"/>
                <w:color w:val="auto"/>
              </w:rPr>
            </w:pPr>
            <w:r>
              <w:rPr>
                <w:rFonts w:ascii="Arial" w:cs="Arial" w:eastAsia="Arial" w:hAnsi="Arial"/>
                <w:sz w:val="18"/>
                <w:szCs w:val="18"/>
                <w:color w:val="auto"/>
              </w:rPr>
              <w:t>May 2022</w:t>
            </w:r>
            <w:r>
              <w:rPr>
                <w:rFonts w:ascii="Arial" w:cs="Arial" w:eastAsia="Arial" w:hAnsi="Arial"/>
                <w:sz w:val="23"/>
                <w:szCs w:val="23"/>
                <w:color w:val="auto"/>
                <w:vertAlign w:val="superscript"/>
              </w:rPr>
              <w:t>(1)</w:t>
            </w:r>
          </w:p>
        </w:tc>
        <w:tc>
          <w:tcPr>
            <w:tcW w:w="3720" w:type="dxa"/>
            <w:vAlign w:val="bottom"/>
            <w:tcBorders>
              <w:top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August 2025</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4,448</w:t>
            </w:r>
          </w:p>
        </w:tc>
      </w:tr>
      <w:tr>
        <w:trPr>
          <w:trHeight w:val="230"/>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September 2018</w:t>
            </w:r>
          </w:p>
        </w:tc>
        <w:tc>
          <w:tcPr>
            <w:tcW w:w="372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September 2025</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w:t>
            </w:r>
          </w:p>
        </w:tc>
      </w:tr>
      <w:tr>
        <w:trPr>
          <w:trHeight w:val="248"/>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6,615</w:t>
            </w: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(1) Continuation of the August 2018 NMTC financing transaction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In December 2022, the claimant in an arbitration of one such claim was awarded $20 million. The Company has appealed the award and believes, after taking into account all currently available information, including the advice of counsel and the likelihood of available insurance coverage, that this award will not have a material adverse effect on the Company's business, financial condition, results of operations or cash flows.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20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compensation structure, we grant stock-based compensation awards to certain employees and non-employee directors during the fiscal year. These awards may be in the form of incentive stock options (to employees only), nonstatutory options, or nonvested share awards and units, all of which are granted at a price or with an exercise price equal to the fair market value of the Company’s stock at the date of award. Refer to our Form 10-K for further information on our share-based compensation plans.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sets forth the number of stock-based compensation awards granted during the six-months ended August 26, 2023, along with the weighted average grant date fair value: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Awards</w:t>
            </w:r>
          </w:p>
        </w:tc>
        <w:tc>
          <w:tcPr>
            <w:tcW w:w="16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Number of Awards</w:t>
            </w:r>
          </w:p>
        </w:tc>
        <w:tc>
          <w:tcPr>
            <w:tcW w:w="160" w:type="dxa"/>
            <w:vAlign w:val="bottom"/>
          </w:tcPr>
          <w:p>
            <w:pPr>
              <w:spacing w:after="0"/>
              <w:rPr>
                <w:sz w:val="14"/>
                <w:szCs w:val="14"/>
                <w:color w:val="auto"/>
              </w:rPr>
            </w:pPr>
          </w:p>
        </w:tc>
        <w:tc>
          <w:tcPr>
            <w:tcW w:w="1400" w:type="dxa"/>
            <w:vAlign w:val="bottom"/>
          </w:tcPr>
          <w:p>
            <w:pPr>
              <w:jc w:val="right"/>
              <w:ind w:right="139"/>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95"/>
        </w:trPr>
        <w:tc>
          <w:tcPr>
            <w:tcW w:w="8000" w:type="dxa"/>
            <w:vAlign w:val="bottom"/>
            <w:gridSpan w:val="2"/>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259"/>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26"/>
        </w:trPr>
        <w:tc>
          <w:tcPr>
            <w:tcW w:w="7900" w:type="dxa"/>
            <w:vAlign w:val="bottom"/>
            <w:tcBorders>
              <w:top w:val="single" w:sz="8" w:color="auto"/>
            </w:tcBorders>
            <w:shd w:val="clear" w:color="auto" w:fill="CCEEFF"/>
          </w:tcPr>
          <w:p>
            <w:pPr>
              <w:ind w:left="20"/>
              <w:spacing w:after="0" w:line="226" w:lineRule="exact"/>
              <w:rPr>
                <w:sz w:val="20"/>
                <w:szCs w:val="20"/>
                <w:color w:val="auto"/>
              </w:rPr>
            </w:pPr>
            <w:r>
              <w:rPr>
                <w:rFonts w:ascii="Arial" w:cs="Arial" w:eastAsia="Arial" w:hAnsi="Arial"/>
                <w:sz w:val="18"/>
                <w:szCs w:val="18"/>
                <w:color w:val="auto"/>
              </w:rPr>
              <w:t>Restricted stock awards and restricted stock units</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180,450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304"/>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Performance share units ("PSUs")</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48,483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43.59</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180" w:hanging="154"/>
        <w:spacing w:after="0"/>
        <w:tabs>
          <w:tab w:leader="none" w:pos="18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Represent service condition awards which generally vest over a two- or three-year period.</w:t>
      </w:r>
    </w:p>
    <w:p>
      <w:pPr>
        <w:spacing w:after="0" w:line="23" w:lineRule="exact"/>
        <w:rPr>
          <w:rFonts w:ascii="Arial" w:cs="Arial" w:eastAsia="Arial" w:hAnsi="Arial"/>
          <w:sz w:val="18"/>
          <w:szCs w:val="18"/>
          <w:color w:val="auto"/>
          <w:vertAlign w:val="superscript"/>
        </w:rPr>
      </w:pPr>
    </w:p>
    <w:p>
      <w:pPr>
        <w:ind w:left="180" w:right="20" w:hanging="154"/>
        <w:spacing w:after="0" w:line="219" w:lineRule="auto"/>
        <w:tabs>
          <w:tab w:leader="none" w:pos="181"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Represent performance condition awards with the grant equal to the target number of performance shares based on the share price at grant date. These grants allow for the right to receive a variable number of shares, between 0% and 200% of target, dependent on achieving a defined performance goal of return on invested capital and being employed at the end of the performance period.</w:t>
      </w: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share-based compensation expense included in the results of operations was $4.5 million for the six-month period ended August 26, 2023, and $3.4 million for the six-month period ended August 27, 2022.</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August 26, 2023, there was $11.0 million of total unrecognized compensation cost related to nonvested share and nonvested share unit awards, which is expected to be recognized over a weighted average period of approximately 22 months. The total fair value of shares vested during the six months ended August 26, 2023 was $5.5 million.</w:t>
      </w:r>
    </w:p>
    <w:p>
      <w:pPr>
        <w:spacing w:after="0" w:line="20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file income tax returns in the U.S. federal jurisdiction, various U.S. state and local jurisdictions, Canada, Brazil and other international jurisdictions. We are no longer subject to U.S. federal tax examinations for years prior to fiscal 2020, or state and local income tax examinations for years prior to fiscal 2015. We are not currently under U.S. federal examination for years subsequent to fiscal year 2019, and there is very limited audit activity of our income tax returns in U.S. state jurisdictions or international jurisdictions.</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liability for unrecognized tax benefits was $5.3 million at August 26, 2023 and at February 25, 2023, respectively. Penalties and interest related to unrecognized tax benefits are recorded in income tax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reconciliation of the share amounts used in the computation of basic and diluted earnings per share (diluted EPS):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4"/>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2960" w:type="dxa"/>
            <w:vAlign w:val="bottom"/>
            <w:gridSpan w:val="3"/>
          </w:tcPr>
          <w:p>
            <w:pPr>
              <w:jc w:val="right"/>
              <w:ind w:right="83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5"/>
        </w:trPr>
        <w:tc>
          <w:tcPr>
            <w:tcW w:w="5240" w:type="dxa"/>
            <w:vAlign w:val="bottom"/>
            <w:gridSpan w:val="2"/>
          </w:tcPr>
          <w:p>
            <w:pPr>
              <w:spacing w:after="0"/>
              <w:rPr>
                <w:sz w:val="2"/>
                <w:szCs w:val="2"/>
                <w:color w:val="auto"/>
              </w:rPr>
            </w:pPr>
          </w:p>
        </w:tc>
        <w:tc>
          <w:tcPr>
            <w:tcW w:w="1520" w:type="dxa"/>
            <w:vAlign w:val="bottom"/>
            <w:gridSpan w:val="2"/>
          </w:tcPr>
          <w:p>
            <w:pPr>
              <w:spacing w:after="0"/>
              <w:rPr>
                <w:sz w:val="2"/>
                <w:szCs w:val="2"/>
                <w:color w:val="auto"/>
              </w:rPr>
            </w:pPr>
          </w:p>
        </w:tc>
        <w:tc>
          <w:tcPr>
            <w:tcW w:w="1520" w:type="dxa"/>
            <w:vAlign w:val="bottom"/>
            <w:gridSpan w:val="2"/>
          </w:tcPr>
          <w:p>
            <w:pPr>
              <w:spacing w:after="0"/>
              <w:rPr>
                <w:sz w:val="2"/>
                <w:szCs w:val="2"/>
                <w:color w:val="auto"/>
              </w:rPr>
            </w:pPr>
          </w:p>
        </w:tc>
        <w:tc>
          <w:tcPr>
            <w:tcW w:w="152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4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520" w:type="dxa"/>
            <w:vAlign w:val="bottom"/>
            <w:tcBorders>
              <w:top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August 26, 2023</w:t>
            </w:r>
          </w:p>
        </w:tc>
        <w:tc>
          <w:tcPr>
            <w:tcW w:w="1420" w:type="dxa"/>
            <w:vAlign w:val="bottom"/>
            <w:tcBorders>
              <w:top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August 27, 2022</w:t>
            </w:r>
          </w:p>
        </w:tc>
        <w:tc>
          <w:tcPr>
            <w:tcW w:w="100" w:type="dxa"/>
            <w:vAlign w:val="bottom"/>
          </w:tcPr>
          <w:p>
            <w:pPr>
              <w:spacing w:after="0"/>
              <w:rPr>
                <w:sz w:val="16"/>
                <w:szCs w:val="16"/>
                <w:color w:val="auto"/>
              </w:rPr>
            </w:pPr>
          </w:p>
        </w:tc>
        <w:tc>
          <w:tcPr>
            <w:tcW w:w="1520" w:type="dxa"/>
            <w:vAlign w:val="bottom"/>
            <w:tcBorders>
              <w:top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August 26, 2023</w:t>
            </w:r>
          </w:p>
        </w:tc>
        <w:tc>
          <w:tcPr>
            <w:tcW w:w="1440" w:type="dxa"/>
            <w:vAlign w:val="bottom"/>
            <w:tcBorders>
              <w:top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August 27, 2022</w:t>
            </w:r>
          </w:p>
        </w:tc>
        <w:tc>
          <w:tcPr>
            <w:tcW w:w="0" w:type="dxa"/>
            <w:vAlign w:val="bottom"/>
          </w:tcPr>
          <w:p>
            <w:pPr>
              <w:spacing w:after="0"/>
              <w:rPr>
                <w:sz w:val="1"/>
                <w:szCs w:val="1"/>
                <w:color w:val="auto"/>
              </w:rPr>
            </w:pPr>
          </w:p>
        </w:tc>
      </w:tr>
      <w:tr>
        <w:trPr>
          <w:trHeight w:val="176"/>
        </w:trPr>
        <w:tc>
          <w:tcPr>
            <w:tcW w:w="5120" w:type="dxa"/>
            <w:vAlign w:val="bottom"/>
            <w:tcBorders>
              <w:top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Basic  earnings  per  share  –  weighted  average  common  shares</w:t>
            </w:r>
          </w:p>
        </w:tc>
        <w:tc>
          <w:tcPr>
            <w:tcW w:w="12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21,708</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21,860</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21,813</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22,129</w:t>
            </w:r>
          </w:p>
        </w:tc>
        <w:tc>
          <w:tcPr>
            <w:tcW w:w="0" w:type="dxa"/>
            <w:vAlign w:val="bottom"/>
          </w:tcPr>
          <w:p>
            <w:pPr>
              <w:spacing w:after="0"/>
              <w:rPr>
                <w:sz w:val="1"/>
                <w:szCs w:val="1"/>
                <w:color w:val="auto"/>
              </w:rPr>
            </w:pPr>
          </w:p>
        </w:tc>
      </w:tr>
      <w:tr>
        <w:trPr>
          <w:trHeight w:val="175"/>
        </w:trPr>
        <w:tc>
          <w:tcPr>
            <w:tcW w:w="52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Weighted average effect of nonvested share grants and assumed</w:t>
            </w: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exercise of stock options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155"/>
        </w:trPr>
        <w:tc>
          <w:tcPr>
            <w:tcW w:w="524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Diluted earnings per share – weighted average common shares and</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21,962</w:t>
            </w:r>
          </w:p>
        </w:tc>
        <w:tc>
          <w:tcPr>
            <w:tcW w:w="1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22,245</w:t>
            </w:r>
          </w:p>
        </w:tc>
        <w:tc>
          <w:tcPr>
            <w:tcW w:w="10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22,105</w:t>
            </w:r>
          </w:p>
        </w:tc>
        <w:tc>
          <w:tcPr>
            <w:tcW w:w="10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22,563</w:t>
            </w:r>
          </w:p>
        </w:tc>
        <w:tc>
          <w:tcPr>
            <w:tcW w:w="0" w:type="dxa"/>
            <w:vAlign w:val="bottom"/>
          </w:tcPr>
          <w:p>
            <w:pPr>
              <w:spacing w:after="0"/>
              <w:rPr>
                <w:sz w:val="1"/>
                <w:szCs w:val="1"/>
                <w:color w:val="auto"/>
              </w:rPr>
            </w:pPr>
          </w:p>
        </w:tc>
      </w:tr>
      <w:tr>
        <w:trPr>
          <w:trHeight w:val="236"/>
        </w:trPr>
        <w:tc>
          <w:tcPr>
            <w:tcW w:w="5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potential common shares outstanding</w:t>
            </w: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gridSpan w:val="2"/>
            <w:vMerge w:val="restart"/>
          </w:tcPr>
          <w:p>
            <w:pPr>
              <w:ind w:left="20"/>
              <w:spacing w:after="0" w:line="163" w:lineRule="exact"/>
              <w:rPr>
                <w:sz w:val="20"/>
                <w:szCs w:val="20"/>
                <w:color w:val="auto"/>
              </w:rPr>
            </w:pPr>
            <w:r>
              <w:rPr>
                <w:rFonts w:ascii="Arial" w:cs="Arial" w:eastAsia="Arial" w:hAnsi="Arial"/>
                <w:sz w:val="18"/>
                <w:szCs w:val="18"/>
                <w:color w:val="auto"/>
                <w:w w:val="99"/>
              </w:rPr>
              <w:t>Stock awards excluded from the calculation of earnings per share</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40" w:type="dxa"/>
            <w:vAlign w:val="bottom"/>
            <w:gridSpan w:val="2"/>
            <w:vMerge w:val="continue"/>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524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because the effect was anti-dilutive (award price greater than</w:t>
            </w: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180"/>
              <w:spacing w:after="0"/>
              <w:rPr>
                <w:sz w:val="20"/>
                <w:szCs w:val="20"/>
                <w:color w:val="auto"/>
              </w:rPr>
            </w:pPr>
            <w:r>
              <w:rPr>
                <w:rFonts w:ascii="Arial" w:cs="Arial" w:eastAsia="Arial" w:hAnsi="Arial"/>
                <w:sz w:val="18"/>
                <w:szCs w:val="18"/>
                <w:color w:val="auto"/>
              </w:rPr>
              <w:t>average market price of the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Business Segment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have four reporting segments:</w:t>
      </w:r>
    </w:p>
    <w:p>
      <w:pPr>
        <w:spacing w:after="0" w:line="23" w:lineRule="exact"/>
        <w:rPr>
          <w:sz w:val="20"/>
          <w:szCs w:val="20"/>
          <w:color w:val="auto"/>
        </w:rPr>
      </w:pPr>
    </w:p>
    <w:p>
      <w:pPr>
        <w:ind w:left="660" w:right="20" w:hanging="328"/>
        <w:spacing w:after="0" w:line="235"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Architectural Framing Systems</w:t>
      </w:r>
      <w:r>
        <w:rPr>
          <w:rFonts w:ascii="Arial" w:cs="Arial" w:eastAsia="Arial" w:hAnsi="Arial"/>
          <w:sz w:val="18"/>
          <w:szCs w:val="18"/>
          <w:color w:val="auto"/>
        </w:rPr>
        <w:t xml:space="preserve"> segment designs, engineers, fabricates and finishes aluminum window, curtainwall, storefront and entrance systems for the exterior of buildings.</w:t>
      </w:r>
    </w:p>
    <w:p>
      <w:pPr>
        <w:spacing w:after="0" w:line="1" w:lineRule="exact"/>
        <w:rPr>
          <w:rFonts w:ascii="Arial" w:cs="Arial" w:eastAsia="Arial" w:hAnsi="Arial"/>
          <w:sz w:val="18"/>
          <w:szCs w:val="18"/>
          <w:color w:val="auto"/>
        </w:rPr>
      </w:pPr>
    </w:p>
    <w:p>
      <w:pPr>
        <w:ind w:left="660" w:right="20" w:hanging="328"/>
        <w:spacing w:after="0" w:line="242"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Architectural Glass</w:t>
      </w:r>
      <w:r>
        <w:rPr>
          <w:rFonts w:ascii="Arial" w:cs="Arial" w:eastAsia="Arial" w:hAnsi="Arial"/>
          <w:sz w:val="18"/>
          <w:szCs w:val="18"/>
          <w:color w:val="auto"/>
        </w:rPr>
        <w:t xml:space="preserve"> segment coats and fabricates, high-performance glass used in custom window and wall systems on commercial buildings.</w:t>
      </w:r>
    </w:p>
    <w:p>
      <w:pPr>
        <w:spacing w:after="0" w:line="1"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Architectural Services</w:t>
      </w:r>
      <w:r>
        <w:rPr>
          <w:rFonts w:ascii="Arial" w:cs="Arial" w:eastAsia="Arial" w:hAnsi="Arial"/>
          <w:sz w:val="18"/>
          <w:szCs w:val="18"/>
          <w:color w:val="auto"/>
        </w:rPr>
        <w:t xml:space="preserve"> segment integrates technical services, project management, and field installation services to design, engineer, fabricate, and install building glass and curtainwall systems.</w:t>
      </w:r>
    </w:p>
    <w:p>
      <w:pPr>
        <w:ind w:left="660" w:hanging="328"/>
        <w:spacing w:after="0" w:line="26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Large-Scale Optical (LSO)</w:t>
      </w:r>
      <w:r>
        <w:rPr>
          <w:rFonts w:ascii="Arial" w:cs="Arial" w:eastAsia="Arial" w:hAnsi="Arial"/>
          <w:sz w:val="18"/>
          <w:szCs w:val="18"/>
          <w:color w:val="auto"/>
        </w:rPr>
        <w:t xml:space="preserve"> segment manufactures high-performance glass and acrylic products for custom framing, museum, and technical glass markets.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80" w:type="dxa"/>
            <w:vAlign w:val="bottom"/>
            <w:gridSpan w:val="5"/>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3080" w:type="dxa"/>
            <w:vAlign w:val="bottom"/>
            <w:gridSpan w:val="4"/>
          </w:tcPr>
          <w:p>
            <w:pPr>
              <w:jc w:val="right"/>
              <w:ind w:right="99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
        </w:trPr>
        <w:tc>
          <w:tcPr>
            <w:tcW w:w="4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58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August 26, 2023</w:t>
            </w: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9"/>
              </w:rPr>
              <w:t>August 27, 2022</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August 26, 2023</w:t>
            </w:r>
          </w:p>
        </w:tc>
        <w:tc>
          <w:tcPr>
            <w:tcW w:w="2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9"/>
              </w:rPr>
              <w:t>August 27, 2022</w:t>
            </w:r>
          </w:p>
        </w:tc>
        <w:tc>
          <w:tcPr>
            <w:tcW w:w="0" w:type="dxa"/>
            <w:vAlign w:val="bottom"/>
          </w:tcPr>
          <w:p>
            <w:pPr>
              <w:spacing w:after="0"/>
              <w:rPr>
                <w:sz w:val="1"/>
                <w:szCs w:val="1"/>
                <w:color w:val="auto"/>
              </w:rPr>
            </w:pPr>
          </w:p>
        </w:tc>
      </w:tr>
      <w:tr>
        <w:trPr>
          <w:trHeight w:val="229"/>
        </w:trPr>
        <w:tc>
          <w:tcPr>
            <w:tcW w:w="4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Segment net sales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ind w:left="220"/>
              <w:spacing w:after="0"/>
              <w:rPr>
                <w:sz w:val="20"/>
                <w:szCs w:val="20"/>
                <w:color w:val="auto"/>
              </w:rPr>
            </w:pPr>
            <w:r>
              <w:rPr>
                <w:rFonts w:ascii="Arial" w:cs="Arial" w:eastAsia="Arial" w:hAnsi="Arial"/>
                <w:sz w:val="18"/>
                <w:szCs w:val="18"/>
                <w:color w:val="auto"/>
              </w:rPr>
              <w:t>Architectural Framing Systems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158,801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172,867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322,963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336,159</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Architectural Glass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153,617</w:t>
            </w:r>
          </w:p>
        </w:tc>
        <w:tc>
          <w:tcPr>
            <w:tcW w:w="0" w:type="dxa"/>
            <w:vAlign w:val="bottom"/>
          </w:tcPr>
          <w:p>
            <w:pPr>
              <w:spacing w:after="0"/>
              <w:rPr>
                <w:sz w:val="1"/>
                <w:szCs w:val="1"/>
                <w:color w:val="auto"/>
              </w:rPr>
            </w:pPr>
          </w:p>
        </w:tc>
      </w:tr>
      <w:tr>
        <w:trPr>
          <w:trHeight w:val="230"/>
        </w:trPr>
        <w:tc>
          <w:tcPr>
            <w:tcW w:w="4580" w:type="dxa"/>
            <w:vAlign w:val="bottom"/>
            <w:gridSpan w:val="2"/>
          </w:tcPr>
          <w:p>
            <w:pPr>
              <w:ind w:left="220"/>
              <w:spacing w:after="0"/>
              <w:rPr>
                <w:sz w:val="20"/>
                <w:szCs w:val="20"/>
                <w:color w:val="auto"/>
              </w:rPr>
            </w:pPr>
            <w:r>
              <w:rPr>
                <w:rFonts w:ascii="Arial" w:cs="Arial" w:eastAsia="Arial" w:hAnsi="Arial"/>
                <w:sz w:val="18"/>
                <w:szCs w:val="18"/>
                <w:color w:val="auto"/>
              </w:rPr>
              <w:t>Architectural Services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88,064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106,732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177,482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210,120</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Large-Scale Optical</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50,328</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Intersegment eliminations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(21,480)</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715,388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728,744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Segment operating income (loss)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Architectural Framing Systems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44,177</w:t>
            </w:r>
          </w:p>
        </w:tc>
        <w:tc>
          <w:tcPr>
            <w:tcW w:w="0" w:type="dxa"/>
            <w:vAlign w:val="bottom"/>
          </w:tcPr>
          <w:p>
            <w:pPr>
              <w:spacing w:after="0"/>
              <w:rPr>
                <w:sz w:val="1"/>
                <w:szCs w:val="1"/>
                <w:color w:val="auto"/>
              </w:rPr>
            </w:pPr>
          </w:p>
        </w:tc>
      </w:tr>
      <w:tr>
        <w:trPr>
          <w:trHeight w:val="229"/>
        </w:trPr>
        <w:tc>
          <w:tcPr>
            <w:tcW w:w="4580" w:type="dxa"/>
            <w:vAlign w:val="bottom"/>
            <w:gridSpan w:val="2"/>
          </w:tcPr>
          <w:p>
            <w:pPr>
              <w:ind w:left="220"/>
              <w:spacing w:after="0"/>
              <w:rPr>
                <w:sz w:val="20"/>
                <w:szCs w:val="20"/>
                <w:color w:val="auto"/>
              </w:rPr>
            </w:pPr>
            <w:r>
              <w:rPr>
                <w:rFonts w:ascii="Arial" w:cs="Arial" w:eastAsia="Arial" w:hAnsi="Arial"/>
                <w:sz w:val="18"/>
                <w:szCs w:val="18"/>
                <w:color w:val="auto"/>
              </w:rPr>
              <w:t>Architectural Glass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17,434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33,955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11,626</w:t>
            </w: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Architectural Services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8,417</w:t>
            </w:r>
          </w:p>
        </w:tc>
        <w:tc>
          <w:tcPr>
            <w:tcW w:w="0" w:type="dxa"/>
            <w:vAlign w:val="bottom"/>
          </w:tcPr>
          <w:p>
            <w:pPr>
              <w:spacing w:after="0"/>
              <w:rPr>
                <w:sz w:val="1"/>
                <w:szCs w:val="1"/>
                <w:color w:val="auto"/>
              </w:rPr>
            </w:pPr>
          </w:p>
        </w:tc>
      </w:tr>
      <w:tr>
        <w:trPr>
          <w:trHeight w:val="229"/>
        </w:trPr>
        <w:tc>
          <w:tcPr>
            <w:tcW w:w="4580" w:type="dxa"/>
            <w:vAlign w:val="bottom"/>
            <w:gridSpan w:val="2"/>
          </w:tcPr>
          <w:p>
            <w:pPr>
              <w:ind w:left="220"/>
              <w:spacing w:after="0"/>
              <w:rPr>
                <w:sz w:val="20"/>
                <w:szCs w:val="20"/>
                <w:color w:val="auto"/>
              </w:rPr>
            </w:pPr>
            <w:r>
              <w:rPr>
                <w:rFonts w:ascii="Arial" w:cs="Arial" w:eastAsia="Arial" w:hAnsi="Arial"/>
                <w:sz w:val="18"/>
                <w:szCs w:val="18"/>
                <w:color w:val="auto"/>
              </w:rPr>
              <w:t>Large-Scale Optical</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12,489</w:t>
            </w: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Corporate and other*</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(11,421)</w:t>
            </w:r>
          </w:p>
        </w:tc>
        <w:tc>
          <w:tcPr>
            <w:tcW w:w="0" w:type="dxa"/>
            <w:vAlign w:val="bottom"/>
          </w:tcPr>
          <w:p>
            <w:pPr>
              <w:spacing w:after="0"/>
              <w:rPr>
                <w:sz w:val="1"/>
                <w:szCs w:val="1"/>
                <w:color w:val="auto"/>
              </w:rPr>
            </w:pPr>
          </w:p>
        </w:tc>
      </w:tr>
      <w:tr>
        <w:trPr>
          <w:trHeight w:val="223"/>
        </w:trPr>
        <w:tc>
          <w:tcPr>
            <w:tcW w:w="4580" w:type="dxa"/>
            <w:vAlign w:val="bottom"/>
            <w:gridSpan w:val="2"/>
          </w:tcPr>
          <w:p>
            <w:pPr>
              <w:ind w:left="48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40,553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74,320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65,288</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*Corporate and other includes certain corporate expenses that are not allocated at a segment level.</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varying combinations and integration of individual window, storefront and curtainwall systems, it is impractical to report product revenues generated by class of product, beyond the segment revenues currently reported.</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This Quarterly Report on Form 10-Q, including the section, Management’s Discussion and Analysis of Financial Condition and Results of Operations, contains “forward-looking statements” within the meaning of the Private Securities Litigation Reform Act of 1995. These statements reflect our current views with respect to future events and financial performance. The words “believe,” “expect,” “anticipate,” “intend,” “estimate,” “forecast,” “project,” “should,” "will," "continue" and similar expressions are intended to identify “forward-looking statements” within the meaning of the Private Securities Litigation Reform Act of 1995. All forecasts and projections in this document are “forward-looking statements,” and are based on management’s current expectations or beliefs. From time to time, we may also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22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Accordingly, we wish to caution investors that any forward-looking statements made by or on behalf of the Company are subject to uncertainties and other factors that could cause actual results to differ materially from such statements. Information about factors that could materially affect our results can be found in the “Risk Factors” section of our Annual Report on Form 10-K for the year ended February 25, 2023 and in subsequent filings with the U.S. Securities and Exchange Commission, including this Quarterly Report on Form 10-Q.</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have included in this report measures of financial performance that are not defined by GAAP. We believe that these measures provide useful information to investors, and include these measures in other communications to investors. For each of these non-GAAP financial measures, we are providing a reconciliation of the differences between the non-GAAP measure and the most directly comparable GAAP measure, an explanation of why we believe the non-GAAP measure provides useful information to investors, and any additional material purposes for which our management or Board of Directors uses the non-GAAP measure. These non-GAAP measures should be viewed in addition to, and not in lieu of, the comparable GAAP measure. Adjusted net earnings and adjusted earnings per diluted share (adjusted diluted EPS) are supplemental non-GAAP financial measures provided by the Company to assess performance on a more comparable basis from period-to-period by excluding amounts that management does not consider part of core operating results. Management uses these non-GAAP</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measures to evaluate the Company’s historical and prospective financial performance, measure operational profitability on a consistent basis, as a factor in determining executive compensation, and to provide enhanced transparency to the investment community.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We are a leader in the design and development of value-added glass and metal products and services. Our four reporting segments are: Architectural Framing Systems, Architectural Glass, Architectural Services and Large-Scale Optical (LSO).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three key elements of our enterprise strategy are discussed below:</w:t>
      </w:r>
    </w:p>
    <w:p>
      <w:pPr>
        <w:spacing w:after="0" w:line="23" w:lineRule="exact"/>
        <w:rPr>
          <w:sz w:val="20"/>
          <w:szCs w:val="20"/>
          <w:color w:val="auto"/>
        </w:rPr>
      </w:pPr>
    </w:p>
    <w:p>
      <w:pPr>
        <w:jc w:val="both"/>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Become the economic leader in our target markets. </w:t>
      </w:r>
      <w:r>
        <w:rPr>
          <w:rFonts w:ascii="Arial" w:cs="Arial" w:eastAsia="Arial" w:hAnsi="Arial"/>
          <w:sz w:val="18"/>
          <w:szCs w:val="18"/>
          <w:color w:val="auto"/>
        </w:rPr>
        <w:t>We will achieve this by developing a deep understanding of our target markets and aligning</w:t>
      </w:r>
      <w:r>
        <w:rPr>
          <w:rFonts w:ascii="Arial" w:cs="Arial" w:eastAsia="Arial" w:hAnsi="Arial"/>
          <w:sz w:val="18"/>
          <w:szCs w:val="18"/>
          <w:b w:val="1"/>
          <w:bCs w:val="1"/>
          <w:color w:val="auto"/>
        </w:rPr>
        <w:t xml:space="preserve"> </w:t>
      </w:r>
      <w:r>
        <w:rPr>
          <w:rFonts w:ascii="Arial" w:cs="Arial" w:eastAsia="Arial" w:hAnsi="Arial"/>
          <w:sz w:val="18"/>
          <w:szCs w:val="18"/>
          <w:color w:val="auto"/>
        </w:rPr>
        <w:t>our businesses with clear go-to-market strategies to drive value for our customers through differentiated product and service offerings. We will also build a relentless focus on operational execution, driving productivity improvements, and maintaining a competitive cost structure, so that we may bring more value to our customers and improve our own profitability.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Actively manage our portfolio to drive higher margins and returns. </w:t>
      </w:r>
      <w:r>
        <w:rPr>
          <w:rFonts w:ascii="Arial" w:cs="Arial" w:eastAsia="Arial" w:hAnsi="Arial"/>
          <w:sz w:val="18"/>
          <w:szCs w:val="18"/>
          <w:color w:val="auto"/>
        </w:rPr>
        <w:t>We intend to shift our business mix toward higher operating margin</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offerings and improve our return on invested capital performance. We will accomplish this by allocating resources to grow our top performing businesses, actively addressing underperforming businesses, and investing to add new differentiated product and service offerings to accelerate our growth.</w:t>
      </w:r>
    </w:p>
    <w:p>
      <w:pPr>
        <w:spacing w:after="0" w:line="1"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Strengthen our core capabilities. </w:t>
      </w:r>
      <w:r>
        <w:rPr>
          <w:rFonts w:ascii="Arial" w:cs="Arial" w:eastAsia="Arial" w:hAnsi="Arial"/>
          <w:sz w:val="18"/>
          <w:szCs w:val="18"/>
          <w:color w:val="auto"/>
        </w:rPr>
        <w:t>We are shifting from our historical, decentralized operating model, to one with center-led functional expertise</w:t>
      </w:r>
      <w:r>
        <w:rPr>
          <w:rFonts w:ascii="Arial" w:cs="Arial" w:eastAsia="Arial" w:hAnsi="Arial"/>
          <w:sz w:val="18"/>
          <w:szCs w:val="18"/>
          <w:b w:val="1"/>
          <w:bCs w:val="1"/>
          <w:color w:val="auto"/>
        </w:rPr>
        <w:t xml:space="preserve"> </w:t>
      </w:r>
      <w:r>
        <w:rPr>
          <w:rFonts w:ascii="Arial" w:cs="Arial" w:eastAsia="Arial" w:hAnsi="Arial"/>
          <w:sz w:val="18"/>
          <w:szCs w:val="18"/>
          <w:color w:val="auto"/>
        </w:rPr>
        <w:t>that enables us to leverage the scale of the enterprise to better support the needs of the business. We are establishing a Company-wide operating system with common tools and processes that are based on the foundation of Lean and Continuous Improvement, which we are calling "Apogee Management System or AMS". This will be supported by a robust talent management program and a commitment to strong governance to ensure compliance and drive sustainable performance.</w:t>
      </w: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made significant progress toward executing our enterprise strategy and underlying financial targets. We advanced our AMS initiatives, which have resulted in meaningful productivity improvements, particularly in Architectural Glass. We increased our focus on differentiated products and services, and effectively managed pricing to share in the value we delivered for our customers. We have focused on sustainable cost improvements and improvements to quality, service and delivery, while shifting mix toward more differentiated offerings. We integrated the Sotawall business into the Architectural Services segment, in order to create a single, unified offering for larger custom curtainwall projects. We advanced several initiatives to strengthen our core capabilities, driving the standardization of key business processes and systems. We also relaunched our talent development and leadership training programs and added key talent across the organization.</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selected financial data should be read in conjunction with the Company’s Form 10-K for the year ended February 25, 2023 and the consolidated financial statements, including the notes to consolidated financial statements, included therein.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various components of operations as year over year U.S. dollar and percentage change, as well as a percentage of net sales.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3"/>
          </w:tcPr>
          <w:p>
            <w:pPr>
              <w:jc w:val="right"/>
              <w:ind w:right="912"/>
              <w:spacing w:after="0"/>
              <w:rPr>
                <w:sz w:val="20"/>
                <w:szCs w:val="20"/>
                <w:color w:val="auto"/>
              </w:rPr>
            </w:pPr>
            <w:r>
              <w:rPr>
                <w:rFonts w:ascii="Arial" w:cs="Arial" w:eastAsia="Arial" w:hAnsi="Arial"/>
                <w:sz w:val="14"/>
                <w:szCs w:val="14"/>
                <w:b w:val="1"/>
                <w:bCs w:val="1"/>
                <w:color w:val="auto"/>
              </w:rPr>
              <w:t>% of Net Sales</w:t>
            </w:r>
          </w:p>
        </w:tc>
        <w:tc>
          <w:tcPr>
            <w:tcW w:w="0" w:type="dxa"/>
            <w:vAlign w:val="bottom"/>
          </w:tcPr>
          <w:p>
            <w:pPr>
              <w:spacing w:after="0"/>
              <w:rPr>
                <w:sz w:val="1"/>
                <w:szCs w:val="1"/>
                <w:color w:val="auto"/>
              </w:rPr>
            </w:pPr>
          </w:p>
        </w:tc>
      </w:tr>
      <w:tr>
        <w:trPr>
          <w:trHeight w:val="25"/>
        </w:trPr>
        <w:tc>
          <w:tcPr>
            <w:tcW w:w="28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1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500" w:type="dxa"/>
            <w:vAlign w:val="bottom"/>
            <w:gridSpan w:val="2"/>
          </w:tcPr>
          <w:p>
            <w:pPr>
              <w:spacing w:after="0"/>
              <w:rPr>
                <w:sz w:val="2"/>
                <w:szCs w:val="2"/>
                <w:color w:val="auto"/>
              </w:rPr>
            </w:pPr>
          </w:p>
        </w:tc>
        <w:tc>
          <w:tcPr>
            <w:tcW w:w="148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20" w:type="dxa"/>
            <w:vAlign w:val="bottom"/>
            <w:gridSpan w:val="2"/>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August 26, 2023</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August 27, 2022</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6"/>
                <w:szCs w:val="16"/>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100" w:type="dxa"/>
            <w:vAlign w:val="bottom"/>
          </w:tcPr>
          <w:p>
            <w:pPr>
              <w:spacing w:after="0"/>
              <w:rPr>
                <w:sz w:val="16"/>
                <w:szCs w:val="16"/>
                <w:color w:val="auto"/>
              </w:rPr>
            </w:pPr>
          </w:p>
        </w:tc>
        <w:tc>
          <w:tcPr>
            <w:tcW w:w="148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August 26, 2023</w:t>
            </w:r>
          </w:p>
        </w:tc>
        <w:tc>
          <w:tcPr>
            <w:tcW w:w="140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August 27, 2022</w:t>
            </w:r>
          </w:p>
        </w:tc>
        <w:tc>
          <w:tcPr>
            <w:tcW w:w="0" w:type="dxa"/>
            <w:vAlign w:val="bottom"/>
          </w:tcPr>
          <w:p>
            <w:pPr>
              <w:spacing w:after="0"/>
              <w:rPr>
                <w:sz w:val="1"/>
                <w:szCs w:val="1"/>
                <w:color w:val="auto"/>
              </w:rPr>
            </w:pPr>
          </w:p>
        </w:tc>
      </w:tr>
      <w:tr>
        <w:trPr>
          <w:trHeight w:val="230"/>
        </w:trPr>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353,675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372,109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(18,434)</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258,304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287,173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(28,869)</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23"/>
        </w:trPr>
        <w:tc>
          <w:tcPr>
            <w:tcW w:w="2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10,435</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175"/>
        </w:trPr>
        <w:tc>
          <w:tcPr>
            <w:tcW w:w="28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expenses</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54,818</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52,864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8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2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8,481</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532</w:t>
            </w:r>
          </w:p>
        </w:tc>
        <w:tc>
          <w:tcPr>
            <w:tcW w:w="80" w:type="dxa"/>
            <w:vAlign w:val="bottom"/>
          </w:tcPr>
          <w:p>
            <w:pPr>
              <w:spacing w:after="0"/>
              <w:rPr>
                <w:sz w:val="19"/>
                <w:szCs w:val="19"/>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N/M</w:t>
            </w:r>
          </w:p>
        </w:tc>
        <w:tc>
          <w:tcPr>
            <w:tcW w:w="13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20" w:type="dxa"/>
            <w:vAlign w:val="bottom"/>
            <w:gridSpan w:val="2"/>
          </w:tcPr>
          <w:p>
            <w:pPr>
              <w:ind w:left="360"/>
              <w:spacing w:after="0"/>
              <w:rPr>
                <w:sz w:val="20"/>
                <w:szCs w:val="20"/>
                <w:color w:val="auto"/>
              </w:rPr>
            </w:pPr>
            <w:r>
              <w:rPr>
                <w:rFonts w:ascii="Arial" w:cs="Arial" w:eastAsia="Arial" w:hAnsi="Arial"/>
                <w:sz w:val="18"/>
                <w:szCs w:val="18"/>
                <w:color w:val="auto"/>
              </w:rPr>
              <w:t>Earnings before income taxes</w:t>
            </w: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43,223</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30,201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13,022</w:t>
            </w:r>
          </w:p>
        </w:tc>
        <w:tc>
          <w:tcPr>
            <w:tcW w:w="80" w:type="dxa"/>
            <w:vAlign w:val="bottom"/>
          </w:tcPr>
          <w:p>
            <w:pPr>
              <w:spacing w:after="0"/>
              <w:rPr>
                <w:sz w:val="19"/>
                <w:szCs w:val="19"/>
                <w:color w:val="auto"/>
              </w:rPr>
            </w:pPr>
          </w:p>
        </w:tc>
        <w:tc>
          <w:tcPr>
            <w:tcW w:w="14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138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14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17,084</w:t>
            </w: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N/M</w:t>
            </w: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820" w:type="dxa"/>
            <w:vAlign w:val="bottom"/>
            <w:gridSpan w:val="2"/>
          </w:tcPr>
          <w:p>
            <w:pPr>
              <w:ind w:left="360"/>
              <w:spacing w:after="0"/>
              <w:rPr>
                <w:sz w:val="20"/>
                <w:szCs w:val="20"/>
                <w:color w:val="auto"/>
              </w:rPr>
            </w:pPr>
            <w:r>
              <w:rPr>
                <w:rFonts w:ascii="Arial" w:cs="Arial" w:eastAsia="Arial" w:hAnsi="Arial"/>
                <w:sz w:val="18"/>
                <w:szCs w:val="18"/>
                <w:color w:val="auto"/>
              </w:rPr>
              <w:t>Net earnings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33,327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37,389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(4,062)</w:t>
            </w:r>
          </w:p>
        </w:tc>
        <w:tc>
          <w:tcPr>
            <w:tcW w:w="8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5"/>
          </w:tcPr>
          <w:p>
            <w:pPr>
              <w:ind w:left="62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3"/>
          </w:tcPr>
          <w:p>
            <w:pPr>
              <w:jc w:val="right"/>
              <w:ind w:right="912"/>
              <w:spacing w:after="0"/>
              <w:rPr>
                <w:sz w:val="20"/>
                <w:szCs w:val="20"/>
                <w:color w:val="auto"/>
              </w:rPr>
            </w:pPr>
            <w:r>
              <w:rPr>
                <w:rFonts w:ascii="Arial" w:cs="Arial" w:eastAsia="Arial" w:hAnsi="Arial"/>
                <w:sz w:val="14"/>
                <w:szCs w:val="14"/>
                <w:b w:val="1"/>
                <w:bCs w:val="1"/>
                <w:color w:val="auto"/>
              </w:rPr>
              <w:t>% of Net Sales</w:t>
            </w:r>
          </w:p>
        </w:tc>
        <w:tc>
          <w:tcPr>
            <w:tcW w:w="0" w:type="dxa"/>
            <w:vAlign w:val="bottom"/>
          </w:tcPr>
          <w:p>
            <w:pPr>
              <w:spacing w:after="0"/>
              <w:rPr>
                <w:sz w:val="1"/>
                <w:szCs w:val="1"/>
                <w:color w:val="auto"/>
              </w:rPr>
            </w:pPr>
          </w:p>
        </w:tc>
      </w:tr>
      <w:tr>
        <w:trPr>
          <w:trHeight w:val="26"/>
        </w:trPr>
        <w:tc>
          <w:tcPr>
            <w:tcW w:w="27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500" w:type="dxa"/>
            <w:vAlign w:val="bottom"/>
            <w:gridSpan w:val="2"/>
          </w:tcPr>
          <w:p>
            <w:pPr>
              <w:spacing w:after="0"/>
              <w:rPr>
                <w:sz w:val="2"/>
                <w:szCs w:val="2"/>
                <w:color w:val="auto"/>
              </w:rPr>
            </w:pPr>
          </w:p>
        </w:tc>
        <w:tc>
          <w:tcPr>
            <w:tcW w:w="148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80" w:type="dxa"/>
            <w:vAlign w:val="bottom"/>
            <w:gridSpan w:val="2"/>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August 26, 2023</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August 27, 2022</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100" w:type="dxa"/>
            <w:vAlign w:val="bottom"/>
          </w:tcPr>
          <w:p>
            <w:pPr>
              <w:spacing w:after="0"/>
              <w:rPr>
                <w:sz w:val="16"/>
                <w:szCs w:val="16"/>
                <w:color w:val="auto"/>
              </w:rPr>
            </w:pPr>
          </w:p>
        </w:tc>
        <w:tc>
          <w:tcPr>
            <w:tcW w:w="148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August 26, 2023</w:t>
            </w:r>
          </w:p>
        </w:tc>
        <w:tc>
          <w:tcPr>
            <w:tcW w:w="140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August 27, 2022</w:t>
            </w:r>
          </w:p>
        </w:tc>
        <w:tc>
          <w:tcPr>
            <w:tcW w:w="0" w:type="dxa"/>
            <w:vAlign w:val="bottom"/>
          </w:tcPr>
          <w:p>
            <w:pPr>
              <w:spacing w:after="0"/>
              <w:rPr>
                <w:sz w:val="1"/>
                <w:szCs w:val="1"/>
                <w:color w:val="auto"/>
              </w:rPr>
            </w:pPr>
          </w:p>
        </w:tc>
      </w:tr>
      <w:tr>
        <w:trPr>
          <w:trHeight w:val="229"/>
        </w:trPr>
        <w:tc>
          <w:tcPr>
            <w:tcW w:w="2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715,388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728,744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(13,356)</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94"/>
              </w:rPr>
              <w:t>(1.8)%</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527,031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558,191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(31,160)</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23"/>
        </w:trPr>
        <w:tc>
          <w:tcPr>
            <w:tcW w:w="2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176"/>
        </w:trPr>
        <w:tc>
          <w:tcPr>
            <w:tcW w:w="27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Selling, general and administrative</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expenses</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114,037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105,265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8,772</w:t>
            </w:r>
          </w:p>
        </w:tc>
        <w:tc>
          <w:tcPr>
            <w:tcW w:w="10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2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19"/>
                <w:szCs w:val="19"/>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N/M</w:t>
            </w:r>
          </w:p>
        </w:tc>
        <w:tc>
          <w:tcPr>
            <w:tcW w:w="13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780" w:type="dxa"/>
            <w:vAlign w:val="bottom"/>
            <w:gridSpan w:val="2"/>
          </w:tcPr>
          <w:p>
            <w:pPr>
              <w:ind w:left="360"/>
              <w:spacing w:after="0"/>
              <w:rPr>
                <w:sz w:val="20"/>
                <w:szCs w:val="20"/>
                <w:color w:val="auto"/>
              </w:rPr>
            </w:pPr>
            <w:r>
              <w:rPr>
                <w:rFonts w:ascii="Arial" w:cs="Arial" w:eastAsia="Arial" w:hAnsi="Arial"/>
                <w:sz w:val="18"/>
                <w:szCs w:val="18"/>
                <w:color w:val="auto"/>
              </w:rPr>
              <w:t>Earnings before income taxes</w:t>
            </w: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74,666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60,901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13,765</w:t>
            </w:r>
          </w:p>
        </w:tc>
        <w:tc>
          <w:tcPr>
            <w:tcW w:w="100" w:type="dxa"/>
            <w:vAlign w:val="bottom"/>
          </w:tcPr>
          <w:p>
            <w:pPr>
              <w:spacing w:after="0"/>
              <w:rPr>
                <w:sz w:val="19"/>
                <w:szCs w:val="19"/>
                <w:color w:val="auto"/>
              </w:rPr>
            </w:pPr>
          </w:p>
        </w:tc>
        <w:tc>
          <w:tcPr>
            <w:tcW w:w="14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138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4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16,982</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2,174.4</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780" w:type="dxa"/>
            <w:vAlign w:val="bottom"/>
            <w:gridSpan w:val="2"/>
          </w:tcPr>
          <w:p>
            <w:pPr>
              <w:ind w:left="360"/>
              <w:spacing w:after="0"/>
              <w:rPr>
                <w:sz w:val="20"/>
                <w:szCs w:val="20"/>
                <w:color w:val="auto"/>
              </w:rPr>
            </w:pPr>
            <w:r>
              <w:rPr>
                <w:rFonts w:ascii="Arial" w:cs="Arial" w:eastAsia="Arial" w:hAnsi="Arial"/>
                <w:sz w:val="18"/>
                <w:szCs w:val="18"/>
                <w:color w:val="auto"/>
              </w:rPr>
              <w:t>Net earnings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56,903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60,120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(3,217)</w:t>
            </w:r>
          </w:p>
        </w:tc>
        <w:tc>
          <w:tcPr>
            <w:tcW w:w="100" w:type="dxa"/>
            <w:vAlign w:val="bottom"/>
          </w:tcPr>
          <w:p>
            <w:pPr>
              <w:spacing w:after="0"/>
              <w:rPr>
                <w:sz w:val="19"/>
                <w:szCs w:val="19"/>
                <w:color w:val="auto"/>
              </w:rPr>
            </w:pPr>
          </w:p>
        </w:tc>
        <w:tc>
          <w:tcPr>
            <w:tcW w:w="140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w w:val="94"/>
              </w:rPr>
              <w:t>(5.4)%</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Second Quarter Fiscal 2024 to Second Quarter Fiscal 2023</w:t>
      </w:r>
    </w:p>
    <w:p>
      <w:pPr>
        <w:spacing w:after="0" w:line="12" w:lineRule="exact"/>
        <w:rPr>
          <w:sz w:val="20"/>
          <w:szCs w:val="20"/>
          <w:color w:val="auto"/>
        </w:rPr>
      </w:pPr>
    </w:p>
    <w:p>
      <w:pPr>
        <w:ind w:left="660" w:hanging="328"/>
        <w:spacing w:after="0" w:line="236" w:lineRule="auto"/>
        <w:tabs>
          <w:tab w:leader="none" w:pos="651" w:val="left"/>
        </w:tabs>
        <w:numPr>
          <w:ilvl w:val="0"/>
          <w:numId w:val="15"/>
        </w:numPr>
        <w:rPr>
          <w:rFonts w:ascii="Arial" w:cs="Arial" w:eastAsia="Arial" w:hAnsi="Arial"/>
          <w:sz w:val="20"/>
          <w:szCs w:val="20"/>
          <w:b w:val="1"/>
          <w:bCs w:val="1"/>
          <w:color w:val="auto"/>
        </w:rPr>
      </w:pPr>
      <w:r>
        <w:rPr>
          <w:rFonts w:ascii="Arial" w:cs="Arial" w:eastAsia="Arial" w:hAnsi="Arial"/>
          <w:sz w:val="18"/>
          <w:szCs w:val="18"/>
          <w:color w:val="auto"/>
        </w:rPr>
        <w:t>Consolidated net sales decreased 5.0%, or $18.4 million, to $353.7 million, primarily reflecting lower volumes in Architectural Framing Systems and Architectural Services, partially offset by strong growth in the Architectural Glass segment.</w:t>
      </w:r>
    </w:p>
    <w:p>
      <w:pPr>
        <w:spacing w:after="0" w:line="215" w:lineRule="exact"/>
        <w:rPr>
          <w:rFonts w:ascii="Arial" w:cs="Arial" w:eastAsia="Arial" w:hAnsi="Arial"/>
          <w:sz w:val="20"/>
          <w:szCs w:val="20"/>
          <w:b w:val="1"/>
          <w:bCs w:val="1"/>
          <w:color w:val="auto"/>
        </w:rPr>
      </w:pPr>
    </w:p>
    <w:p>
      <w:pPr>
        <w:jc w:val="both"/>
        <w:ind w:left="660" w:hanging="328"/>
        <w:spacing w:after="0" w:line="262" w:lineRule="auto"/>
        <w:tabs>
          <w:tab w:leader="none" w:pos="651" w:val="left"/>
        </w:tabs>
        <w:numPr>
          <w:ilvl w:val="0"/>
          <w:numId w:val="15"/>
        </w:numPr>
        <w:rPr>
          <w:rFonts w:ascii="Arial" w:cs="Arial" w:eastAsia="Arial" w:hAnsi="Arial"/>
          <w:sz w:val="19"/>
          <w:szCs w:val="19"/>
          <w:b w:val="1"/>
          <w:bCs w:val="1"/>
          <w:color w:val="auto"/>
        </w:rPr>
      </w:pPr>
      <w:r>
        <w:rPr>
          <w:rFonts w:ascii="Arial" w:cs="Arial" w:eastAsia="Arial" w:hAnsi="Arial"/>
          <w:sz w:val="17"/>
          <w:szCs w:val="17"/>
          <w:color w:val="auto"/>
        </w:rPr>
        <w:t>Gross profit increased 12.3%, or $10.4 million, and gross margin increased to 27.0% compared to 22.8%. The improvement in gross margin was primarily driven by higher gross margins in both Architectural Glass and Architectural Framing Systems and the increased mix of Architectural Glass in the consolidated results. This was partially offset by lower margins in the Large-Scale Optical segment.</w:t>
      </w:r>
    </w:p>
    <w:p>
      <w:pPr>
        <w:spacing w:after="0" w:line="198" w:lineRule="exact"/>
        <w:rPr>
          <w:rFonts w:ascii="Arial" w:cs="Arial" w:eastAsia="Arial" w:hAnsi="Arial"/>
          <w:sz w:val="19"/>
          <w:szCs w:val="19"/>
          <w:b w:val="1"/>
          <w:bCs w:val="1"/>
          <w:color w:val="auto"/>
        </w:rPr>
      </w:pPr>
    </w:p>
    <w:p>
      <w:pPr>
        <w:ind w:left="660" w:hanging="328"/>
        <w:spacing w:after="0" w:line="266" w:lineRule="auto"/>
        <w:tabs>
          <w:tab w:leader="none" w:pos="651" w:val="left"/>
        </w:tabs>
        <w:numPr>
          <w:ilvl w:val="0"/>
          <w:numId w:val="15"/>
        </w:numPr>
        <w:rPr>
          <w:rFonts w:ascii="Arial" w:cs="Arial" w:eastAsia="Arial" w:hAnsi="Arial"/>
          <w:sz w:val="20"/>
          <w:szCs w:val="20"/>
          <w:b w:val="1"/>
          <w:bCs w:val="1"/>
          <w:color w:val="auto"/>
        </w:rPr>
      </w:pPr>
      <w:r>
        <w:rPr>
          <w:rFonts w:ascii="Arial" w:cs="Arial" w:eastAsia="Arial" w:hAnsi="Arial"/>
          <w:sz w:val="18"/>
          <w:szCs w:val="18"/>
          <w:color w:val="auto"/>
        </w:rPr>
        <w:t>Selling, general and administrative expenses increased $2.0 million to 15.5% of net sales compared to 14.2%. The increase was primarily due to increased compensation-related expenses and higher consulting costs.</w:t>
      </w:r>
    </w:p>
    <w:p>
      <w:pPr>
        <w:spacing w:after="0" w:line="190" w:lineRule="exact"/>
        <w:rPr>
          <w:rFonts w:ascii="Arial" w:cs="Arial" w:eastAsia="Arial" w:hAnsi="Arial"/>
          <w:sz w:val="20"/>
          <w:szCs w:val="20"/>
          <w:b w:val="1"/>
          <w:bCs w:val="1"/>
          <w:color w:val="auto"/>
        </w:rPr>
      </w:pPr>
    </w:p>
    <w:p>
      <w:pPr>
        <w:ind w:left="660" w:hanging="328"/>
        <w:spacing w:after="0" w:line="279" w:lineRule="auto"/>
        <w:tabs>
          <w:tab w:leader="none" w:pos="651" w:val="left"/>
        </w:tabs>
        <w:numPr>
          <w:ilvl w:val="0"/>
          <w:numId w:val="15"/>
        </w:numPr>
        <w:rPr>
          <w:rFonts w:ascii="Arial" w:cs="Arial" w:eastAsia="Arial" w:hAnsi="Arial"/>
          <w:sz w:val="19"/>
          <w:szCs w:val="19"/>
          <w:b w:val="1"/>
          <w:bCs w:val="1"/>
          <w:color w:val="auto"/>
        </w:rPr>
      </w:pPr>
      <w:r>
        <w:rPr>
          <w:rFonts w:ascii="Arial" w:cs="Arial" w:eastAsia="Arial" w:hAnsi="Arial"/>
          <w:sz w:val="17"/>
          <w:szCs w:val="17"/>
          <w:color w:val="auto"/>
        </w:rPr>
        <w:t>Operating income grew 26.4% to $40.6 million, and operating margin increased 290 basis points to 11.5%, primarily driven by improved operating margin in Architectural Glass as well as the Architectural Glass segment comprising a higher mix of the consolidated results.</w:t>
      </w:r>
    </w:p>
    <w:p>
      <w:pPr>
        <w:spacing w:after="0" w:line="180" w:lineRule="exact"/>
        <w:rPr>
          <w:rFonts w:ascii="Arial" w:cs="Arial" w:eastAsia="Arial" w:hAnsi="Arial"/>
          <w:sz w:val="19"/>
          <w:szCs w:val="19"/>
          <w:b w:val="1"/>
          <w:bCs w:val="1"/>
          <w:color w:val="auto"/>
        </w:rPr>
      </w:pPr>
    </w:p>
    <w:p>
      <w:pPr>
        <w:ind w:left="660" w:right="20" w:hanging="328"/>
        <w:spacing w:after="0" w:line="250" w:lineRule="auto"/>
        <w:tabs>
          <w:tab w:leader="none" w:pos="651" w:val="left"/>
        </w:tabs>
        <w:numPr>
          <w:ilvl w:val="0"/>
          <w:numId w:val="15"/>
        </w:numPr>
        <w:rPr>
          <w:rFonts w:ascii="Arial" w:cs="Arial" w:eastAsia="Arial" w:hAnsi="Arial"/>
          <w:sz w:val="20"/>
          <w:szCs w:val="20"/>
          <w:b w:val="1"/>
          <w:bCs w:val="1"/>
          <w:color w:val="auto"/>
        </w:rPr>
      </w:pPr>
      <w:r>
        <w:rPr>
          <w:rFonts w:ascii="Arial" w:cs="Arial" w:eastAsia="Arial" w:hAnsi="Arial"/>
          <w:sz w:val="18"/>
          <w:szCs w:val="18"/>
          <w:color w:val="auto"/>
        </w:rPr>
        <w:t>Interest expense, net was $2.2 million compared to $1.7 million, reflecting a higher average interest rate, partially offset by a lower average debt level.</w:t>
      </w:r>
    </w:p>
    <w:p>
      <w:pPr>
        <w:spacing w:after="0" w:line="206" w:lineRule="exact"/>
        <w:rPr>
          <w:rFonts w:ascii="Arial" w:cs="Arial" w:eastAsia="Arial" w:hAnsi="Arial"/>
          <w:sz w:val="20"/>
          <w:szCs w:val="20"/>
          <w:b w:val="1"/>
          <w:bCs w:val="1"/>
          <w:color w:val="auto"/>
        </w:rPr>
      </w:pPr>
    </w:p>
    <w:p>
      <w:pPr>
        <w:ind w:left="660" w:hanging="328"/>
        <w:spacing w:after="0" w:line="266" w:lineRule="auto"/>
        <w:tabs>
          <w:tab w:leader="none" w:pos="651" w:val="left"/>
        </w:tabs>
        <w:numPr>
          <w:ilvl w:val="0"/>
          <w:numId w:val="15"/>
        </w:numPr>
        <w:rPr>
          <w:rFonts w:ascii="Arial" w:cs="Arial" w:eastAsia="Arial" w:hAnsi="Arial"/>
          <w:sz w:val="20"/>
          <w:szCs w:val="20"/>
          <w:b w:val="1"/>
          <w:bCs w:val="1"/>
          <w:color w:val="auto"/>
        </w:rPr>
      </w:pPr>
      <w:r>
        <w:rPr>
          <w:rFonts w:ascii="Arial" w:cs="Arial" w:eastAsia="Arial" w:hAnsi="Arial"/>
          <w:sz w:val="18"/>
          <w:szCs w:val="18"/>
          <w:color w:val="auto"/>
        </w:rPr>
        <w:t>Other (income) expense, net included a $4.7 million pre-tax gain related to finalization of a New Markets Tax Credit transaction realized during the second quarter of fiscal 2024.</w:t>
      </w:r>
    </w:p>
    <w:p>
      <w:pPr>
        <w:spacing w:after="0" w:line="190" w:lineRule="exact"/>
        <w:rPr>
          <w:rFonts w:ascii="Arial" w:cs="Arial" w:eastAsia="Arial" w:hAnsi="Arial"/>
          <w:sz w:val="20"/>
          <w:szCs w:val="20"/>
          <w:b w:val="1"/>
          <w:bCs w:val="1"/>
          <w:color w:val="auto"/>
        </w:rPr>
      </w:pPr>
    </w:p>
    <w:p>
      <w:pPr>
        <w:ind w:left="660" w:hanging="328"/>
        <w:spacing w:after="0" w:line="250" w:lineRule="auto"/>
        <w:tabs>
          <w:tab w:leader="none" w:pos="651" w:val="left"/>
        </w:tabs>
        <w:numPr>
          <w:ilvl w:val="0"/>
          <w:numId w:val="15"/>
        </w:numPr>
        <w:rPr>
          <w:rFonts w:ascii="Arial" w:cs="Arial" w:eastAsia="Arial" w:hAnsi="Arial"/>
          <w:sz w:val="20"/>
          <w:szCs w:val="20"/>
          <w:b w:val="1"/>
          <w:bCs w:val="1"/>
          <w:color w:val="auto"/>
        </w:rPr>
      </w:pPr>
      <w:r>
        <w:rPr>
          <w:rFonts w:ascii="Arial" w:cs="Arial" w:eastAsia="Arial" w:hAnsi="Arial"/>
          <w:sz w:val="18"/>
          <w:szCs w:val="18"/>
          <w:color w:val="auto"/>
        </w:rPr>
        <w:t>Income tax expense was $9.9 million, compared to a tax benefit of $7.2 million. The prior year period included a $13.7 million tax deduction for a worthless stock loss and related discrete tax benefits.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First Six Months of Fiscal 2024 to First Six Months of Fiscal 2023</w:t>
      </w:r>
    </w:p>
    <w:p>
      <w:pPr>
        <w:spacing w:after="0" w:line="12" w:lineRule="exact"/>
        <w:rPr>
          <w:sz w:val="20"/>
          <w:szCs w:val="20"/>
          <w:color w:val="auto"/>
        </w:rPr>
      </w:pPr>
    </w:p>
    <w:p>
      <w:pPr>
        <w:ind w:left="660" w:hanging="328"/>
        <w:spacing w:after="0" w:line="236" w:lineRule="auto"/>
        <w:tabs>
          <w:tab w:leader="none" w:pos="651" w:val="left"/>
        </w:tabs>
        <w:numPr>
          <w:ilvl w:val="0"/>
          <w:numId w:val="16"/>
        </w:numPr>
        <w:rPr>
          <w:rFonts w:ascii="Arial" w:cs="Arial" w:eastAsia="Arial" w:hAnsi="Arial"/>
          <w:sz w:val="20"/>
          <w:szCs w:val="20"/>
          <w:b w:val="1"/>
          <w:bCs w:val="1"/>
          <w:color w:val="auto"/>
        </w:rPr>
      </w:pPr>
      <w:r>
        <w:rPr>
          <w:rFonts w:ascii="Arial" w:cs="Arial" w:eastAsia="Arial" w:hAnsi="Arial"/>
          <w:sz w:val="18"/>
          <w:szCs w:val="18"/>
          <w:color w:val="auto"/>
        </w:rPr>
        <w:t>Consolidated net sales decreased 1.8%, or $13.4 million to $715.4 million, primarily reflecting lower volumes in Architectural Framing Systems and Architectural Services, partially offset by improved pricing, mix and volumes in the Architectural Glass segment.</w:t>
      </w:r>
    </w:p>
    <w:p>
      <w:pPr>
        <w:spacing w:after="0" w:line="215" w:lineRule="exact"/>
        <w:rPr>
          <w:rFonts w:ascii="Arial" w:cs="Arial" w:eastAsia="Arial" w:hAnsi="Arial"/>
          <w:sz w:val="20"/>
          <w:szCs w:val="20"/>
          <w:b w:val="1"/>
          <w:bCs w:val="1"/>
          <w:color w:val="auto"/>
        </w:rPr>
      </w:pPr>
    </w:p>
    <w:p>
      <w:pPr>
        <w:jc w:val="both"/>
        <w:ind w:left="660" w:hanging="328"/>
        <w:spacing w:after="0" w:line="24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Gross profit increased 10.4%, or $17.8 million, to 26.3% of net sales compared to 23.4%. The gross margin improvement was driven primarily by higher margins in the Architectural Glass segment and the increased mix of that segment in consolidated results. This was partially offset by lower margins in the Architectural Services and Large Scale Optical segments.</w:t>
      </w:r>
    </w:p>
    <w:p>
      <w:pPr>
        <w:spacing w:after="0" w:line="208" w:lineRule="exact"/>
        <w:rPr>
          <w:rFonts w:ascii="Arial" w:cs="Arial" w:eastAsia="Arial" w:hAnsi="Arial"/>
          <w:sz w:val="18"/>
          <w:szCs w:val="18"/>
          <w:color w:val="auto"/>
        </w:rPr>
      </w:pPr>
    </w:p>
    <w:p>
      <w:pPr>
        <w:ind w:left="660" w:hanging="328"/>
        <w:spacing w:after="0" w:line="250" w:lineRule="auto"/>
        <w:tabs>
          <w:tab w:leader="none" w:pos="651" w:val="left"/>
        </w:tabs>
        <w:numPr>
          <w:ilvl w:val="0"/>
          <w:numId w:val="16"/>
        </w:numPr>
        <w:rPr>
          <w:rFonts w:ascii="Arial" w:cs="Arial" w:eastAsia="Arial" w:hAnsi="Arial"/>
          <w:sz w:val="20"/>
          <w:szCs w:val="20"/>
          <w:b w:val="1"/>
          <w:bCs w:val="1"/>
          <w:color w:val="auto"/>
        </w:rPr>
      </w:pPr>
      <w:r>
        <w:rPr>
          <w:rFonts w:ascii="Arial" w:cs="Arial" w:eastAsia="Arial" w:hAnsi="Arial"/>
          <w:sz w:val="18"/>
          <w:szCs w:val="18"/>
          <w:color w:val="auto"/>
        </w:rPr>
        <w:t>Selling, general and administrative expenses increased $8.8 million to 15.9% of net sales compared to 14.4%. The increase in expenses was primarily due to increased compensation-related expenses, commissions and higher consulting costs.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right="20" w:hanging="328"/>
        <w:spacing w:after="0" w:line="279" w:lineRule="auto"/>
        <w:tabs>
          <w:tab w:leader="none" w:pos="651" w:val="left"/>
        </w:tabs>
        <w:numPr>
          <w:ilvl w:val="0"/>
          <w:numId w:val="17"/>
        </w:numPr>
        <w:rPr>
          <w:rFonts w:ascii="Arial" w:cs="Arial" w:eastAsia="Arial" w:hAnsi="Arial"/>
          <w:sz w:val="19"/>
          <w:szCs w:val="19"/>
          <w:b w:val="1"/>
          <w:bCs w:val="1"/>
          <w:color w:val="auto"/>
        </w:rPr>
      </w:pPr>
      <w:r>
        <w:rPr>
          <w:rFonts w:ascii="Arial" w:cs="Arial" w:eastAsia="Arial" w:hAnsi="Arial"/>
          <w:sz w:val="17"/>
          <w:szCs w:val="17"/>
          <w:color w:val="auto"/>
        </w:rPr>
        <w:t>Operating income grew 13.8% to $74.3 million, and operating margin increased 140 basis points to 10.4%, primarily driven by improved operating margin in Architectural Glass as well as the Architectural Glass segment comprising a higher mix of the consolidated results.</w:t>
      </w:r>
    </w:p>
    <w:p>
      <w:pPr>
        <w:spacing w:after="0" w:line="180" w:lineRule="exact"/>
        <w:rPr>
          <w:rFonts w:ascii="Arial" w:cs="Arial" w:eastAsia="Arial" w:hAnsi="Arial"/>
          <w:sz w:val="19"/>
          <w:szCs w:val="19"/>
          <w:b w:val="1"/>
          <w:bCs w:val="1"/>
          <w:color w:val="auto"/>
        </w:rPr>
      </w:pPr>
    </w:p>
    <w:p>
      <w:pPr>
        <w:ind w:left="660" w:right="20" w:hanging="328"/>
        <w:spacing w:after="0" w:line="266" w:lineRule="auto"/>
        <w:tabs>
          <w:tab w:leader="none" w:pos="651" w:val="left"/>
        </w:tabs>
        <w:numPr>
          <w:ilvl w:val="0"/>
          <w:numId w:val="17"/>
        </w:numPr>
        <w:rPr>
          <w:rFonts w:ascii="Arial" w:cs="Arial" w:eastAsia="Arial" w:hAnsi="Arial"/>
          <w:sz w:val="20"/>
          <w:szCs w:val="20"/>
          <w:b w:val="1"/>
          <w:bCs w:val="1"/>
          <w:color w:val="auto"/>
        </w:rPr>
      </w:pPr>
      <w:r>
        <w:rPr>
          <w:rFonts w:ascii="Arial" w:cs="Arial" w:eastAsia="Arial" w:hAnsi="Arial"/>
          <w:sz w:val="18"/>
          <w:szCs w:val="18"/>
          <w:color w:val="auto"/>
        </w:rPr>
        <w:t>Interest expense, net was $4.3 million compared to $2.9 million, reflecting a higher average interest rate, partially offset by a lower average debt level.</w:t>
      </w:r>
    </w:p>
    <w:p>
      <w:pPr>
        <w:spacing w:after="0" w:line="190" w:lineRule="exact"/>
        <w:rPr>
          <w:rFonts w:ascii="Arial" w:cs="Arial" w:eastAsia="Arial" w:hAnsi="Arial"/>
          <w:sz w:val="20"/>
          <w:szCs w:val="20"/>
          <w:b w:val="1"/>
          <w:bCs w:val="1"/>
          <w:color w:val="auto"/>
        </w:rPr>
      </w:pPr>
    </w:p>
    <w:p>
      <w:pPr>
        <w:ind w:left="660" w:hanging="328"/>
        <w:spacing w:after="0" w:line="250" w:lineRule="auto"/>
        <w:tabs>
          <w:tab w:leader="none" w:pos="651" w:val="left"/>
        </w:tabs>
        <w:numPr>
          <w:ilvl w:val="0"/>
          <w:numId w:val="17"/>
        </w:numPr>
        <w:rPr>
          <w:rFonts w:ascii="Arial" w:cs="Arial" w:eastAsia="Arial" w:hAnsi="Arial"/>
          <w:sz w:val="20"/>
          <w:szCs w:val="20"/>
          <w:b w:val="1"/>
          <w:bCs w:val="1"/>
          <w:color w:val="auto"/>
        </w:rPr>
      </w:pPr>
      <w:r>
        <w:rPr>
          <w:rFonts w:ascii="Arial" w:cs="Arial" w:eastAsia="Arial" w:hAnsi="Arial"/>
          <w:sz w:val="18"/>
          <w:szCs w:val="18"/>
          <w:color w:val="auto"/>
        </w:rPr>
        <w:t>Other (income) expense, net included a $4.7 million pre-tax gain related to finalization of a New Markets Tax Credit transaction realized during the second quarter of fiscal 2024.</w:t>
      </w:r>
    </w:p>
    <w:p>
      <w:pPr>
        <w:spacing w:after="0" w:line="206" w:lineRule="exact"/>
        <w:rPr>
          <w:rFonts w:ascii="Arial" w:cs="Arial" w:eastAsia="Arial" w:hAnsi="Arial"/>
          <w:sz w:val="20"/>
          <w:szCs w:val="20"/>
          <w:b w:val="1"/>
          <w:bCs w:val="1"/>
          <w:color w:val="auto"/>
        </w:rPr>
      </w:pPr>
    </w:p>
    <w:p>
      <w:pPr>
        <w:ind w:left="660" w:hanging="328"/>
        <w:spacing w:after="0" w:line="250" w:lineRule="auto"/>
        <w:tabs>
          <w:tab w:leader="none" w:pos="651" w:val="left"/>
        </w:tabs>
        <w:numPr>
          <w:ilvl w:val="0"/>
          <w:numId w:val="17"/>
        </w:numPr>
        <w:rPr>
          <w:rFonts w:ascii="Arial" w:cs="Arial" w:eastAsia="Arial" w:hAnsi="Arial"/>
          <w:sz w:val="20"/>
          <w:szCs w:val="20"/>
          <w:b w:val="1"/>
          <w:bCs w:val="1"/>
          <w:color w:val="auto"/>
        </w:rPr>
      </w:pPr>
      <w:r>
        <w:rPr>
          <w:rFonts w:ascii="Arial" w:cs="Arial" w:eastAsia="Arial" w:hAnsi="Arial"/>
          <w:sz w:val="18"/>
          <w:szCs w:val="18"/>
          <w:color w:val="auto"/>
        </w:rPr>
        <w:t>Income tax expense was $17.8 million, compared to tax expense of $0.8 million. The prior year period included a $13.7 million tax deduction for a worthless stock loss and related discrete tax benefits.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sales, operating income (loss) and operating margin by segment and consolidated total.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8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60" w:type="dxa"/>
            <w:vAlign w:val="bottom"/>
            <w:gridSpan w:val="3"/>
          </w:tcPr>
          <w:p>
            <w:pPr>
              <w:jc w:val="right"/>
              <w:ind w:right="271"/>
              <w:spacing w:after="0"/>
              <w:rPr>
                <w:sz w:val="20"/>
                <w:szCs w:val="20"/>
                <w:color w:val="auto"/>
              </w:rPr>
            </w:pPr>
            <w:r>
              <w:rPr>
                <w:rFonts w:ascii="Arial" w:cs="Arial" w:eastAsia="Arial" w:hAnsi="Arial"/>
                <w:sz w:val="14"/>
                <w:szCs w:val="14"/>
                <w:b w:val="1"/>
                <w:bCs w:val="1"/>
                <w:color w:val="auto"/>
                <w:w w:val="97"/>
              </w:rPr>
              <w:t>Six Months Ended</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82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 except percentages)</w:t>
            </w: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5"/>
              </w:rPr>
              <w:t>August 26, 2023</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5"/>
              </w:rPr>
              <w:t>August 27, 2022</w:t>
            </w: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5"/>
              </w:rPr>
              <w:t>August 26, 2023</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5"/>
              </w:rPr>
              <w:t>August 27, 2022</w:t>
            </w: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30"/>
        </w:trPr>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Segment net sales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gridSpan w:val="2"/>
          </w:tcPr>
          <w:p>
            <w:pPr>
              <w:ind w:left="220"/>
              <w:spacing w:after="0"/>
              <w:rPr>
                <w:sz w:val="20"/>
                <w:szCs w:val="20"/>
                <w:color w:val="auto"/>
              </w:rPr>
            </w:pPr>
            <w:r>
              <w:rPr>
                <w:rFonts w:ascii="Arial" w:cs="Arial" w:eastAsia="Arial" w:hAnsi="Arial"/>
                <w:sz w:val="18"/>
                <w:szCs w:val="18"/>
                <w:color w:val="auto"/>
              </w:rPr>
              <w:t>Architectural Framing Systems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158,801</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172,867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322,963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336,159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2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Architectural Glass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94,096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77,352</w:t>
            </w:r>
          </w:p>
        </w:tc>
        <w:tc>
          <w:tcPr>
            <w:tcW w:w="11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191,298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153,617</w:t>
            </w:r>
          </w:p>
        </w:tc>
        <w:tc>
          <w:tcPr>
            <w:tcW w:w="11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2820" w:type="dxa"/>
            <w:vAlign w:val="bottom"/>
            <w:gridSpan w:val="2"/>
          </w:tcPr>
          <w:p>
            <w:pPr>
              <w:ind w:left="220"/>
              <w:spacing w:after="0"/>
              <w:rPr>
                <w:sz w:val="20"/>
                <w:szCs w:val="20"/>
                <w:color w:val="auto"/>
              </w:rPr>
            </w:pPr>
            <w:r>
              <w:rPr>
                <w:rFonts w:ascii="Arial" w:cs="Arial" w:eastAsia="Arial" w:hAnsi="Arial"/>
                <w:sz w:val="18"/>
                <w:szCs w:val="18"/>
                <w:color w:val="auto"/>
              </w:rPr>
              <w:t>Architectural Services</w:t>
            </w:r>
          </w:p>
        </w:tc>
        <w:tc>
          <w:tcPr>
            <w:tcW w:w="180" w:type="dxa"/>
            <w:vAlign w:val="bottom"/>
          </w:tcPr>
          <w:p>
            <w:pPr>
              <w:spacing w:after="0"/>
              <w:rPr>
                <w:sz w:val="19"/>
                <w:szCs w:val="19"/>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88,064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106,732</w:t>
            </w:r>
          </w:p>
        </w:tc>
        <w:tc>
          <w:tcPr>
            <w:tcW w:w="1160" w:type="dxa"/>
            <w:vAlign w:val="bottom"/>
            <w:gridSpan w:val="2"/>
          </w:tcPr>
          <w:p>
            <w:pPr>
              <w:jc w:val="right"/>
              <w:ind w:right="108"/>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177,482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210,120</w:t>
            </w:r>
          </w:p>
        </w:tc>
        <w:tc>
          <w:tcPr>
            <w:tcW w:w="1140" w:type="dxa"/>
            <w:vAlign w:val="bottom"/>
            <w:gridSpan w:val="2"/>
          </w:tcPr>
          <w:p>
            <w:pPr>
              <w:jc w:val="right"/>
              <w:ind w:right="108"/>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9"/>
        </w:trPr>
        <w:tc>
          <w:tcPr>
            <w:tcW w:w="2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Large-Scale Optical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23,645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25,166</w:t>
            </w:r>
          </w:p>
        </w:tc>
        <w:tc>
          <w:tcPr>
            <w:tcW w:w="11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46,101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50,328</w:t>
            </w: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Intersegment eliminations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(10,931)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(10,008)</w:t>
            </w:r>
          </w:p>
        </w:tc>
        <w:tc>
          <w:tcPr>
            <w:tcW w:w="1160" w:type="dxa"/>
            <w:vAlign w:val="bottom"/>
            <w:tcBorders>
              <w:bottom w:val="single" w:sz="8" w:color="CCEEFF"/>
            </w:tcBorders>
            <w:gridSpan w:val="2"/>
          </w:tcPr>
          <w:p>
            <w:pPr>
              <w:jc w:val="right"/>
              <w:ind w:right="148"/>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(22,456)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(21,480)</w:t>
            </w:r>
          </w:p>
        </w:tc>
        <w:tc>
          <w:tcPr>
            <w:tcW w:w="1140" w:type="dxa"/>
            <w:vAlign w:val="bottom"/>
            <w:tcBorders>
              <w:bottom w:val="single" w:sz="8" w:color="CCEEFF"/>
            </w:tcBorders>
            <w:gridSpan w:val="2"/>
          </w:tcPr>
          <w:p>
            <w:pPr>
              <w:jc w:val="right"/>
              <w:ind w:right="148"/>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353,675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372,109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715,388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728,744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Segment operating income (loss)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Architectural Framing Systems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21,060</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20,512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41,005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44,177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2820" w:type="dxa"/>
            <w:vAlign w:val="bottom"/>
            <w:gridSpan w:val="2"/>
          </w:tcPr>
          <w:p>
            <w:pPr>
              <w:ind w:left="220"/>
              <w:spacing w:after="0"/>
              <w:rPr>
                <w:sz w:val="20"/>
                <w:szCs w:val="20"/>
                <w:color w:val="auto"/>
              </w:rPr>
            </w:pPr>
            <w:r>
              <w:rPr>
                <w:rFonts w:ascii="Arial" w:cs="Arial" w:eastAsia="Arial" w:hAnsi="Arial"/>
                <w:sz w:val="18"/>
                <w:szCs w:val="18"/>
                <w:color w:val="auto"/>
              </w:rPr>
              <w:t>Architectural Glass</w:t>
            </w:r>
          </w:p>
        </w:tc>
        <w:tc>
          <w:tcPr>
            <w:tcW w:w="180" w:type="dxa"/>
            <w:vAlign w:val="bottom"/>
          </w:tcPr>
          <w:p>
            <w:pPr>
              <w:spacing w:after="0"/>
              <w:rPr>
                <w:sz w:val="19"/>
                <w:szCs w:val="19"/>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17,434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6,457</w:t>
            </w:r>
          </w:p>
        </w:tc>
        <w:tc>
          <w:tcPr>
            <w:tcW w:w="1160" w:type="dxa"/>
            <w:vAlign w:val="bottom"/>
            <w:gridSpan w:val="2"/>
          </w:tcPr>
          <w:p>
            <w:pPr>
              <w:jc w:val="right"/>
              <w:ind w:right="148"/>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33,955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11,626</w:t>
            </w:r>
          </w:p>
        </w:tc>
        <w:tc>
          <w:tcPr>
            <w:tcW w:w="1140" w:type="dxa"/>
            <w:vAlign w:val="bottom"/>
            <w:gridSpan w:val="2"/>
          </w:tcPr>
          <w:p>
            <w:pPr>
              <w:jc w:val="right"/>
              <w:ind w:right="148"/>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Architectural Services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3,519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5,490</w:t>
            </w:r>
          </w:p>
        </w:tc>
        <w:tc>
          <w:tcPr>
            <w:tcW w:w="11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8,417</w:t>
            </w: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30"/>
        </w:trPr>
        <w:tc>
          <w:tcPr>
            <w:tcW w:w="2820" w:type="dxa"/>
            <w:vAlign w:val="bottom"/>
            <w:gridSpan w:val="2"/>
          </w:tcPr>
          <w:p>
            <w:pPr>
              <w:ind w:left="220"/>
              <w:spacing w:after="0"/>
              <w:rPr>
                <w:sz w:val="20"/>
                <w:szCs w:val="20"/>
                <w:color w:val="auto"/>
              </w:rPr>
            </w:pPr>
            <w:r>
              <w:rPr>
                <w:rFonts w:ascii="Arial" w:cs="Arial" w:eastAsia="Arial" w:hAnsi="Arial"/>
                <w:sz w:val="18"/>
                <w:szCs w:val="18"/>
                <w:color w:val="auto"/>
              </w:rPr>
              <w:t>Large-Scale Optical</w:t>
            </w:r>
          </w:p>
        </w:tc>
        <w:tc>
          <w:tcPr>
            <w:tcW w:w="180" w:type="dxa"/>
            <w:vAlign w:val="bottom"/>
          </w:tcPr>
          <w:p>
            <w:pPr>
              <w:spacing w:after="0"/>
              <w:rPr>
                <w:sz w:val="19"/>
                <w:szCs w:val="19"/>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4,663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5,991</w:t>
            </w:r>
          </w:p>
        </w:tc>
        <w:tc>
          <w:tcPr>
            <w:tcW w:w="1160" w:type="dxa"/>
            <w:vAlign w:val="bottom"/>
            <w:gridSpan w:val="2"/>
          </w:tcPr>
          <w:p>
            <w:pPr>
              <w:jc w:val="right"/>
              <w:ind w:right="108"/>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10,188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12,489</w:t>
            </w:r>
          </w:p>
        </w:tc>
        <w:tc>
          <w:tcPr>
            <w:tcW w:w="1140" w:type="dxa"/>
            <w:vAlign w:val="bottom"/>
            <w:gridSpan w:val="2"/>
          </w:tcPr>
          <w:p>
            <w:pPr>
              <w:jc w:val="right"/>
              <w:ind w:right="108"/>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Corporate and other*</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(6,123)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(6,378)</w:t>
            </w:r>
          </w:p>
        </w:tc>
        <w:tc>
          <w:tcPr>
            <w:tcW w:w="11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(13,751)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(11,421)</w:t>
            </w:r>
          </w:p>
        </w:tc>
        <w:tc>
          <w:tcPr>
            <w:tcW w:w="11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3"/>
        </w:trPr>
        <w:tc>
          <w:tcPr>
            <w:tcW w:w="2820" w:type="dxa"/>
            <w:vAlign w:val="bottom"/>
            <w:gridSpan w:val="2"/>
          </w:tcPr>
          <w:p>
            <w:pPr>
              <w:ind w:left="48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40,553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32,072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26.4 %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74,320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65,288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operating margin</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gridSpan w:val="2"/>
          </w:tcPr>
          <w:p>
            <w:pPr>
              <w:ind w:left="220"/>
              <w:spacing w:after="0"/>
              <w:rPr>
                <w:sz w:val="20"/>
                <w:szCs w:val="20"/>
                <w:color w:val="auto"/>
              </w:rPr>
            </w:pPr>
            <w:r>
              <w:rPr>
                <w:rFonts w:ascii="Arial" w:cs="Arial" w:eastAsia="Arial" w:hAnsi="Arial"/>
                <w:sz w:val="18"/>
                <w:szCs w:val="18"/>
                <w:color w:val="auto"/>
              </w:rPr>
              <w:t>Architectural Framing Systems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13.1 %</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Architectural Glass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18.5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gridSpan w:val="2"/>
          </w:tcPr>
          <w:p>
            <w:pPr>
              <w:ind w:left="220"/>
              <w:spacing w:after="0"/>
              <w:rPr>
                <w:sz w:val="20"/>
                <w:szCs w:val="20"/>
                <w:color w:val="auto"/>
              </w:rPr>
            </w:pPr>
            <w:r>
              <w:rPr>
                <w:rFonts w:ascii="Arial" w:cs="Arial" w:eastAsia="Arial" w:hAnsi="Arial"/>
                <w:sz w:val="18"/>
                <w:szCs w:val="18"/>
                <w:color w:val="auto"/>
              </w:rPr>
              <w:t>Architectural Services</w:t>
            </w:r>
          </w:p>
        </w:tc>
        <w:tc>
          <w:tcPr>
            <w:tcW w:w="180" w:type="dxa"/>
            <w:vAlign w:val="bottom"/>
          </w:tcPr>
          <w:p>
            <w:pPr>
              <w:spacing w:after="0"/>
              <w:rPr>
                <w:sz w:val="19"/>
                <w:szCs w:val="19"/>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Large-Scale Optical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gridSpan w:val="2"/>
          </w:tcPr>
          <w:p>
            <w:pPr>
              <w:ind w:left="220"/>
              <w:spacing w:after="0"/>
              <w:rPr>
                <w:sz w:val="20"/>
                <w:szCs w:val="20"/>
                <w:color w:val="auto"/>
              </w:rPr>
            </w:pPr>
            <w:r>
              <w:rPr>
                <w:rFonts w:ascii="Arial" w:cs="Arial" w:eastAsia="Arial" w:hAnsi="Arial"/>
                <w:sz w:val="18"/>
                <w:szCs w:val="18"/>
                <w:color w:val="auto"/>
              </w:rPr>
              <w:t>Corporate and other</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4"/>
          <w:szCs w:val="14"/>
          <w:color w:val="auto"/>
        </w:rPr>
        <w:t>N/M Indicates calculation not meaningful.</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Framing Systems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Second Quarter Fiscal 2024 to Second Quarter Fiscal 2023</w:t>
      </w:r>
    </w:p>
    <w:p>
      <w:pPr>
        <w:ind w:left="640" w:hanging="308"/>
        <w:spacing w:after="0" w:line="234" w:lineRule="auto"/>
        <w:tabs>
          <w:tab w:leader="none" w:pos="640" w:val="left"/>
        </w:tabs>
        <w:numPr>
          <w:ilvl w:val="0"/>
          <w:numId w:val="18"/>
        </w:numPr>
        <w:rPr>
          <w:rFonts w:ascii="Arial" w:cs="Arial" w:eastAsia="Arial" w:hAnsi="Arial"/>
          <w:sz w:val="20"/>
          <w:szCs w:val="20"/>
          <w:b w:val="1"/>
          <w:bCs w:val="1"/>
          <w:color w:val="auto"/>
        </w:rPr>
      </w:pPr>
      <w:r>
        <w:rPr>
          <w:rFonts w:ascii="Arial" w:cs="Arial" w:eastAsia="Arial" w:hAnsi="Arial"/>
          <w:sz w:val="18"/>
          <w:szCs w:val="18"/>
          <w:color w:val="auto"/>
        </w:rPr>
        <w:t>Net sales decreased $14.1 million, or 8.1%, primarily reflecting lower volume, partially offset by a more favorable sales mix.</w:t>
      </w:r>
    </w:p>
    <w:p>
      <w:pPr>
        <w:spacing w:after="0" w:line="256" w:lineRule="exact"/>
        <w:rPr>
          <w:rFonts w:ascii="Arial" w:cs="Arial" w:eastAsia="Arial" w:hAnsi="Arial"/>
          <w:sz w:val="20"/>
          <w:szCs w:val="20"/>
          <w:b w:val="1"/>
          <w:bCs w:val="1"/>
          <w:color w:val="auto"/>
        </w:rPr>
      </w:pPr>
    </w:p>
    <w:p>
      <w:pPr>
        <w:ind w:left="660" w:hanging="328"/>
        <w:spacing w:after="0" w:line="266" w:lineRule="auto"/>
        <w:tabs>
          <w:tab w:leader="none" w:pos="651" w:val="left"/>
        </w:tabs>
        <w:numPr>
          <w:ilvl w:val="0"/>
          <w:numId w:val="18"/>
        </w:numPr>
        <w:rPr>
          <w:rFonts w:ascii="Arial" w:cs="Arial" w:eastAsia="Arial" w:hAnsi="Arial"/>
          <w:sz w:val="20"/>
          <w:szCs w:val="20"/>
          <w:b w:val="1"/>
          <w:bCs w:val="1"/>
          <w:color w:val="auto"/>
        </w:rPr>
      </w:pPr>
      <w:r>
        <w:rPr>
          <w:rFonts w:ascii="Arial" w:cs="Arial" w:eastAsia="Arial" w:hAnsi="Arial"/>
          <w:sz w:val="18"/>
          <w:szCs w:val="18"/>
          <w:color w:val="auto"/>
        </w:rPr>
        <w:t>Operating income increased to $21.1 million, or 13.3% of net sales, compared to $20.5 million, or 11.9% of net sales. The operating margin improvement was primarily driven by improved sales mix and cost efficiencies, partially offset by the impact of lower volume.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First Six Months of Fiscal 2024 to First Six Months of Fiscal 2023</w:t>
      </w:r>
    </w:p>
    <w:p>
      <w:pPr>
        <w:spacing w:after="0" w:line="12"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6"/>
          <w:szCs w:val="16"/>
          <w:color w:val="auto"/>
        </w:rPr>
        <w:t>Net sales decreased $13.2 million, or 3.9%, primarily reflecting lower volume, partially offset by more favorable sales mix and improved pricing.</w:t>
      </w:r>
    </w:p>
    <w:p>
      <w:pPr>
        <w:spacing w:after="0" w:line="263" w:lineRule="exact"/>
        <w:rPr>
          <w:rFonts w:ascii="Arial" w:cs="Arial" w:eastAsia="Arial" w:hAnsi="Arial"/>
          <w:sz w:val="18"/>
          <w:szCs w:val="18"/>
          <w:b w:val="1"/>
          <w:bCs w:val="1"/>
          <w:color w:val="auto"/>
        </w:rPr>
      </w:pPr>
    </w:p>
    <w:p>
      <w:pPr>
        <w:jc w:val="both"/>
        <w:ind w:left="660" w:hanging="328"/>
        <w:spacing w:after="0" w:line="262" w:lineRule="auto"/>
        <w:tabs>
          <w:tab w:leader="none" w:pos="651" w:val="left"/>
        </w:tabs>
        <w:numPr>
          <w:ilvl w:val="0"/>
          <w:numId w:val="19"/>
        </w:numPr>
        <w:rPr>
          <w:rFonts w:ascii="Arial" w:cs="Arial" w:eastAsia="Arial" w:hAnsi="Arial"/>
          <w:sz w:val="19"/>
          <w:szCs w:val="19"/>
          <w:b w:val="1"/>
          <w:bCs w:val="1"/>
          <w:color w:val="auto"/>
        </w:rPr>
      </w:pPr>
      <w:r>
        <w:rPr>
          <w:rFonts w:ascii="Arial" w:cs="Arial" w:eastAsia="Arial" w:hAnsi="Arial"/>
          <w:sz w:val="17"/>
          <w:szCs w:val="17"/>
          <w:color w:val="auto"/>
        </w:rPr>
        <w:t>Operating income decreased to $41.0 million, or 12.7% of net sales, compared to $44.2 million, or 13.1% of net sales. The operating margin decline was primarily driven by the impact of lower volume, as well as the unfavorable comparative impact of timing of inventory flows and aluminum prices in the prior year period. These items were partially offset by improved sales mix, favorable pricing and cost efficiencies.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Glass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Second Quarter Fiscal 2024 to Second Quarter Fiscal 2023</w:t>
      </w:r>
    </w:p>
    <w:p>
      <w:pPr>
        <w:spacing w:after="0" w:line="11" w:lineRule="exact"/>
        <w:rPr>
          <w:sz w:val="20"/>
          <w:szCs w:val="20"/>
          <w:color w:val="auto"/>
        </w:rPr>
      </w:pPr>
    </w:p>
    <w:p>
      <w:pPr>
        <w:ind w:left="660" w:hanging="328"/>
        <w:spacing w:after="0" w:line="236" w:lineRule="auto"/>
        <w:tabs>
          <w:tab w:leader="none" w:pos="651" w:val="left"/>
        </w:tabs>
        <w:numPr>
          <w:ilvl w:val="0"/>
          <w:numId w:val="20"/>
        </w:numPr>
        <w:rPr>
          <w:rFonts w:ascii="Arial" w:cs="Arial" w:eastAsia="Arial" w:hAnsi="Arial"/>
          <w:sz w:val="20"/>
          <w:szCs w:val="20"/>
          <w:b w:val="1"/>
          <w:bCs w:val="1"/>
          <w:color w:val="auto"/>
        </w:rPr>
      </w:pPr>
      <w:r>
        <w:rPr>
          <w:rFonts w:ascii="Arial" w:cs="Arial" w:eastAsia="Arial" w:hAnsi="Arial"/>
          <w:sz w:val="18"/>
          <w:szCs w:val="18"/>
          <w:color w:val="auto"/>
        </w:rPr>
        <w:t>Net sales increased $16.7 million, or 21.6%, primarily driven by improved pricing and mix, reflecting the strategic shift to emphasize premium, high performance products, as well as higher volume.</w:t>
      </w:r>
    </w:p>
    <w:p>
      <w:pPr>
        <w:spacing w:after="0" w:line="229" w:lineRule="exact"/>
        <w:rPr>
          <w:rFonts w:ascii="Arial" w:cs="Arial" w:eastAsia="Arial" w:hAnsi="Arial"/>
          <w:sz w:val="20"/>
          <w:szCs w:val="20"/>
          <w:b w:val="1"/>
          <w:bCs w:val="1"/>
          <w:color w:val="auto"/>
        </w:rPr>
      </w:pPr>
    </w:p>
    <w:p>
      <w:pPr>
        <w:ind w:left="660" w:hanging="328"/>
        <w:spacing w:after="0" w:line="296" w:lineRule="auto"/>
        <w:tabs>
          <w:tab w:leader="none" w:pos="651" w:val="left"/>
        </w:tabs>
        <w:numPr>
          <w:ilvl w:val="0"/>
          <w:numId w:val="20"/>
        </w:numPr>
        <w:rPr>
          <w:rFonts w:ascii="Arial" w:cs="Arial" w:eastAsia="Arial" w:hAnsi="Arial"/>
          <w:sz w:val="19"/>
          <w:szCs w:val="19"/>
          <w:b w:val="1"/>
          <w:bCs w:val="1"/>
          <w:color w:val="auto"/>
        </w:rPr>
      </w:pPr>
      <w:r>
        <w:rPr>
          <w:rFonts w:ascii="Arial" w:cs="Arial" w:eastAsia="Arial" w:hAnsi="Arial"/>
          <w:sz w:val="17"/>
          <w:szCs w:val="17"/>
          <w:color w:val="auto"/>
        </w:rPr>
        <w:t>Operating income increased to $17.4 million, or 18.5% of net sales, compared to $6.5 million, or 8.3% of net sales. The operating margin improvement was primarily driven by the impact of improved pricing and mix, as well as higher volume, partially offset by cost inflation.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First Six Months of Fiscal 2024 to First Six Months of Fiscal 2023</w:t>
      </w:r>
    </w:p>
    <w:p>
      <w:pPr>
        <w:spacing w:after="0" w:line="12" w:lineRule="exact"/>
        <w:rPr>
          <w:sz w:val="20"/>
          <w:szCs w:val="20"/>
          <w:color w:val="auto"/>
        </w:rPr>
      </w:pPr>
    </w:p>
    <w:p>
      <w:pPr>
        <w:ind w:left="660" w:hanging="328"/>
        <w:spacing w:after="0" w:line="236" w:lineRule="auto"/>
        <w:tabs>
          <w:tab w:leader="none" w:pos="651" w:val="left"/>
        </w:tabs>
        <w:numPr>
          <w:ilvl w:val="0"/>
          <w:numId w:val="21"/>
        </w:numPr>
        <w:rPr>
          <w:rFonts w:ascii="Arial" w:cs="Arial" w:eastAsia="Arial" w:hAnsi="Arial"/>
          <w:sz w:val="20"/>
          <w:szCs w:val="20"/>
          <w:b w:val="1"/>
          <w:bCs w:val="1"/>
          <w:color w:val="auto"/>
        </w:rPr>
      </w:pPr>
      <w:r>
        <w:rPr>
          <w:rFonts w:ascii="Arial" w:cs="Arial" w:eastAsia="Arial" w:hAnsi="Arial"/>
          <w:sz w:val="18"/>
          <w:szCs w:val="18"/>
          <w:color w:val="auto"/>
        </w:rPr>
        <w:t>Net sales increased $37.7 million, or 24.5%, driven by improved pricing, a more favorable sales mix, and higher volume, reflecting the segment's strategic shift to emphasize premium, high-performance products.</w:t>
      </w:r>
    </w:p>
    <w:p>
      <w:pPr>
        <w:spacing w:after="0" w:line="242" w:lineRule="exact"/>
        <w:rPr>
          <w:rFonts w:ascii="Arial" w:cs="Arial" w:eastAsia="Arial" w:hAnsi="Arial"/>
          <w:sz w:val="20"/>
          <w:szCs w:val="20"/>
          <w:b w:val="1"/>
          <w:bCs w:val="1"/>
          <w:color w:val="auto"/>
        </w:rPr>
      </w:pPr>
    </w:p>
    <w:p>
      <w:pPr>
        <w:ind w:left="660" w:right="20" w:hanging="328"/>
        <w:spacing w:after="0" w:line="279" w:lineRule="auto"/>
        <w:tabs>
          <w:tab w:leader="none" w:pos="651" w:val="left"/>
        </w:tabs>
        <w:numPr>
          <w:ilvl w:val="0"/>
          <w:numId w:val="21"/>
        </w:numPr>
        <w:rPr>
          <w:rFonts w:ascii="Arial" w:cs="Arial" w:eastAsia="Arial" w:hAnsi="Arial"/>
          <w:sz w:val="19"/>
          <w:szCs w:val="19"/>
          <w:b w:val="1"/>
          <w:bCs w:val="1"/>
          <w:color w:val="auto"/>
        </w:rPr>
      </w:pPr>
      <w:r>
        <w:rPr>
          <w:rFonts w:ascii="Arial" w:cs="Arial" w:eastAsia="Arial" w:hAnsi="Arial"/>
          <w:sz w:val="17"/>
          <w:szCs w:val="17"/>
          <w:color w:val="auto"/>
        </w:rPr>
        <w:t>Operating income increased to $34.0 million, or 17.7% of net sales, compared to $11.6 million, or 7.6% of net sales. The operating margin improvement was primarily driven by the improved pricing and mix and the impact of higher volume, partially offset by cost inflation.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Services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Second Quarter Fiscal 2024 to Second Quarter Fiscal 2023</w:t>
      </w:r>
    </w:p>
    <w:p>
      <w:pPr>
        <w:ind w:left="660" w:hanging="328"/>
        <w:spacing w:after="0" w:line="236" w:lineRule="auto"/>
        <w:tabs>
          <w:tab w:leader="none" w:pos="651" w:val="left"/>
        </w:tabs>
        <w:numPr>
          <w:ilvl w:val="0"/>
          <w:numId w:val="22"/>
        </w:numPr>
        <w:rPr>
          <w:rFonts w:ascii="Arial" w:cs="Arial" w:eastAsia="Arial" w:hAnsi="Arial"/>
          <w:sz w:val="20"/>
          <w:szCs w:val="20"/>
          <w:b w:val="1"/>
          <w:bCs w:val="1"/>
          <w:color w:val="auto"/>
        </w:rPr>
      </w:pPr>
      <w:r>
        <w:rPr>
          <w:rFonts w:ascii="Arial" w:cs="Arial" w:eastAsia="Arial" w:hAnsi="Arial"/>
          <w:sz w:val="18"/>
          <w:szCs w:val="18"/>
          <w:color w:val="auto"/>
        </w:rPr>
        <w:t>Net sales decreased $18.7 million, or 17.5%, primarily reflecting lower project volume due to a higher mix of projects in earlier stages of completion.</w:t>
      </w:r>
    </w:p>
    <w:p>
      <w:pPr>
        <w:spacing w:after="0" w:line="215" w:lineRule="exact"/>
        <w:rPr>
          <w:rFonts w:ascii="Arial" w:cs="Arial" w:eastAsia="Arial" w:hAnsi="Arial"/>
          <w:sz w:val="20"/>
          <w:szCs w:val="20"/>
          <w:b w:val="1"/>
          <w:bCs w:val="1"/>
          <w:color w:val="auto"/>
        </w:rPr>
      </w:pPr>
    </w:p>
    <w:p>
      <w:pPr>
        <w:ind w:left="660" w:hanging="328"/>
        <w:spacing w:after="0" w:line="250" w:lineRule="auto"/>
        <w:tabs>
          <w:tab w:leader="none" w:pos="651" w:val="left"/>
        </w:tabs>
        <w:numPr>
          <w:ilvl w:val="0"/>
          <w:numId w:val="22"/>
        </w:numPr>
        <w:rPr>
          <w:rFonts w:ascii="Arial" w:cs="Arial" w:eastAsia="Arial" w:hAnsi="Arial"/>
          <w:sz w:val="20"/>
          <w:szCs w:val="20"/>
          <w:b w:val="1"/>
          <w:bCs w:val="1"/>
          <w:color w:val="auto"/>
        </w:rPr>
      </w:pPr>
      <w:r>
        <w:rPr>
          <w:rFonts w:ascii="Arial" w:cs="Arial" w:eastAsia="Arial" w:hAnsi="Arial"/>
          <w:sz w:val="18"/>
          <w:szCs w:val="18"/>
          <w:color w:val="auto"/>
        </w:rPr>
        <w:t>Operating income was $3.5 million, or 4.0% of net sales, compared to $5.5 million, or 5.1% of net sales. The decline in operating margin was primarily driven by the impact of lower project volume.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First Six Months of Fiscal 2024 to First Six Months of Fiscal 2023</w:t>
      </w:r>
    </w:p>
    <w:p>
      <w:pPr>
        <w:spacing w:after="0" w:line="12" w:lineRule="exact"/>
        <w:rPr>
          <w:sz w:val="20"/>
          <w:szCs w:val="20"/>
          <w:color w:val="auto"/>
        </w:rPr>
      </w:pPr>
    </w:p>
    <w:p>
      <w:pPr>
        <w:ind w:left="660" w:hanging="328"/>
        <w:spacing w:after="0" w:line="236" w:lineRule="auto"/>
        <w:tabs>
          <w:tab w:leader="none" w:pos="651" w:val="left"/>
        </w:tabs>
        <w:numPr>
          <w:ilvl w:val="0"/>
          <w:numId w:val="23"/>
        </w:numPr>
        <w:rPr>
          <w:rFonts w:ascii="Arial" w:cs="Arial" w:eastAsia="Arial" w:hAnsi="Arial"/>
          <w:sz w:val="20"/>
          <w:szCs w:val="20"/>
          <w:b w:val="1"/>
          <w:bCs w:val="1"/>
          <w:color w:val="auto"/>
        </w:rPr>
      </w:pPr>
      <w:r>
        <w:rPr>
          <w:rFonts w:ascii="Arial" w:cs="Arial" w:eastAsia="Arial" w:hAnsi="Arial"/>
          <w:sz w:val="18"/>
          <w:szCs w:val="18"/>
          <w:color w:val="auto"/>
        </w:rPr>
        <w:t>Net sales decreased $32.6 million, or 15.5%, primarily reflecting lower project volume due to a higher mix of projects in earlier stages of completion.</w:t>
      </w:r>
    </w:p>
    <w:p>
      <w:pPr>
        <w:spacing w:after="0" w:line="215" w:lineRule="exact"/>
        <w:rPr>
          <w:rFonts w:ascii="Arial" w:cs="Arial" w:eastAsia="Arial" w:hAnsi="Arial"/>
          <w:sz w:val="20"/>
          <w:szCs w:val="20"/>
          <w:b w:val="1"/>
          <w:bCs w:val="1"/>
          <w:color w:val="auto"/>
        </w:rPr>
      </w:pPr>
    </w:p>
    <w:p>
      <w:pPr>
        <w:ind w:left="660" w:hanging="328"/>
        <w:spacing w:after="0" w:line="250" w:lineRule="auto"/>
        <w:tabs>
          <w:tab w:leader="none" w:pos="651" w:val="left"/>
        </w:tabs>
        <w:numPr>
          <w:ilvl w:val="0"/>
          <w:numId w:val="23"/>
        </w:numPr>
        <w:rPr>
          <w:rFonts w:ascii="Arial" w:cs="Arial" w:eastAsia="Arial" w:hAnsi="Arial"/>
          <w:sz w:val="20"/>
          <w:szCs w:val="20"/>
          <w:b w:val="1"/>
          <w:bCs w:val="1"/>
          <w:color w:val="auto"/>
        </w:rPr>
      </w:pPr>
      <w:r>
        <w:rPr>
          <w:rFonts w:ascii="Arial" w:cs="Arial" w:eastAsia="Arial" w:hAnsi="Arial"/>
          <w:sz w:val="18"/>
          <w:szCs w:val="18"/>
          <w:color w:val="auto"/>
        </w:rPr>
        <w:t>Operating income was $2.9 million, or 1.6% of net sales, compared to $8.4 million, or 4.0% of net sales. The decline in operating margin was primarily due to the impact of lower project volume.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Large-Scale Optical (LSO)</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Second Quarter Fiscal 2024 to Second Quarter Fiscal 2023</w:t>
      </w:r>
    </w:p>
    <w:p>
      <w:pPr>
        <w:ind w:left="660" w:hanging="328"/>
        <w:spacing w:after="0" w:line="247" w:lineRule="auto"/>
        <w:tabs>
          <w:tab w:leader="none" w:pos="651" w:val="left"/>
        </w:tabs>
        <w:numPr>
          <w:ilvl w:val="0"/>
          <w:numId w:val="24"/>
        </w:numPr>
        <w:rPr>
          <w:rFonts w:ascii="Arial" w:cs="Arial" w:eastAsia="Arial" w:hAnsi="Arial"/>
          <w:sz w:val="20"/>
          <w:szCs w:val="20"/>
          <w:b w:val="1"/>
          <w:bCs w:val="1"/>
          <w:color w:val="auto"/>
        </w:rPr>
      </w:pPr>
      <w:r>
        <w:rPr>
          <w:rFonts w:ascii="Arial" w:cs="Arial" w:eastAsia="Arial" w:hAnsi="Arial"/>
          <w:sz w:val="18"/>
          <w:szCs w:val="18"/>
          <w:color w:val="auto"/>
        </w:rPr>
        <w:t>LSO net sales decreased $1.5 million, or 6.0%, primarily reflecting lower volume driven by customer inventory destocking, partially offset by a more favorable mix.</w:t>
      </w:r>
    </w:p>
    <w:p>
      <w:pPr>
        <w:spacing w:after="0" w:line="209" w:lineRule="exact"/>
        <w:rPr>
          <w:rFonts w:ascii="Arial" w:cs="Arial" w:eastAsia="Arial" w:hAnsi="Arial"/>
          <w:sz w:val="20"/>
          <w:szCs w:val="20"/>
          <w:b w:val="1"/>
          <w:bCs w:val="1"/>
          <w:color w:val="auto"/>
        </w:rPr>
      </w:pPr>
    </w:p>
    <w:p>
      <w:pPr>
        <w:ind w:left="660" w:right="20" w:hanging="328"/>
        <w:spacing w:after="0" w:line="250" w:lineRule="auto"/>
        <w:tabs>
          <w:tab w:leader="none" w:pos="651" w:val="left"/>
        </w:tabs>
        <w:numPr>
          <w:ilvl w:val="0"/>
          <w:numId w:val="24"/>
        </w:numPr>
        <w:rPr>
          <w:rFonts w:ascii="Arial" w:cs="Arial" w:eastAsia="Arial" w:hAnsi="Arial"/>
          <w:sz w:val="20"/>
          <w:szCs w:val="20"/>
          <w:b w:val="1"/>
          <w:bCs w:val="1"/>
          <w:color w:val="auto"/>
        </w:rPr>
      </w:pPr>
      <w:r>
        <w:rPr>
          <w:rFonts w:ascii="Arial" w:cs="Arial" w:eastAsia="Arial" w:hAnsi="Arial"/>
          <w:sz w:val="18"/>
          <w:szCs w:val="18"/>
          <w:color w:val="auto"/>
        </w:rPr>
        <w:t>Operating income was $4.7 million, or 19.7% of net sales, compared to $6.0 million, or 23.8% of net sales. The decline in operating margin was primarily driven by the impact of lower volume, partially offset by improved price and mix.</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First Six Months of Fiscal 2024 to First Six Months of Fiscal 2023</w:t>
      </w:r>
    </w:p>
    <w:p>
      <w:pPr>
        <w:spacing w:after="0" w:line="12" w:lineRule="exact"/>
        <w:rPr>
          <w:sz w:val="20"/>
          <w:szCs w:val="20"/>
          <w:color w:val="auto"/>
        </w:rPr>
      </w:pPr>
    </w:p>
    <w:p>
      <w:pPr>
        <w:ind w:left="660" w:hanging="328"/>
        <w:spacing w:after="0" w:line="247" w:lineRule="auto"/>
        <w:tabs>
          <w:tab w:leader="none" w:pos="651" w:val="left"/>
        </w:tabs>
        <w:numPr>
          <w:ilvl w:val="0"/>
          <w:numId w:val="25"/>
        </w:numPr>
        <w:rPr>
          <w:rFonts w:ascii="Arial" w:cs="Arial" w:eastAsia="Arial" w:hAnsi="Arial"/>
          <w:sz w:val="20"/>
          <w:szCs w:val="20"/>
          <w:b w:val="1"/>
          <w:bCs w:val="1"/>
          <w:color w:val="auto"/>
        </w:rPr>
      </w:pPr>
      <w:r>
        <w:rPr>
          <w:rFonts w:ascii="Arial" w:cs="Arial" w:eastAsia="Arial" w:hAnsi="Arial"/>
          <w:sz w:val="18"/>
          <w:szCs w:val="18"/>
          <w:color w:val="auto"/>
        </w:rPr>
        <w:t>LSO net sales decreased $4.2 million, or 8.4%, primarily reflecting lower volume due to customer inventory destocking, partially offset by a more favorable mix.</w:t>
      </w:r>
    </w:p>
    <w:p>
      <w:pPr>
        <w:spacing w:after="0" w:line="209" w:lineRule="exact"/>
        <w:rPr>
          <w:rFonts w:ascii="Arial" w:cs="Arial" w:eastAsia="Arial" w:hAnsi="Arial"/>
          <w:sz w:val="20"/>
          <w:szCs w:val="20"/>
          <w:b w:val="1"/>
          <w:bCs w:val="1"/>
          <w:color w:val="auto"/>
        </w:rPr>
      </w:pPr>
    </w:p>
    <w:p>
      <w:pPr>
        <w:ind w:left="660" w:hanging="328"/>
        <w:spacing w:after="0" w:line="250" w:lineRule="auto"/>
        <w:tabs>
          <w:tab w:leader="none" w:pos="651" w:val="left"/>
        </w:tabs>
        <w:numPr>
          <w:ilvl w:val="0"/>
          <w:numId w:val="25"/>
        </w:numPr>
        <w:rPr>
          <w:rFonts w:ascii="Arial" w:cs="Arial" w:eastAsia="Arial" w:hAnsi="Arial"/>
          <w:sz w:val="20"/>
          <w:szCs w:val="20"/>
          <w:b w:val="1"/>
          <w:bCs w:val="1"/>
          <w:color w:val="auto"/>
        </w:rPr>
      </w:pPr>
      <w:r>
        <w:rPr>
          <w:rFonts w:ascii="Arial" w:cs="Arial" w:eastAsia="Arial" w:hAnsi="Arial"/>
          <w:sz w:val="18"/>
          <w:szCs w:val="18"/>
          <w:color w:val="auto"/>
        </w:rPr>
        <w:t>Operating income was $10.2 million, or 22.1% of net sales, compared to $12.5 million, or 24.8% of net sales. The decline in operating margin was primarily driven by the impact of lower volume, partially offset by improved price and mix.</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Second Quarter Fiscal 2024 to Second Quarter Fiscal 2023</w:t>
      </w:r>
    </w:p>
    <w:p>
      <w:pPr>
        <w:ind w:left="640" w:hanging="308"/>
        <w:spacing w:after="0" w:line="223" w:lineRule="auto"/>
        <w:tabs>
          <w:tab w:leader="none" w:pos="640" w:val="left"/>
        </w:tabs>
        <w:numPr>
          <w:ilvl w:val="0"/>
          <w:numId w:val="26"/>
        </w:numPr>
        <w:rPr>
          <w:rFonts w:ascii="Arial" w:cs="Arial" w:eastAsia="Arial" w:hAnsi="Arial"/>
          <w:sz w:val="20"/>
          <w:szCs w:val="20"/>
          <w:b w:val="1"/>
          <w:bCs w:val="1"/>
          <w:color w:val="auto"/>
        </w:rPr>
      </w:pPr>
      <w:r>
        <w:rPr>
          <w:rFonts w:ascii="Arial" w:cs="Arial" w:eastAsia="Arial" w:hAnsi="Arial"/>
          <w:sz w:val="18"/>
          <w:szCs w:val="18"/>
          <w:color w:val="auto"/>
        </w:rPr>
        <w:t>Our corporate and other expense was $6.1 million, compared to $6.4 million.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First Six Months of Fiscal 2024 to First Six Months of Fiscal 2023</w:t>
      </w:r>
    </w:p>
    <w:p>
      <w:pPr>
        <w:spacing w:after="0" w:line="12" w:lineRule="exact"/>
        <w:rPr>
          <w:sz w:val="20"/>
          <w:szCs w:val="20"/>
          <w:color w:val="auto"/>
        </w:rPr>
      </w:pPr>
    </w:p>
    <w:p>
      <w:pPr>
        <w:ind w:left="660" w:hanging="328"/>
        <w:spacing w:after="0" w:line="236" w:lineRule="auto"/>
        <w:tabs>
          <w:tab w:leader="none" w:pos="651" w:val="left"/>
        </w:tabs>
        <w:numPr>
          <w:ilvl w:val="0"/>
          <w:numId w:val="27"/>
        </w:numPr>
        <w:rPr>
          <w:rFonts w:ascii="Arial" w:cs="Arial" w:eastAsia="Arial" w:hAnsi="Arial"/>
          <w:sz w:val="20"/>
          <w:szCs w:val="20"/>
          <w:b w:val="1"/>
          <w:bCs w:val="1"/>
          <w:color w:val="auto"/>
        </w:rPr>
      </w:pPr>
      <w:r>
        <w:rPr>
          <w:rFonts w:ascii="Arial" w:cs="Arial" w:eastAsia="Arial" w:hAnsi="Arial"/>
          <w:sz w:val="18"/>
          <w:szCs w:val="18"/>
          <w:color w:val="auto"/>
        </w:rPr>
        <w:t>Our corporate and other expense increased to $13.8 million, compared to $11.4 million, primarily due to an increase in compensation expense and higher consulting costs.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Backlog represents the dollar amount of signed contracts or firm orders, generally as a result of a competitive bidding process, which may be expected to be recognized as revenue in the future. Backlog is not a term defined under U.S. GAAP and is not a measure of contract profitability. We view backlog as one indicator of future revenues, particularly in our longer-lead time businesses. In addition to backlog, we have a substantial amount of projects with short lead times that book-and-bill within the same reporting period and are not included in backlog. We also have visibility into future business commitments beyond backlog, as projects awarded, verbal commitments and bidding activities are not included in backlog.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Architectural Framing Systems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As of August 26, 2023, segment backlog was approximately $197 million, compared to approximately $221 million at the end of the prior quarter, and to approximately $286 million at the end of the second quarter of fiscal 2023. The reduction in backlog was primarily driven by a decline in our longer-cycle business, reflecting delays in award activity, and a continued strategic shift toward projects that allow for more attractive margins.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Architectural Services</w:t>
      </w:r>
    </w:p>
    <w:p>
      <w:pPr>
        <w:spacing w:after="0" w:line="2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of August 26, 2023, segment backlog was approximately $674 million, compared to approximately $709 million at the end of the prior quarter, and to approximately $785 million at the end of the second quarter of fiscal 2023. The decline was primarily driven by delays in award activity.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diluted EPS, adjusted net earnings (non-GAAP), and adjusted diluted EPS (non-GAAP)</w:t>
      </w:r>
    </w:p>
    <w:p>
      <w:pPr>
        <w:spacing w:after="0" w:line="27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order to provide a better understanding of the impact of certain items on our net earnings and diluted EPS, the tables that follow report the comparative impact of certain items on net earnings and diluted EPS for the periods presented below. Adjusted net earnings and adjusted diluted EPS are considered non-GAAP financial measures as contemplated by SEC Regulation G, Rule 100. For additional information regarding management’s decision to present this non-GAAP financial information, see the introduction to this Item 2., “Management’s Discussion and Analysis of Financial Condition and Results of Operations.”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4"/>
          </w:tcPr>
          <w:p>
            <w:pPr>
              <w:jc w:val="right"/>
              <w:ind w:right="56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8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3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1"/>
              </w:rPr>
              <w:t>August 26, 2023</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1"/>
              </w:rPr>
              <w:t>August 27, 2022</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1"/>
              </w:rPr>
              <w:t>August 26, 2023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1"/>
              </w:rPr>
              <w:t>August 27, 2022</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33,327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37,389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60,120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NMTC settlement gain</w:t>
            </w:r>
            <w:r>
              <w:rPr>
                <w:rFonts w:ascii="Arial" w:cs="Arial" w:eastAsia="Arial" w:hAnsi="Arial"/>
                <w:sz w:val="21"/>
                <w:szCs w:val="21"/>
                <w:color w:val="auto"/>
                <w:vertAlign w:val="superscript"/>
              </w:rPr>
              <w:t>(1)</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w w:val="98"/>
              </w:rPr>
              <w:t>Worthless stock deduction and related discrete tax</w:t>
            </w: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(13,702)</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(13,702)</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benefits</w:t>
            </w:r>
            <w:r>
              <w:rPr>
                <w:rFonts w:ascii="Arial" w:cs="Arial" w:eastAsia="Arial" w:hAnsi="Arial"/>
                <w:sz w:val="21"/>
                <w:szCs w:val="21"/>
                <w:color w:val="auto"/>
                <w:vertAlign w:val="superscript"/>
              </w:rPr>
              <w:t>(2)</w:t>
            </w: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 impact on above adjustments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1,148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Adjusted net earnings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29,788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23,687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25.8 %</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53,364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46,418</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15.0 %</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4"/>
          </w:tcPr>
          <w:p>
            <w:pPr>
              <w:jc w:val="right"/>
              <w:ind w:right="56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8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34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1"/>
              </w:rPr>
              <w:t>August 26, 2023</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1"/>
              </w:rPr>
              <w:t>August 27, 2022</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1"/>
              </w:rPr>
              <w:t>August 26, 2023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1"/>
              </w:rPr>
              <w:t>August 27, 2022</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Diluted EPS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NMTC settlement gain</w:t>
            </w:r>
            <w:r>
              <w:rPr>
                <w:rFonts w:ascii="Arial" w:cs="Arial" w:eastAsia="Arial" w:hAnsi="Arial"/>
                <w:sz w:val="21"/>
                <w:szCs w:val="21"/>
                <w:color w:val="auto"/>
                <w:vertAlign w:val="superscript"/>
              </w:rPr>
              <w:t>(1)</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w w:val="98"/>
              </w:rPr>
              <w:t>Worthless stock deduction and related discrete tax</w:t>
            </w: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(0.61)</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benefits</w:t>
            </w:r>
            <w:r>
              <w:rPr>
                <w:rFonts w:ascii="Arial" w:cs="Arial" w:eastAsia="Arial" w:hAnsi="Arial"/>
                <w:sz w:val="21"/>
                <w:szCs w:val="21"/>
                <w:color w:val="auto"/>
                <w:vertAlign w:val="superscript"/>
              </w:rPr>
              <w:t>(2)</w:t>
            </w: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 impact on above adjustments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0.05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Adjusted diluted EPS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28.3 %</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17.0 %</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diluted shares outstanding</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21,962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22,245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22,563</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60" w:hanging="267"/>
        <w:spacing w:after="0"/>
        <w:tabs>
          <w:tab w:leader="none" w:pos="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Realization of a New Market Tax Credit (NMTC) benefit during the second quarter of fiscal 2024, which was recorded in other (income) expense, net.</w:t>
      </w:r>
    </w:p>
    <w:p>
      <w:pPr>
        <w:spacing w:after="0" w:line="41" w:lineRule="exact"/>
        <w:rPr>
          <w:rFonts w:ascii="Arial" w:cs="Arial" w:eastAsia="Arial" w:hAnsi="Arial"/>
          <w:sz w:val="14"/>
          <w:szCs w:val="14"/>
          <w:color w:val="auto"/>
        </w:rPr>
      </w:pPr>
    </w:p>
    <w:p>
      <w:pPr>
        <w:ind w:left="360" w:hanging="267"/>
        <w:spacing w:after="0"/>
        <w:tabs>
          <w:tab w:leader="none" w:pos="3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Worthless stock deduction and related discrete income tax benefits from the impairment of the Sotawall business in fiscal 2023, which were recorded in income tax expense (benefit).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Second Quarter Fiscal 2024 to Second Quarter Fiscal 2023</w:t>
      </w:r>
    </w:p>
    <w:p>
      <w:pPr>
        <w:ind w:left="640" w:hanging="308"/>
        <w:spacing w:after="0" w:line="235" w:lineRule="auto"/>
        <w:tabs>
          <w:tab w:leader="none" w:pos="640" w:val="left"/>
        </w:tabs>
        <w:numPr>
          <w:ilvl w:val="0"/>
          <w:numId w:val="29"/>
        </w:numPr>
        <w:rPr>
          <w:rFonts w:ascii="Arial" w:cs="Arial" w:eastAsia="Arial" w:hAnsi="Arial"/>
          <w:sz w:val="20"/>
          <w:szCs w:val="20"/>
          <w:b w:val="1"/>
          <w:bCs w:val="1"/>
          <w:color w:val="auto"/>
        </w:rPr>
      </w:pPr>
      <w:r>
        <w:rPr>
          <w:rFonts w:ascii="Arial" w:cs="Arial" w:eastAsia="Arial" w:hAnsi="Arial"/>
          <w:sz w:val="18"/>
          <w:szCs w:val="18"/>
          <w:color w:val="auto"/>
        </w:rPr>
        <w:t>Net earnings were $33.3 million, compared to $37.4 million. Diluted EPS was $1.52, compared to $1.68.</w:t>
      </w:r>
    </w:p>
    <w:p>
      <w:pPr>
        <w:ind w:left="660" w:hanging="328"/>
        <w:spacing w:after="0" w:line="249" w:lineRule="auto"/>
        <w:tabs>
          <w:tab w:leader="none" w:pos="651" w:val="left"/>
        </w:tabs>
        <w:numPr>
          <w:ilvl w:val="0"/>
          <w:numId w:val="29"/>
        </w:numPr>
        <w:rPr>
          <w:rFonts w:ascii="Arial" w:cs="Arial" w:eastAsia="Arial" w:hAnsi="Arial"/>
          <w:sz w:val="20"/>
          <w:szCs w:val="20"/>
          <w:b w:val="1"/>
          <w:bCs w:val="1"/>
          <w:color w:val="auto"/>
        </w:rPr>
      </w:pPr>
      <w:r>
        <w:rPr>
          <w:rFonts w:ascii="Arial" w:cs="Arial" w:eastAsia="Arial" w:hAnsi="Arial"/>
          <w:sz w:val="18"/>
          <w:szCs w:val="18"/>
          <w:color w:val="auto"/>
        </w:rPr>
        <w:t>Adjusted net earnings increased 25.8% to $29.8 million, compared to $23.7 million. Adjusted diluted EPS increased 28.3% to $1.36, compared to $1.06.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First Six Months of Fiscal 2024 to First Six Months of Fiscal 2023</w:t>
      </w:r>
    </w:p>
    <w:p>
      <w:pPr>
        <w:spacing w:after="0" w:line="23"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20"/>
          <w:szCs w:val="20"/>
          <w:b w:val="1"/>
          <w:bCs w:val="1"/>
          <w:i w:val="1"/>
          <w:iCs w:val="1"/>
          <w:color w:val="auto"/>
        </w:rPr>
      </w:pPr>
      <w:r>
        <w:rPr>
          <w:rFonts w:ascii="Arial" w:cs="Arial" w:eastAsia="Arial" w:hAnsi="Arial"/>
          <w:sz w:val="18"/>
          <w:szCs w:val="18"/>
          <w:color w:val="auto"/>
        </w:rPr>
        <w:t>Net earnings were $56.9 million, compared to $60.1 million. Diluted EPS was $2.57, compared to $2.66.</w:t>
      </w:r>
    </w:p>
    <w:p>
      <w:pPr>
        <w:ind w:left="660" w:hanging="328"/>
        <w:spacing w:after="0" w:line="265" w:lineRule="auto"/>
        <w:tabs>
          <w:tab w:leader="none" w:pos="651" w:val="left"/>
        </w:tabs>
        <w:numPr>
          <w:ilvl w:val="0"/>
          <w:numId w:val="30"/>
        </w:numPr>
        <w:rPr>
          <w:rFonts w:ascii="Arial" w:cs="Arial" w:eastAsia="Arial" w:hAnsi="Arial"/>
          <w:sz w:val="20"/>
          <w:szCs w:val="20"/>
          <w:b w:val="1"/>
          <w:bCs w:val="1"/>
          <w:i w:val="1"/>
          <w:iCs w:val="1"/>
          <w:color w:val="auto"/>
        </w:rPr>
      </w:pPr>
      <w:r>
        <w:rPr>
          <w:rFonts w:ascii="Arial" w:cs="Arial" w:eastAsia="Arial" w:hAnsi="Arial"/>
          <w:sz w:val="18"/>
          <w:szCs w:val="18"/>
          <w:color w:val="auto"/>
        </w:rPr>
        <w:t>Adjusted net earnings increased 15.0% to $53.4 million, compared to $46.4 million. Adjusted diluted EPS increased 17.0% to $2.41, compared to $2.06.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rely on cash provided by operations for our material cash requirements, including working capital needs, capital expenditures, satisfaction of contractual commitments (including principal and interest payments on our outstanding indebtedness) and shareholder return through dividend payments and share repurchases.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by operating activities was $62.6 million for the first six months of fiscal 2024, compared to $2.6 million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used by operating activities in the prior year period, primarily reflecting improved working capital in the current year period.</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by investing activities was $15.1 million for the first six months of fiscal 2024, compared to $4.7 million in the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driven primarily by higher capital expenditures to fund strategic initiatives.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Net cash used by financing activities was $50.1 million for the first six months of fiscal 2024, compared to net cash provided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financing activities of $0.5 million in the prior year period. The increase in cash used for financing activities was primarily driven by higher net debt payments in the current year period.</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paid dividends totaling $10.5 million ($0.48 per share) in the first six months of fiscal 2024, compared to $9.6 million ($0.44 per share) in the comparable prior year period. During the first six months of fiscal 2024, we repurchased 279,916 shares under our authorized share repurchase program, for a total cost of $11.8 million. In the first six months of fiscal 2023, we repurchased 1,571,139 shares under the share repurchase program, for a total cost of $74.3 million. 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January 9, 2018, January 14, 2020, October 7, 2021, and June 22, 2022; and by 2,000,000 shares, on each of the announcement dates of October 3, 2018 and January 14, 2022. The repurchase program does not have an expiration date. Since the inception of the share repurchase program in 2004, we have purchased a total of 11,276,517 shares, at a total cost of $393.5 million. As of August 26, 2023, we had remaining authority to repurchase an additional 973,483 shares under this program. We may also elect to repurchase additional shares of common stock under our authorization, subject to limitations contained in our debt agreements and based upon our assessment of a number of factors, including share price, trading volume and general market conditions, working capital requirements, general business conditions, financial conditions, any applicable contractual limitations, and other factors, including alternative investment opportunities. We may finance share repurchases with available cash, additional debt or other sources of financing.</w:t>
      </w: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Additional Liquidity Considerations. </w:t>
      </w:r>
      <w:r>
        <w:rPr>
          <w:rFonts w:ascii="Arial" w:cs="Arial" w:eastAsia="Arial" w:hAnsi="Arial"/>
          <w:sz w:val="18"/>
          <w:szCs w:val="18"/>
          <w:color w:val="auto"/>
        </w:rPr>
        <w:t>We periodically evaluate our liquidity requirements, cash needs and availability of debt resources relative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plans, significant capital plans, and other working capital needs.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 of the end of the second quarter of fiscal 2024, we had a committed revolving credit facility in the U.S. with maximum borrowings of up to $385 million, with a maturity date of August 5, 2027, and two Canadian committed, revolving credit facilities totaling $25 million (USD). At August 26, 2023, we had outstanding borrowings under our committed, revolving credit facility of $130.0 million, and $3.7 million outstanding under the Canadian committed, revolving credit facilities. We are required to make periodic interest payments on our outstanding indebtedness, and future interest payments will be determined based on the amount of outstanding borrowings and prevailing interest rates during that time.</w:t>
      </w:r>
    </w:p>
    <w:p>
      <w:pPr>
        <w:spacing w:after="0" w:line="2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revolving credit facilities contain two maintenance financial covenants that require us to stay below a maximum debt-to-EBITDA ratio of 3.25 and maintain a minimum ratio of EBITDA-to-interest expense of 3.00. Both ratios are computed quarterly, with EBITDA calculated on a rolling four-quarter basis. At August 26, 2023, we were in compliance with both financial covenants (which are identical in both of our revolving credit facilities).</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U.S. credit facility also contains an acquisition holiday. In the event we make an acquisition for which the purchase price is greater than $75 million, we can elect to increase the maximum debt-to-EBITDA ratio to 3.75 for a period of four consecutive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fiscal quarters, commencing with the fiscal quarter in which a qualifying acquisition occurs. No more than two acquisition "holidays" can occur during the term of the facility, and at least two fiscal quarters must separate qualifying acquisitions.</w:t>
      </w:r>
    </w:p>
    <w:p>
      <w:pPr>
        <w:spacing w:after="0" w:line="198"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Borrowings under the credit facilities bear floating interest at either the Base Rate or Term SOFR, plus a margin based on the Leverage Ratio (as defined in the Credit Agreement). For Base Rate borrowings the margin ranges from 0.125% to 0.75%. For Term SOFR borrowings the margin ranges from 1.135% to 1.85%.</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U.S. facility also contains an "accordion" provision. Under this provision, we can request that the facility be increased by as much $200.0 million. Any Lender may elect or decline to participate in the requested increase at the Lender’s sole discretion.</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at August 26, 2023, we had a total of $15.2 million of ongoing letters of credit related to industrial revenue bonds, construction contracts and insurance collateral that expire in fiscal years 2024 to 2032 and reduce borrowing capacity under the U.S. revolving credit facility. As of August 26, 2023, the amount available for revolving borrowings under the Wells Fargo credit facility was $239.8 million.</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acquire the use of certain assets through operating leases, such as property, manufacturing equipment, vehicles and other equipment. Future payments for such leases, excluding leases with initial terms of one year or less, were $48.1 million at August 26, 2023, with $6.6 million payable during the remainder of fiscal 2024.</w:t>
      </w: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August 26, 2023, we had $30.4 million of open purchase obligations, of which payments totaling $20.7 million are expected to become due during the remainder of fiscal 2024. These purchase obligations primarily relate to raw material commitments and capital expenditures and are not expected to impact future liquidity, as amounts should be recovered through customer billings.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to make contributions of $0.7 million to our defined-benefit pension plans in fiscal 2024, which will equal or exceed our minimum funding requirements.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August 26, 2023, we had reserves of $5.3 million for unrecognized tax benefits. We are unable to reasonably estimate in which future periods the remaining unrecognized tax benefits will ultimately be settled.</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required, in the ordinary course of business, to provide surety or performance bonds that commit payments to our customers for any non-performance. At August 26, 2023, $1.3 billion of these types of bonds were outstanding, of which $452.4 million is in our backlog. These bonds do not have stated expiration dates. We have never been required to make payments under surety or performance bonds with respect to our existing businesses.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continue to evaluate acquisition opportunities on a regular basis. We may finance acquisition activity with available cash, the issuance of shares of common stock, additional debt, or other sources of financing, depending upon the size and nature of any such transaction and the status of the capital markets at the time of such acquisition.</w:t>
      </w: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Due to our ability to generate strong cash from operations and our borrowing capability under our committed revolving credit facilities, we believe that our sources of liquidity will be adequate to meet our short-term and long-term liquidity and capital expenditure needs. In addition, we believe that we have the ability currently to obtain both short-term and long-term debt to meet our financing needs for the foreseeable future. We also believe that we will be able to operate our business so as to continue to be in compliance with our existing debt covenants over the next fiscal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No material changes have occurred in the disclosure with respect to our related party transactions set forth in our Annual Report on Form 10-K for the fiscal year ended February 25, 2023.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6"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There have been no material changes to our critical accounting policies from those disclosed in our Annual Report on Form 10-K for the fiscal year ended February 25, 2023.</w:t>
      </w:r>
    </w:p>
    <w:p>
      <w:pPr>
        <w:spacing w:after="0" w:line="22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Refer to the Company’s Annual Report on Form 10-K for the fiscal year ended February 25, 2023 for a discussion of the Company’s market risk. There have been no material changes in market risk since February 25, 2023.</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jc w:val="both"/>
        <w:ind w:left="1300" w:hanging="644"/>
        <w:spacing w:after="0" w:line="270" w:lineRule="auto"/>
        <w:tabs>
          <w:tab w:leader="none" w:pos="1291" w:val="left"/>
        </w:tabs>
        <w:numPr>
          <w:ilvl w:val="0"/>
          <w:numId w:val="31"/>
        </w:numPr>
        <w:rPr>
          <w:rFonts w:ascii="Arial" w:cs="Arial" w:eastAsia="Arial" w:hAnsi="Arial"/>
          <w:sz w:val="17"/>
          <w:szCs w:val="17"/>
          <w:color w:val="auto"/>
        </w:rPr>
      </w:pPr>
      <w:r>
        <w:rPr>
          <w:rFonts w:ascii="Arial" w:cs="Arial" w:eastAsia="Arial" w:hAnsi="Arial"/>
          <w:sz w:val="17"/>
          <w:szCs w:val="17"/>
          <w:color w:val="auto"/>
        </w:rPr>
        <w:t>Evaluation of disclosure controls and procedures: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Securities Exchange Act of 1934, as amended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 (i)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spacing w:after="0" w:line="72" w:lineRule="exact"/>
        <w:rPr>
          <w:rFonts w:ascii="Arial" w:cs="Arial" w:eastAsia="Arial" w:hAnsi="Arial"/>
          <w:sz w:val="17"/>
          <w:szCs w:val="17"/>
          <w:color w:val="auto"/>
        </w:rPr>
      </w:pPr>
    </w:p>
    <w:p>
      <w:pPr>
        <w:jc w:val="both"/>
        <w:ind w:left="1300" w:hanging="644"/>
        <w:spacing w:after="0" w:line="263" w:lineRule="auto"/>
        <w:tabs>
          <w:tab w:leader="none" w:pos="1288"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internal controls: There was no change in the Company’s internal control over financial reporting that occurred during the fiscal quarter ended August 26, 2023, that has materially affected, or is reasonably likely to materially affect, the Company’s internal control over financial reporting.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In December 2022, the claimant in an arbitration of one such claim was awarded $20 million. The Company has appealed the award and believes, after taking into account all currently available information, including the advice of counsel and the likelihood of available insurance coverage, that this award will not have a material adverse effect on the Company's business, financial condition, results of operations or cash flows.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There have been no material changes or additions to our risk factors discussed in our Annual Report on Form 10-K for the fiscal year ended February 25, 2023.</w:t>
      </w:r>
    </w:p>
    <w:p>
      <w:pPr>
        <w:spacing w:after="0" w:line="20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with respect to purchases made by the Company of its own stock during the second quarter of fiscal 2024: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Total Number of Shares</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39"/>
        </w:trPr>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0"/>
              </w:rPr>
              <w:t>Purchased as Part of</w:t>
            </w:r>
          </w:p>
        </w:tc>
        <w:tc>
          <w:tcPr>
            <w:tcW w:w="18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58"/>
        </w:trPr>
        <w:tc>
          <w:tcPr>
            <w:tcW w:w="4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5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Total Number of</w:t>
            </w:r>
          </w:p>
        </w:tc>
        <w:tc>
          <w:tcPr>
            <w:tcW w:w="180" w:type="dxa"/>
            <w:vAlign w:val="bottom"/>
          </w:tcPr>
          <w:p>
            <w:pPr>
              <w:spacing w:after="0"/>
              <w:rPr>
                <w:sz w:val="13"/>
                <w:szCs w:val="13"/>
                <w:color w:val="auto"/>
              </w:rPr>
            </w:pPr>
          </w:p>
        </w:tc>
        <w:tc>
          <w:tcPr>
            <w:tcW w:w="13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2"/>
              </w:rPr>
              <w:t>Average Price</w:t>
            </w:r>
          </w:p>
        </w:tc>
        <w:tc>
          <w:tcPr>
            <w:tcW w:w="18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Publicly Announced Plans</w:t>
            </w:r>
          </w:p>
        </w:tc>
        <w:tc>
          <w:tcPr>
            <w:tcW w:w="1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Purchased under the Plans</w:t>
            </w:r>
          </w:p>
        </w:tc>
        <w:tc>
          <w:tcPr>
            <w:tcW w:w="0" w:type="dxa"/>
            <w:vAlign w:val="bottom"/>
          </w:tcPr>
          <w:p>
            <w:pPr>
              <w:spacing w:after="0"/>
              <w:rPr>
                <w:sz w:val="1"/>
                <w:szCs w:val="1"/>
                <w:color w:val="auto"/>
              </w:rPr>
            </w:pPr>
          </w:p>
        </w:tc>
      </w:tr>
      <w:tr>
        <w:trPr>
          <w:trHeight w:val="196"/>
        </w:trPr>
        <w:tc>
          <w:tcPr>
            <w:tcW w:w="4400" w:type="dxa"/>
            <w:vAlign w:val="bottom"/>
            <w:gridSpan w:val="2"/>
            <w:vMerge w:val="continue"/>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Purchased (a)</w:t>
            </w:r>
          </w:p>
        </w:tc>
        <w:tc>
          <w:tcPr>
            <w:tcW w:w="18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Paid per Share</w:t>
            </w: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or Programs (b)</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 (b)</w:t>
            </w:r>
          </w:p>
        </w:tc>
        <w:tc>
          <w:tcPr>
            <w:tcW w:w="0" w:type="dxa"/>
            <w:vAlign w:val="bottom"/>
          </w:tcPr>
          <w:p>
            <w:pPr>
              <w:spacing w:after="0"/>
              <w:rPr>
                <w:sz w:val="1"/>
                <w:szCs w:val="1"/>
                <w:color w:val="auto"/>
              </w:rPr>
            </w:pPr>
          </w:p>
        </w:tc>
      </w:tr>
      <w:tr>
        <w:trPr>
          <w:trHeight w:val="229"/>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 27, 2023 to June 24, 2023</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144,945</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988,538</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June 25, 2023 to July 22, 2023</w:t>
            </w:r>
          </w:p>
        </w:tc>
        <w:tc>
          <w:tcPr>
            <w:tcW w:w="1460" w:type="dxa"/>
            <w:vAlign w:val="bottom"/>
          </w:tcPr>
          <w:p>
            <w:pPr>
              <w:jc w:val="right"/>
              <w:spacing w:after="0"/>
              <w:rPr>
                <w:sz w:val="20"/>
                <w:szCs w:val="20"/>
                <w:color w:val="auto"/>
              </w:rPr>
            </w:pPr>
            <w:r>
              <w:rPr>
                <w:rFonts w:ascii="Arial" w:cs="Arial" w:eastAsia="Arial" w:hAnsi="Arial"/>
                <w:sz w:val="18"/>
                <w:szCs w:val="18"/>
                <w:color w:val="auto"/>
              </w:rPr>
              <w:t>27,844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44.70</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15,055</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973,483</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23, 2023 to August 26, 2023</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973,483</w:t>
            </w:r>
          </w:p>
        </w:tc>
        <w:tc>
          <w:tcPr>
            <w:tcW w:w="0" w:type="dxa"/>
            <w:vAlign w:val="bottom"/>
          </w:tcPr>
          <w:p>
            <w:pPr>
              <w:spacing w:after="0"/>
              <w:rPr>
                <w:sz w:val="1"/>
                <w:szCs w:val="1"/>
                <w:color w:val="auto"/>
              </w:rPr>
            </w:pPr>
          </w:p>
        </w:tc>
      </w:tr>
      <w:tr>
        <w:trPr>
          <w:trHeight w:val="223"/>
        </w:trPr>
        <w:tc>
          <w:tcPr>
            <w:tcW w:w="44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174,261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42.37</w:t>
            </w:r>
          </w:p>
        </w:tc>
        <w:tc>
          <w:tcPr>
            <w:tcW w:w="10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160,000</w:t>
            </w:r>
          </w:p>
        </w:tc>
        <w:tc>
          <w:tcPr>
            <w:tcW w:w="10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973,483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2"/>
        <w:spacing w:after="0" w:line="266" w:lineRule="auto"/>
        <w:tabs>
          <w:tab w:leader="none" w:pos="337"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shares in this column represent the total number of shares that were repurchased by us pursuant to our publicly announced repurchase program, plus the shares surrendered to us by plan participants to satisfy withholding tax obligations related to share-based compensation.</w:t>
      </w:r>
    </w:p>
    <w:p>
      <w:pPr>
        <w:jc w:val="both"/>
        <w:ind w:left="340" w:hanging="332"/>
        <w:spacing w:after="0" w:line="337" w:lineRule="auto"/>
        <w:tabs>
          <w:tab w:leader="none" w:pos="332"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January 9, 2018, January 14, 2020, October 7, 2021, and June 22, 2022; and by 2,000,000 shares, on each of the announcement dates of October 3, 2018 and January 14, 2022. The repurchase program does not have an expiration date.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 Adoption or Termination of Trading Arrangements</w:t>
      </w:r>
    </w:p>
    <w:p>
      <w:pPr>
        <w:spacing w:after="0" w:line="23"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During the three months ending August 26, 2023, none of our directors or officers (as defined in Rule 16a-1(f) of the Exchange Act) adopted or terminated any "Rule 10b5-1 trading arrangement" or any "non-Rule 10b5-1 trading arrangement", as each term is defined in Item 408(c) of Regulation S-K.</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gridSpan w:val="5"/>
          </w:tcPr>
          <w:p>
            <w:pPr>
              <w:spacing w:after="0"/>
              <w:rPr>
                <w:sz w:val="20"/>
                <w:szCs w:val="20"/>
                <w:color w:val="auto"/>
              </w:rPr>
            </w:pPr>
            <w:r>
              <w:rPr>
                <w:rFonts w:ascii="Arial" w:cs="Arial" w:eastAsia="Arial" w:hAnsi="Arial"/>
                <w:sz w:val="18"/>
                <w:szCs w:val="18"/>
                <w:b w:val="1"/>
                <w:bCs w:val="1"/>
                <w:color w:val="auto"/>
              </w:rPr>
              <w:t>Item 6.</w:t>
            </w:r>
          </w:p>
        </w:tc>
        <w:tc>
          <w:tcPr>
            <w:tcW w:w="10440" w:type="dxa"/>
            <w:vAlign w:val="bottom"/>
            <w:gridSpan w:val="15"/>
          </w:tcPr>
          <w:p>
            <w:pPr>
              <w:ind w:left="160"/>
              <w:spacing w:after="0"/>
              <w:rPr>
                <w:sz w:val="20"/>
                <w:szCs w:val="20"/>
                <w:color w:val="auto"/>
              </w:rPr>
            </w:pPr>
            <w:r>
              <w:rPr>
                <w:rFonts w:ascii="Arial" w:cs="Arial" w:eastAsia="Arial" w:hAnsi="Arial"/>
                <w:sz w:val="18"/>
                <w:szCs w:val="18"/>
                <w:b w:val="1"/>
                <w:bCs w:val="1"/>
                <w:color w:val="auto"/>
              </w:rPr>
              <w:t>Exhibits</w:t>
            </w: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4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46">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720" w:type="dxa"/>
            <w:vAlign w:val="bottom"/>
            <w:gridSpan w:val="14"/>
            <w:shd w:val="clear" w:color="auto" w:fill="CCEEFF"/>
          </w:tcPr>
          <w:p>
            <w:pPr>
              <w:ind w:left="20"/>
              <w:spacing w:after="0" w:line="189" w:lineRule="exact"/>
              <w:rPr>
                <w:rFonts w:ascii="Arial" w:cs="Arial" w:eastAsia="Arial" w:hAnsi="Arial"/>
                <w:sz w:val="18"/>
                <w:szCs w:val="18"/>
                <w:color w:val="0000FF"/>
                <w:w w:val="96"/>
              </w:rPr>
            </w:pPr>
            <w:hyperlink r:id="rId46">
              <w:r>
                <w:rPr>
                  <w:rFonts w:ascii="Arial" w:cs="Arial" w:eastAsia="Arial" w:hAnsi="Arial"/>
                  <w:sz w:val="18"/>
                  <w:szCs w:val="18"/>
                  <w:color w:val="0000FF"/>
                  <w:w w:val="96"/>
                </w:rPr>
                <w:t>Restated Articles of Incorporation. (Incorporated by reference to Exhibit 3.1 to Registrant's Annual Report on Form 10-K for the</w:t>
              </w:r>
            </w:hyperlink>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CCEEFF"/>
              <w:bottom w:val="single" w:sz="8" w:color="CCEEFF"/>
            </w:tcBorders>
            <w:shd w:val="clear" w:color="auto" w:fill="CCEEFF"/>
          </w:tcPr>
          <w:p>
            <w:pPr>
              <w:spacing w:after="0"/>
              <w:rPr>
                <w:sz w:val="16"/>
                <w:szCs w:val="16"/>
                <w:color w:val="auto"/>
              </w:rPr>
            </w:pPr>
          </w:p>
        </w:tc>
        <w:tc>
          <w:tcPr>
            <w:tcW w:w="2280" w:type="dxa"/>
            <w:vAlign w:val="bottom"/>
            <w:tcBorders>
              <w:top w:val="single" w:sz="8" w:color="0000FF"/>
              <w:bottom w:val="single" w:sz="8" w:color="0000FF"/>
            </w:tcBorders>
            <w:gridSpan w:val="2"/>
            <w:shd w:val="clear" w:color="auto" w:fill="CCEEFF"/>
          </w:tcPr>
          <w:p>
            <w:pPr>
              <w:ind w:left="20"/>
              <w:spacing w:after="0" w:line="156" w:lineRule="exact"/>
              <w:rPr>
                <w:rFonts w:ascii="Arial" w:cs="Arial" w:eastAsia="Arial" w:hAnsi="Arial"/>
                <w:sz w:val="18"/>
                <w:szCs w:val="18"/>
                <w:color w:val="0000FF"/>
                <w:w w:val="88"/>
              </w:rPr>
            </w:pPr>
            <w:hyperlink r:id="rId46">
              <w:r>
                <w:rPr>
                  <w:rFonts w:ascii="Arial" w:cs="Arial" w:eastAsia="Arial" w:hAnsi="Arial"/>
                  <w:sz w:val="18"/>
                  <w:szCs w:val="18"/>
                  <w:color w:val="0000FF"/>
                  <w:w w:val="88"/>
                </w:rPr>
                <w:t>year-ended February 28, 2004.)</w:t>
              </w:r>
            </w:hyperlink>
          </w:p>
        </w:tc>
        <w:tc>
          <w:tcPr>
            <w:tcW w:w="7320" w:type="dxa"/>
            <w:vAlign w:val="bottom"/>
            <w:tcBorders>
              <w:top w:val="single" w:sz="8" w:color="0000FF"/>
              <w:bottom w:val="single" w:sz="8" w:color="CCEEFF"/>
            </w:tcBorders>
            <w:gridSpan w:val="6"/>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340" w:type="dxa"/>
            <w:vAlign w:val="bottom"/>
            <w:gridSpan w:val="3"/>
          </w:tcPr>
          <w:p>
            <w:pPr>
              <w:ind w:left="20"/>
              <w:spacing w:after="0" w:line="189" w:lineRule="exact"/>
              <w:rPr>
                <w:rFonts w:ascii="Arial" w:cs="Arial" w:eastAsia="Arial" w:hAnsi="Arial"/>
                <w:sz w:val="18"/>
                <w:szCs w:val="18"/>
                <w:color w:val="0000FF"/>
              </w:rPr>
            </w:pPr>
            <w:hyperlink r:id="rId47">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720" w:type="dxa"/>
            <w:vAlign w:val="bottom"/>
            <w:gridSpan w:val="14"/>
          </w:tcPr>
          <w:p>
            <w:pPr>
              <w:ind w:left="20"/>
              <w:spacing w:after="0" w:line="189" w:lineRule="exact"/>
              <w:rPr>
                <w:rFonts w:ascii="Arial" w:cs="Arial" w:eastAsia="Arial" w:hAnsi="Arial"/>
                <w:sz w:val="18"/>
                <w:szCs w:val="18"/>
                <w:color w:val="0000FF"/>
                <w:w w:val="97"/>
              </w:rPr>
            </w:pPr>
            <w:hyperlink r:id="rId47">
              <w:r>
                <w:rPr>
                  <w:rFonts w:ascii="Arial" w:cs="Arial" w:eastAsia="Arial" w:hAnsi="Arial"/>
                  <w:sz w:val="18"/>
                  <w:szCs w:val="18"/>
                  <w:color w:val="0000FF"/>
                  <w:w w:val="97"/>
                </w:rPr>
                <w:t>Articles of Amendment to Restated Articles of Incorporation. (Incorporated by reference to Exhibit 3.1 to Registrant's Current</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60" w:type="dxa"/>
            <w:vAlign w:val="bottom"/>
            <w:tcBorders>
              <w:top w:val="single" w:sz="8" w:color="0000FF"/>
            </w:tcBorders>
            <w:gridSpan w:val="11"/>
          </w:tcPr>
          <w:p>
            <w:pPr>
              <w:ind w:left="20"/>
              <w:spacing w:after="0" w:line="156" w:lineRule="exact"/>
              <w:rPr>
                <w:rFonts w:ascii="Arial" w:cs="Arial" w:eastAsia="Arial" w:hAnsi="Arial"/>
                <w:sz w:val="18"/>
                <w:szCs w:val="18"/>
                <w:color w:val="0000FF"/>
              </w:rPr>
            </w:pPr>
            <w:hyperlink r:id="rId47">
              <w:r>
                <w:rPr>
                  <w:rFonts w:ascii="Arial" w:cs="Arial" w:eastAsia="Arial" w:hAnsi="Arial"/>
                  <w:sz w:val="18"/>
                  <w:szCs w:val="18"/>
                  <w:color w:val="0000FF"/>
                </w:rPr>
                <w:t>Report on Form 8-K filed on January 16,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8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4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48">
              <w:r>
                <w:rPr>
                  <w:rFonts w:ascii="Arial" w:cs="Arial" w:eastAsia="Arial" w:hAnsi="Arial"/>
                  <w:sz w:val="18"/>
                  <w:szCs w:val="18"/>
                  <w:color w:val="0000FF"/>
                </w:rPr>
                <w:t>3.</w:t>
              </w:r>
              <w:r>
                <w:rPr>
                  <w:rFonts w:ascii="Arial" w:cs="Arial" w:eastAsia="Arial" w:hAnsi="Arial"/>
                  <w:sz w:val="18"/>
                  <w:szCs w:val="18"/>
                  <w:u w:val="single" w:color="auto"/>
                  <w:color w:val="0000FF"/>
                </w:rPr>
                <w:t>3</w:t>
              </w:r>
            </w:hyperlink>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720" w:type="dxa"/>
            <w:vAlign w:val="bottom"/>
            <w:gridSpan w:val="14"/>
            <w:shd w:val="clear" w:color="auto" w:fill="CCEEFF"/>
          </w:tcPr>
          <w:p>
            <w:pPr>
              <w:ind w:left="20"/>
              <w:spacing w:after="0" w:line="189" w:lineRule="exact"/>
              <w:rPr>
                <w:rFonts w:ascii="Arial" w:cs="Arial" w:eastAsia="Arial" w:hAnsi="Arial"/>
                <w:sz w:val="18"/>
                <w:szCs w:val="18"/>
                <w:color w:val="0000FF"/>
                <w:w w:val="94"/>
              </w:rPr>
            </w:pPr>
            <w:hyperlink r:id="rId48">
              <w:r>
                <w:rPr>
                  <w:rFonts w:ascii="Arial" w:cs="Arial" w:eastAsia="Arial" w:hAnsi="Arial"/>
                  <w:sz w:val="18"/>
                  <w:szCs w:val="18"/>
                  <w:color w:val="0000FF"/>
                  <w:w w:val="94"/>
                </w:rPr>
                <w:t>Amended and Restated Bylaws of Apogee Enterprises, Inc. (Incorporated by reference to Exhibit 3.3 to the Registrant’s Quarterly</w:t>
              </w:r>
            </w:hyperlink>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9620" w:type="dxa"/>
            <w:vAlign w:val="bottom"/>
            <w:tcBorders>
              <w:top w:val="single" w:sz="8" w:color="0000FF"/>
            </w:tcBorders>
            <w:gridSpan w:val="9"/>
            <w:shd w:val="clear" w:color="auto" w:fill="CCEEFF"/>
          </w:tcPr>
          <w:p>
            <w:pPr>
              <w:ind w:left="20"/>
              <w:spacing w:after="0" w:line="156" w:lineRule="exact"/>
              <w:rPr>
                <w:rFonts w:ascii="Arial" w:cs="Arial" w:eastAsia="Arial" w:hAnsi="Arial"/>
                <w:sz w:val="18"/>
                <w:szCs w:val="18"/>
                <w:color w:val="0000FF"/>
              </w:rPr>
            </w:pPr>
            <w:hyperlink r:id="rId48">
              <w:r>
                <w:rPr>
                  <w:rFonts w:ascii="Arial" w:cs="Arial" w:eastAsia="Arial" w:hAnsi="Arial"/>
                  <w:sz w:val="18"/>
                  <w:szCs w:val="18"/>
                  <w:color w:val="0000FF"/>
                </w:rPr>
                <w:t>Report on Form 10-Q for the quarter-ended May 29, 2021).</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118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37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440" w:type="dxa"/>
            <w:vAlign w:val="bottom"/>
            <w:gridSpan w:val="4"/>
          </w:tcPr>
          <w:p>
            <w:pPr>
              <w:ind w:left="20"/>
              <w:spacing w:after="0" w:line="189" w:lineRule="exact"/>
              <w:rPr>
                <w:rFonts w:ascii="Arial" w:cs="Arial" w:eastAsia="Arial" w:hAnsi="Arial"/>
                <w:sz w:val="18"/>
                <w:szCs w:val="18"/>
                <w:color w:val="0000FF"/>
              </w:rPr>
            </w:pPr>
            <w:hyperlink r:id="rId49">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720" w:type="dxa"/>
            <w:vAlign w:val="bottom"/>
            <w:gridSpan w:val="14"/>
          </w:tcPr>
          <w:p>
            <w:pPr>
              <w:ind w:left="20"/>
              <w:spacing w:after="0" w:line="189" w:lineRule="exact"/>
              <w:rPr>
                <w:rFonts w:ascii="Arial" w:cs="Arial" w:eastAsia="Arial" w:hAnsi="Arial"/>
                <w:sz w:val="18"/>
                <w:szCs w:val="18"/>
                <w:color w:val="0000FF"/>
                <w:w w:val="92"/>
              </w:rPr>
            </w:pPr>
            <w:hyperlink r:id="rId49">
              <w:r>
                <w:rPr>
                  <w:rFonts w:ascii="Arial" w:cs="Arial" w:eastAsia="Arial" w:hAnsi="Arial"/>
                  <w:sz w:val="18"/>
                  <w:szCs w:val="18"/>
                  <w:color w:val="0000FF"/>
                  <w:w w:val="92"/>
                </w:rPr>
                <w:t>Fifth Amendment to the Apogee Enterprises, Inc. Deferred Incentive Compensation Plan (2005 Restatement), dated June 26, 2023.</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700" w:type="dxa"/>
            <w:vAlign w:val="bottom"/>
            <w:tcBorders>
              <w:top w:val="single" w:sz="8" w:color="0000FF"/>
            </w:tcBorders>
            <w:gridSpan w:val="13"/>
          </w:tcPr>
          <w:p>
            <w:pPr>
              <w:ind w:left="20"/>
              <w:spacing w:after="0" w:line="156" w:lineRule="exact"/>
              <w:rPr>
                <w:rFonts w:ascii="Arial" w:cs="Arial" w:eastAsia="Arial" w:hAnsi="Arial"/>
                <w:sz w:val="18"/>
                <w:szCs w:val="18"/>
                <w:color w:val="0000FF"/>
              </w:rPr>
            </w:pPr>
            <w:hyperlink r:id="rId49">
              <w:r>
                <w:rPr>
                  <w:rFonts w:ascii="Arial" w:cs="Arial" w:eastAsia="Arial" w:hAnsi="Arial"/>
                  <w:sz w:val="18"/>
                  <w:szCs w:val="18"/>
                  <w:color w:val="0000FF"/>
                </w:rPr>
                <w:t>(Incorporated by reference to Exhibit 10.2 to Registrant's Current Report on Form 8-K filed on June 27, 2023.)</w:t>
              </w:r>
            </w:hyperlink>
          </w:p>
        </w:tc>
        <w:tc>
          <w:tcPr>
            <w:tcW w:w="2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37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w w:val="88"/>
              </w:rPr>
              <w:t>31.</w:t>
            </w:r>
            <w:r>
              <w:rPr>
                <w:rFonts w:ascii="Arial" w:cs="Arial" w:eastAsia="Arial" w:hAnsi="Arial"/>
                <w:sz w:val="18"/>
                <w:szCs w:val="18"/>
                <w:u w:val="single" w:color="auto"/>
                <w:color w:val="0000FF"/>
                <w:w w:val="88"/>
              </w:rPr>
              <w:t>1#</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720" w:type="dxa"/>
            <w:vAlign w:val="bottom"/>
            <w:gridSpan w:val="14"/>
            <w:shd w:val="clear" w:color="auto" w:fill="CCEEFF"/>
          </w:tcPr>
          <w:p>
            <w:pPr>
              <w:ind w:left="20"/>
              <w:spacing w:after="0" w:line="189" w:lineRule="exact"/>
              <w:rPr>
                <w:sz w:val="20"/>
                <w:szCs w:val="20"/>
                <w:color w:val="auto"/>
              </w:rPr>
            </w:pPr>
            <w:r>
              <w:rPr>
                <w:rFonts w:ascii="Arial" w:cs="Arial" w:eastAsia="Arial" w:hAnsi="Arial"/>
                <w:sz w:val="18"/>
                <w:szCs w:val="18"/>
                <w:color w:val="0000FF"/>
              </w:rPr>
              <w:t>Certification of Chief Executive Officer pursuant to Rule 13a-14(a) under the Securities Exchange Act of 1934.</w:t>
            </w:r>
          </w:p>
        </w:tc>
      </w:tr>
      <w:tr>
        <w:trPr>
          <w:trHeight w:val="189"/>
        </w:trPr>
        <w:tc>
          <w:tcPr>
            <w:tcW w:w="20" w:type="dxa"/>
            <w:vAlign w:val="bottom"/>
            <w:tcBorders>
              <w:top w:val="single" w:sz="8" w:color="CCEEFF"/>
            </w:tcBorders>
          </w:tcPr>
          <w:p>
            <w:pPr>
              <w:spacing w:after="0"/>
              <w:rPr>
                <w:sz w:val="16"/>
                <w:szCs w:val="16"/>
                <w:color w:val="auto"/>
              </w:rPr>
            </w:pPr>
          </w:p>
        </w:tc>
        <w:tc>
          <w:tcPr>
            <w:tcW w:w="420" w:type="dxa"/>
            <w:vAlign w:val="bottom"/>
            <w:tcBorders>
              <w:top w:val="single" w:sz="8" w:color="0000FF"/>
            </w:tcBorders>
            <w:gridSpan w:val="3"/>
          </w:tcPr>
          <w:p>
            <w:pPr>
              <w:spacing w:after="0" w:line="189" w:lineRule="exact"/>
              <w:rPr>
                <w:sz w:val="20"/>
                <w:szCs w:val="20"/>
                <w:color w:val="auto"/>
              </w:rPr>
            </w:pPr>
            <w:r>
              <w:rPr>
                <w:rFonts w:ascii="Arial" w:cs="Arial" w:eastAsia="Arial" w:hAnsi="Arial"/>
                <w:sz w:val="18"/>
                <w:szCs w:val="18"/>
                <w:color w:val="0000FF"/>
                <w:w w:val="88"/>
              </w:rPr>
              <w:t>31.</w:t>
            </w:r>
            <w:r>
              <w:rPr>
                <w:rFonts w:ascii="Arial" w:cs="Arial" w:eastAsia="Arial" w:hAnsi="Arial"/>
                <w:sz w:val="18"/>
                <w:szCs w:val="18"/>
                <w:u w:val="single" w:color="auto"/>
                <w:color w:val="0000FF"/>
                <w:w w:val="88"/>
              </w:rPr>
              <w:t>2#</w:t>
            </w:r>
          </w:p>
        </w:tc>
        <w:tc>
          <w:tcPr>
            <w:tcW w:w="26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8040" w:type="dxa"/>
            <w:vAlign w:val="bottom"/>
            <w:tcBorders>
              <w:top w:val="single" w:sz="8" w:color="0000FF"/>
            </w:tcBorders>
            <w:gridSpan w:val="7"/>
          </w:tcPr>
          <w:p>
            <w:pPr>
              <w:ind w:left="20"/>
              <w:spacing w:after="0" w:line="189" w:lineRule="exact"/>
              <w:rPr>
                <w:sz w:val="20"/>
                <w:szCs w:val="20"/>
                <w:color w:val="auto"/>
              </w:rPr>
            </w:pPr>
            <w:r>
              <w:rPr>
                <w:rFonts w:ascii="Arial" w:cs="Arial" w:eastAsia="Arial" w:hAnsi="Arial"/>
                <w:sz w:val="18"/>
                <w:szCs w:val="18"/>
                <w:color w:val="0000FF"/>
                <w:w w:val="92"/>
              </w:rPr>
              <w:t>Certification of Chief Financial Officer pursuant to Rule 13a-14(a) under the Securities Exchange Act of 1934.</w:t>
            </w:r>
          </w:p>
        </w:tc>
        <w:tc>
          <w:tcPr>
            <w:tcW w:w="1680" w:type="dxa"/>
            <w:vAlign w:val="bottom"/>
            <w:tcBorders>
              <w:top w:val="single" w:sz="8" w:color="CCEEFF"/>
            </w:tcBorders>
            <w:gridSpan w:val="7"/>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7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700" w:type="dxa"/>
            <w:vAlign w:val="bottom"/>
            <w:gridSpan w:val="5"/>
            <w:shd w:val="clear" w:color="auto" w:fill="CCEEFF"/>
          </w:tcPr>
          <w:p>
            <w:pPr>
              <w:ind w:left="20"/>
              <w:spacing w:after="0" w:line="189"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720" w:type="dxa"/>
            <w:vAlign w:val="bottom"/>
            <w:shd w:val="clear" w:color="auto" w:fill="CCEEFF"/>
          </w:tcPr>
          <w:p>
            <w:pPr>
              <w:spacing w:after="0"/>
              <w:rPr>
                <w:sz w:val="16"/>
                <w:szCs w:val="16"/>
                <w:color w:val="auto"/>
              </w:rPr>
            </w:pPr>
          </w:p>
        </w:tc>
        <w:tc>
          <w:tcPr>
            <w:tcW w:w="9720" w:type="dxa"/>
            <w:vAlign w:val="bottom"/>
            <w:gridSpan w:val="14"/>
            <w:shd w:val="clear" w:color="auto" w:fill="CCEEFF"/>
          </w:tcPr>
          <w:p>
            <w:pPr>
              <w:ind w:left="20"/>
              <w:spacing w:after="0" w:line="189" w:lineRule="exact"/>
              <w:rPr>
                <w:sz w:val="20"/>
                <w:szCs w:val="20"/>
                <w:color w:val="auto"/>
              </w:rPr>
            </w:pPr>
            <w:r>
              <w:rPr>
                <w:rFonts w:ascii="Arial" w:cs="Arial" w:eastAsia="Arial" w:hAnsi="Arial"/>
                <w:sz w:val="18"/>
                <w:szCs w:val="18"/>
                <w:color w:val="0000FF"/>
                <w:w w:val="94"/>
              </w:rPr>
              <w:t>Certification of Chief Executive Officer pursuant to 18 U.S.C. Section 1350, as adopted pursuant to Section 906 of the Sarbanes-</w:t>
            </w: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0000FF"/>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CCEEFF"/>
              <w:bottom w:val="single" w:sz="8" w:color="CCEEFF"/>
            </w:tcBorders>
            <w:shd w:val="clear" w:color="auto" w:fill="CCEEFF"/>
          </w:tcPr>
          <w:p>
            <w:pPr>
              <w:spacing w:after="0"/>
              <w:rPr>
                <w:sz w:val="16"/>
                <w:szCs w:val="16"/>
                <w:color w:val="auto"/>
              </w:rPr>
            </w:pPr>
          </w:p>
        </w:tc>
        <w:tc>
          <w:tcPr>
            <w:tcW w:w="1400" w:type="dxa"/>
            <w:vAlign w:val="bottom"/>
            <w:tcBorders>
              <w:top w:val="single" w:sz="8" w:color="0000FF"/>
              <w:bottom w:val="single" w:sz="8" w:color="0000FF"/>
            </w:tcBorders>
            <w:shd w:val="clear" w:color="auto" w:fill="CCEEFF"/>
          </w:tcPr>
          <w:p>
            <w:pPr>
              <w:ind w:left="20"/>
              <w:spacing w:after="0" w:line="156" w:lineRule="exact"/>
              <w:rPr>
                <w:sz w:val="20"/>
                <w:szCs w:val="20"/>
                <w:color w:val="auto"/>
              </w:rPr>
            </w:pPr>
            <w:r>
              <w:rPr>
                <w:rFonts w:ascii="Arial" w:cs="Arial" w:eastAsia="Arial" w:hAnsi="Arial"/>
                <w:sz w:val="18"/>
                <w:szCs w:val="18"/>
                <w:color w:val="0000FF"/>
                <w:w w:val="92"/>
              </w:rPr>
              <w:t>Oxley Act of 2002.</w:t>
            </w:r>
          </w:p>
        </w:tc>
        <w:tc>
          <w:tcPr>
            <w:tcW w:w="8240" w:type="dxa"/>
            <w:vAlign w:val="bottom"/>
            <w:tcBorders>
              <w:top w:val="single" w:sz="8" w:color="0000FF"/>
              <w:bottom w:val="single" w:sz="8" w:color="CCEEFF"/>
            </w:tcBorders>
            <w:gridSpan w:val="9"/>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189"/>
        </w:trPr>
        <w:tc>
          <w:tcPr>
            <w:tcW w:w="700" w:type="dxa"/>
            <w:vAlign w:val="bottom"/>
            <w:gridSpan w:val="5"/>
          </w:tcPr>
          <w:p>
            <w:pPr>
              <w:ind w:left="20"/>
              <w:spacing w:after="0" w:line="189"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2#</w:t>
            </w:r>
          </w:p>
        </w:tc>
        <w:tc>
          <w:tcPr>
            <w:tcW w:w="720" w:type="dxa"/>
            <w:vAlign w:val="bottom"/>
          </w:tcPr>
          <w:p>
            <w:pPr>
              <w:spacing w:after="0"/>
              <w:rPr>
                <w:sz w:val="16"/>
                <w:szCs w:val="16"/>
                <w:color w:val="auto"/>
              </w:rPr>
            </w:pPr>
          </w:p>
        </w:tc>
        <w:tc>
          <w:tcPr>
            <w:tcW w:w="9720" w:type="dxa"/>
            <w:vAlign w:val="bottom"/>
            <w:gridSpan w:val="14"/>
          </w:tcPr>
          <w:p>
            <w:pPr>
              <w:ind w:left="20"/>
              <w:spacing w:after="0" w:line="189" w:lineRule="exact"/>
              <w:rPr>
                <w:sz w:val="20"/>
                <w:szCs w:val="20"/>
                <w:color w:val="auto"/>
              </w:rPr>
            </w:pPr>
            <w:r>
              <w:rPr>
                <w:rFonts w:ascii="Arial" w:cs="Arial" w:eastAsia="Arial" w:hAnsi="Arial"/>
                <w:sz w:val="18"/>
                <w:szCs w:val="18"/>
                <w:color w:val="0000FF"/>
                <w:w w:val="95"/>
              </w:rPr>
              <w:t>Certification of Chief Financial Officer pursuant to 18 U.S.C. Section 1350, as adopted pursuant to Section 906 of the Sarbanes-</w:t>
            </w: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0" w:type="dxa"/>
            <w:vAlign w:val="bottom"/>
            <w:tcBorders>
              <w:top w:val="single" w:sz="8" w:color="0000FF"/>
              <w:bottom w:val="single" w:sz="8" w:color="0000FF"/>
            </w:tcBorders>
          </w:tcPr>
          <w:p>
            <w:pPr>
              <w:ind w:left="20"/>
              <w:spacing w:after="0" w:line="156" w:lineRule="exact"/>
              <w:rPr>
                <w:sz w:val="20"/>
                <w:szCs w:val="20"/>
                <w:color w:val="auto"/>
              </w:rPr>
            </w:pPr>
            <w:r>
              <w:rPr>
                <w:rFonts w:ascii="Arial" w:cs="Arial" w:eastAsia="Arial" w:hAnsi="Arial"/>
                <w:sz w:val="18"/>
                <w:szCs w:val="18"/>
                <w:color w:val="0000FF"/>
                <w:w w:val="92"/>
              </w:rPr>
              <w:t>Oxley Act of 2002.</w:t>
            </w:r>
          </w:p>
        </w:tc>
        <w:tc>
          <w:tcPr>
            <w:tcW w:w="828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36"/>
        </w:trPr>
        <w:tc>
          <w:tcPr>
            <w:tcW w:w="440" w:type="dxa"/>
            <w:vAlign w:val="bottom"/>
            <w:gridSpan w:val="4"/>
          </w:tcPr>
          <w:p>
            <w:pPr>
              <w:ind w:left="20"/>
              <w:spacing w:after="0"/>
              <w:rPr>
                <w:sz w:val="20"/>
                <w:szCs w:val="20"/>
                <w:color w:val="auto"/>
              </w:rPr>
            </w:pPr>
            <w:r>
              <w:rPr>
                <w:rFonts w:ascii="Arial" w:cs="Arial" w:eastAsia="Arial" w:hAnsi="Arial"/>
                <w:sz w:val="18"/>
                <w:szCs w:val="18"/>
                <w:color w:val="auto"/>
                <w:w w:val="99"/>
              </w:rPr>
              <w:t>101#</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720" w:type="dxa"/>
            <w:vAlign w:val="bottom"/>
            <w:gridSpan w:val="14"/>
          </w:tcPr>
          <w:p>
            <w:pPr>
              <w:ind w:left="20"/>
              <w:spacing w:after="0"/>
              <w:rPr>
                <w:sz w:val="20"/>
                <w:szCs w:val="20"/>
                <w:color w:val="auto"/>
              </w:rPr>
            </w:pPr>
            <w:r>
              <w:rPr>
                <w:rFonts w:ascii="Arial" w:cs="Arial" w:eastAsia="Arial" w:hAnsi="Arial"/>
                <w:sz w:val="18"/>
                <w:szCs w:val="18"/>
                <w:color w:val="auto"/>
                <w:w w:val="95"/>
              </w:rPr>
              <w:t>The following materials from Apogee Enterprises, Inc.’s Quarterly Report on Form 10-Q for the quarter ended August 26, 2023,</w:t>
            </w: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20" w:type="dxa"/>
            <w:vAlign w:val="bottom"/>
            <w:gridSpan w:val="14"/>
          </w:tcPr>
          <w:p>
            <w:pPr>
              <w:ind w:left="20"/>
              <w:spacing w:after="0" w:line="202" w:lineRule="exact"/>
              <w:rPr>
                <w:sz w:val="20"/>
                <w:szCs w:val="20"/>
                <w:color w:val="auto"/>
              </w:rPr>
            </w:pPr>
            <w:r>
              <w:rPr>
                <w:rFonts w:ascii="Arial" w:cs="Arial" w:eastAsia="Arial" w:hAnsi="Arial"/>
                <w:sz w:val="18"/>
                <w:szCs w:val="18"/>
                <w:color w:val="auto"/>
                <w:w w:val="94"/>
              </w:rPr>
              <w:t>formatted in iXBRL (Inline Extensible Business Reporting Language): (i) the Consolidated Balance Sheets as of August 26, 2023</w:t>
            </w: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20" w:type="dxa"/>
            <w:vAlign w:val="bottom"/>
            <w:gridSpan w:val="14"/>
          </w:tcPr>
          <w:p>
            <w:pPr>
              <w:ind w:left="20"/>
              <w:spacing w:after="0" w:line="202" w:lineRule="exact"/>
              <w:rPr>
                <w:sz w:val="20"/>
                <w:szCs w:val="20"/>
                <w:color w:val="auto"/>
              </w:rPr>
            </w:pPr>
            <w:r>
              <w:rPr>
                <w:rFonts w:ascii="Arial" w:cs="Arial" w:eastAsia="Arial" w:hAnsi="Arial"/>
                <w:sz w:val="18"/>
                <w:szCs w:val="18"/>
                <w:color w:val="auto"/>
                <w:w w:val="91"/>
              </w:rPr>
              <w:t>and February 25, 2023, (ii) the Consolidated Results of Operations for the three- and six-months ended August 26, 2023 and August</w:t>
            </w: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20" w:type="dxa"/>
            <w:vAlign w:val="bottom"/>
            <w:gridSpan w:val="14"/>
          </w:tcPr>
          <w:p>
            <w:pPr>
              <w:ind w:left="20"/>
              <w:spacing w:after="0" w:line="202" w:lineRule="exact"/>
              <w:rPr>
                <w:sz w:val="20"/>
                <w:szCs w:val="20"/>
                <w:color w:val="auto"/>
              </w:rPr>
            </w:pPr>
            <w:r>
              <w:rPr>
                <w:rFonts w:ascii="Arial" w:cs="Arial" w:eastAsia="Arial" w:hAnsi="Arial"/>
                <w:sz w:val="18"/>
                <w:szCs w:val="18"/>
                <w:color w:val="auto"/>
                <w:w w:val="94"/>
              </w:rPr>
              <w:t>27, 2022, (iii) the Consolidated Statements of Comprehensive Earnings for the three- and six-months ended August 26, 2023 and</w:t>
            </w:r>
          </w:p>
        </w:tc>
      </w:tr>
      <w:tr>
        <w:trPr>
          <w:trHeight w:val="218"/>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720" w:type="dxa"/>
            <w:vAlign w:val="bottom"/>
            <w:gridSpan w:val="14"/>
          </w:tcPr>
          <w:p>
            <w:pPr>
              <w:ind w:left="20"/>
              <w:spacing w:after="0"/>
              <w:rPr>
                <w:sz w:val="20"/>
                <w:szCs w:val="20"/>
                <w:color w:val="auto"/>
              </w:rPr>
            </w:pPr>
            <w:r>
              <w:rPr>
                <w:rFonts w:ascii="Arial" w:cs="Arial" w:eastAsia="Arial" w:hAnsi="Arial"/>
                <w:sz w:val="18"/>
                <w:szCs w:val="18"/>
                <w:color w:val="auto"/>
                <w:w w:val="93"/>
              </w:rPr>
              <w:t>August 27, 2022, (iv) the Consolidated Statements of Cash Flows for the six-months ended August 26, 2023 and August 27,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-652145</wp:posOffset>
            </wp:positionV>
            <wp:extent cx="7012305" cy="925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012305" cy="925830"/>
                    </a:xfrm>
                    <a:prstGeom prst="rect">
                      <a:avLst/>
                    </a:prstGeom>
                    <a:noFill/>
                  </pic:spPr>
                </pic:pic>
              </a:graphicData>
            </a:graphic>
          </wp:anchor>
        </w:drawing>
      </w:r>
    </w:p>
    <w:p>
      <w:pPr>
        <w:ind w:left="1440" w:right="260" w:hanging="10"/>
        <w:spacing w:after="0" w:line="243" w:lineRule="auto"/>
        <w:tabs>
          <w:tab w:leader="none" w:pos="16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Consolidated Statements of Shareholders' Equity for the three- and six-months ended August 26, 2023 and August 27, 2022, and (vi) Notes to Consolidated Financial Statements.</w:t>
      </w:r>
    </w:p>
    <w:p>
      <w:pPr>
        <w:spacing w:after="0" w:line="10"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1230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012305" cy="14605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Exhibits marked with a (#) sign are filed herewith.</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APOGEE ENTERPRISES, INC.</w:t>
      </w:r>
    </w:p>
    <w:p>
      <w:pPr>
        <w:spacing w:after="0" w:line="293" w:lineRule="exact"/>
        <w:rPr>
          <w:sz w:val="20"/>
          <w:szCs w:val="20"/>
          <w:color w:val="auto"/>
        </w:rPr>
      </w:pPr>
    </w:p>
    <w:p>
      <w:pPr>
        <w:ind w:left="20"/>
        <w:spacing w:after="0"/>
        <w:tabs>
          <w:tab w:leader="none" w:pos="5560" w:val="left"/>
        </w:tabs>
        <w:rPr>
          <w:sz w:val="20"/>
          <w:szCs w:val="20"/>
          <w:color w:val="auto"/>
        </w:rPr>
      </w:pPr>
      <w:r>
        <w:rPr>
          <w:rFonts w:ascii="Arial" w:cs="Arial" w:eastAsia="Arial" w:hAnsi="Arial"/>
          <w:sz w:val="18"/>
          <w:szCs w:val="18"/>
          <w:color w:val="auto"/>
        </w:rPr>
        <w:t>Date: October 4, 2023</w:t>
      </w:r>
      <w:r>
        <w:rPr>
          <w:sz w:val="20"/>
          <w:szCs w:val="20"/>
          <w:color w:val="auto"/>
        </w:rPr>
        <w:tab/>
      </w:r>
      <w:r>
        <w:rPr>
          <w:rFonts w:ascii="Arial" w:cs="Arial" w:eastAsia="Arial" w:hAnsi="Arial"/>
          <w:sz w:val="16"/>
          <w:szCs w:val="16"/>
          <w:color w:val="auto"/>
        </w:rPr>
        <w:t>By: /s/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14605</wp:posOffset>
            </wp:positionV>
            <wp:extent cx="3608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Ty R. Silberhorn</w:t>
      </w:r>
    </w:p>
    <w:p>
      <w:pPr>
        <w:ind w:left="6040"/>
        <w:spacing w:after="0" w:line="203" w:lineRule="auto"/>
        <w:rPr>
          <w:sz w:val="20"/>
          <w:szCs w:val="20"/>
          <w:color w:val="auto"/>
        </w:rPr>
      </w:pPr>
      <w:r>
        <w:rPr>
          <w:rFonts w:ascii="Arial" w:cs="Arial" w:eastAsia="Arial" w:hAnsi="Arial"/>
          <w:sz w:val="18"/>
          <w:szCs w:val="18"/>
          <w:color w:val="auto"/>
        </w:rPr>
        <w:t>President and Chief Executive Officer</w:t>
      </w:r>
    </w:p>
    <w:p>
      <w:pPr>
        <w:ind w:left="60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5540" w:val="left"/>
        </w:tabs>
        <w:rPr>
          <w:sz w:val="20"/>
          <w:szCs w:val="20"/>
          <w:color w:val="auto"/>
        </w:rPr>
      </w:pPr>
      <w:r>
        <w:rPr>
          <w:rFonts w:ascii="Arial" w:cs="Arial" w:eastAsia="Arial" w:hAnsi="Arial"/>
          <w:sz w:val="18"/>
          <w:szCs w:val="18"/>
          <w:color w:val="auto"/>
        </w:rPr>
        <w:t>Date: October 4, 2023</w:t>
      </w:r>
      <w:r>
        <w:rPr>
          <w:sz w:val="20"/>
          <w:szCs w:val="20"/>
          <w:color w:val="auto"/>
        </w:rPr>
        <w:tab/>
      </w:r>
      <w:r>
        <w:rPr>
          <w:rFonts w:ascii="Arial" w:cs="Arial" w:eastAsia="Arial" w:hAnsi="Arial"/>
          <w:sz w:val="16"/>
          <w:szCs w:val="16"/>
          <w:color w:val="auto"/>
        </w:rPr>
        <w:t>By: /s/ Matthew J. 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14605</wp:posOffset>
            </wp:positionV>
            <wp:extent cx="36175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1"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Matthew J. Osberg</w:t>
      </w:r>
    </w:p>
    <w:p>
      <w:pPr>
        <w:ind w:left="6020"/>
        <w:spacing w:after="0" w:line="219" w:lineRule="auto"/>
        <w:rPr>
          <w:sz w:val="20"/>
          <w:szCs w:val="20"/>
          <w:color w:val="auto"/>
        </w:rPr>
      </w:pPr>
      <w:r>
        <w:rPr>
          <w:rFonts w:ascii="Arial" w:cs="Arial" w:eastAsia="Arial" w:hAnsi="Arial"/>
          <w:sz w:val="18"/>
          <w:szCs w:val="18"/>
          <w:color w:val="auto"/>
        </w:rPr>
        <w:t>Executive Vice President and Chief Financial Officer</w:t>
      </w:r>
    </w:p>
    <w:p>
      <w:pPr>
        <w:ind w:left="60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125" w:right="37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Ty R. Silberhorn, certify that:</w:t>
      </w:r>
    </w:p>
    <w:p>
      <w:pPr>
        <w:spacing w:after="0" w:line="117"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Apogee Enterprises, Inc.;</w:t>
      </w:r>
    </w:p>
    <w:p>
      <w:pPr>
        <w:spacing w:after="0" w:line="117"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02" w:lineRule="exact"/>
        <w:rPr>
          <w:rFonts w:ascii="Arial" w:cs="Arial" w:eastAsia="Arial" w:hAnsi="Arial"/>
          <w:sz w:val="16"/>
          <w:szCs w:val="16"/>
          <w:color w:val="auto"/>
        </w:rPr>
      </w:pPr>
    </w:p>
    <w:p>
      <w:pPr>
        <w:ind w:left="2280" w:right="220" w:hanging="652"/>
        <w:spacing w:after="0" w:line="311" w:lineRule="auto"/>
        <w:tabs>
          <w:tab w:leader="none" w:pos="1952"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6"/>
          <w:szCs w:val="16"/>
          <w:color w:val="auto"/>
        </w:rPr>
      </w:pPr>
    </w:p>
    <w:p>
      <w:pPr>
        <w:ind w:left="2280" w:right="60" w:hanging="652"/>
        <w:spacing w:after="0" w:line="286" w:lineRule="auto"/>
        <w:tabs>
          <w:tab w:leader="none" w:pos="1962"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2280" w:right="60" w:hanging="652"/>
        <w:spacing w:after="0" w:line="263" w:lineRule="auto"/>
        <w:tabs>
          <w:tab w:leader="none" w:pos="1952"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2280" w:hanging="652"/>
        <w:spacing w:after="0" w:line="311" w:lineRule="auto"/>
        <w:tabs>
          <w:tab w:leader="none" w:pos="1962" w:val="left"/>
        </w:tabs>
        <w:numPr>
          <w:ilvl w:val="1"/>
          <w:numId w:val="3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2280" w:right="120" w:hanging="652"/>
        <w:spacing w:after="0" w:line="263" w:lineRule="auto"/>
        <w:tabs>
          <w:tab w:leader="none" w:pos="1952"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2280" w:right="140" w:hanging="652"/>
        <w:spacing w:after="0" w:line="277" w:lineRule="auto"/>
        <w:tabs>
          <w:tab w:leader="none" w:pos="1962"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October 4, 2023</w:t>
      </w:r>
    </w:p>
    <w:p>
      <w:pPr>
        <w:spacing w:after="0" w:line="7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40640</wp:posOffset>
            </wp:positionV>
            <wp:extent cx="27863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8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Ty R. Silberhorn</w:t>
      </w:r>
    </w:p>
    <w:p>
      <w:pPr>
        <w:ind w:left="68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918"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Matthew J. Osberg, certify that:</w:t>
      </w:r>
    </w:p>
    <w:p>
      <w:pPr>
        <w:spacing w:after="0" w:line="117"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Apogee Enterprises, Inc.;</w:t>
      </w:r>
    </w:p>
    <w:p>
      <w:pPr>
        <w:spacing w:after="0" w:line="117"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02" w:lineRule="exact"/>
        <w:rPr>
          <w:rFonts w:ascii="Arial" w:cs="Arial" w:eastAsia="Arial" w:hAnsi="Arial"/>
          <w:sz w:val="16"/>
          <w:szCs w:val="16"/>
          <w:color w:val="auto"/>
        </w:rPr>
      </w:pPr>
    </w:p>
    <w:p>
      <w:pPr>
        <w:ind w:left="2280" w:right="20" w:hanging="652"/>
        <w:spacing w:after="0" w:line="311" w:lineRule="auto"/>
        <w:tabs>
          <w:tab w:leader="none" w:pos="2271"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6"/>
          <w:szCs w:val="16"/>
          <w:color w:val="auto"/>
        </w:rPr>
      </w:pPr>
    </w:p>
    <w:p>
      <w:pPr>
        <w:ind w:left="2280" w:right="440" w:hanging="652"/>
        <w:spacing w:after="0" w:line="311" w:lineRule="auto"/>
        <w:tabs>
          <w:tab w:leader="none" w:pos="2268"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Arial" w:cs="Arial" w:eastAsia="Arial" w:hAnsi="Arial"/>
          <w:sz w:val="16"/>
          <w:szCs w:val="16"/>
          <w:color w:val="auto"/>
        </w:rPr>
      </w:pPr>
    </w:p>
    <w:p>
      <w:pPr>
        <w:jc w:val="both"/>
        <w:ind w:left="2280" w:right="20" w:hanging="652"/>
        <w:spacing w:after="0" w:line="263" w:lineRule="auto"/>
        <w:tabs>
          <w:tab w:leader="none" w:pos="2271"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2280" w:right="20" w:hanging="652"/>
        <w:spacing w:after="0" w:line="311" w:lineRule="auto"/>
        <w:tabs>
          <w:tab w:leader="none" w:pos="2268" w:val="left"/>
        </w:tabs>
        <w:numPr>
          <w:ilvl w:val="1"/>
          <w:numId w:val="3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2280" w:right="280" w:hanging="652"/>
        <w:spacing w:after="0" w:line="263" w:lineRule="auto"/>
        <w:tabs>
          <w:tab w:leader="none" w:pos="2271"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2280" w:right="680" w:hanging="652"/>
        <w:spacing w:after="0" w:line="277" w:lineRule="auto"/>
        <w:tabs>
          <w:tab w:leader="none" w:pos="226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October 4, 2023</w:t>
      </w:r>
    </w:p>
    <w:p>
      <w:pPr>
        <w:spacing w:after="0" w:line="33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Matthew J. 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14605</wp:posOffset>
            </wp:positionV>
            <wp:extent cx="30861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Matthew J. Osberg</w:t>
      </w:r>
    </w:p>
    <w:p>
      <w:pPr>
        <w:ind w:left="64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Quarterly Report of Apogee Enterprises, Inc. (the “Company”) on Form 10-Q for the period ended August 26, 2023 as filed with the Securities and Exchange Commission (the “Report”), I, Ty R. Silberhorn, President and Chief Executive Officer of the Company, certify, pursuant to 18 U.S.C. § 1350, as adopted pursuant to § 906 of the Sarbanes-Oxley Act of 2002, that based on my knowledge:</w:t>
      </w:r>
    </w:p>
    <w:p>
      <w:pPr>
        <w:spacing w:after="0" w:line="111" w:lineRule="exact"/>
        <w:rPr>
          <w:sz w:val="20"/>
          <w:szCs w:val="20"/>
          <w:color w:val="auto"/>
        </w:rPr>
      </w:pPr>
    </w:p>
    <w:p>
      <w:pPr>
        <w:ind w:left="640" w:hanging="308"/>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774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Ty R. Silberhorn</w:t>
      </w: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4, 2023</w:t>
      </w:r>
    </w:p>
    <w:p>
      <w:pPr>
        <w:sectPr>
          <w:pgSz w:w="11900" w:h="16838" w:orient="portrait"/>
          <w:cols w:equalWidth="0" w:num="1">
            <w:col w:w="11240"/>
          </w:cols>
          <w:pgMar w:left="320" w:top="89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Quarterly Report of Apogee Enterprises, Inc. (the “Company”) on Form 10-Q for the period ended August 26, 2023 as filed with the Securities and Exchange Commission (the “Report”), I, Matthew J. Osberg, Executive Vice President and Chief Financial Officer of the Company, certify, pursuant to 18 U.S.C. § 1350, as adopted pursuant to § 906 of the Sarbanes-Oxley Act of 2002, that based on my knowledge:</w:t>
      </w:r>
    </w:p>
    <w:p>
      <w:pPr>
        <w:spacing w:after="0" w:line="111"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Matthew J. 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544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Matthew J. Osberg</w:t>
      </w: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4, 2023</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2"/>
    </w:lvl>
  </w:abstractNum>
  <w:abstractNum w:abstractNumId="4">
    <w:nsid w:val="628C895D"/>
    <w:multiLevelType w:val="hybridMultilevel"/>
    <w:lvl w:ilvl="0">
      <w:lvlJc w:val="left"/>
      <w:lvlText w:val="%1."/>
      <w:numFmt w:val="decimal"/>
      <w:start w:val="3"/>
    </w:lvl>
  </w:abstractNum>
  <w:abstractNum w:abstractNumId="5">
    <w:nsid w:val="333AB105"/>
    <w:multiLevelType w:val="hybridMultilevel"/>
    <w:lvl w:ilvl="0">
      <w:lvlJc w:val="left"/>
      <w:lvlText w:val="%1."/>
      <w:numFmt w:val="decimal"/>
      <w:start w:val="4"/>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6"/>
    </w:lvl>
  </w:abstractNum>
  <w:abstractNum w:abstractNumId="8">
    <w:nsid w:val="2D1D5AE9"/>
    <w:multiLevelType w:val="hybridMultilevel"/>
    <w:lvl w:ilvl="0">
      <w:lvlJc w:val="left"/>
      <w:lvlText w:val="%1."/>
      <w:numFmt w:val="decimal"/>
      <w:start w:val="7"/>
    </w:lvl>
  </w:abstractNum>
  <w:abstractNum w:abstractNumId="9">
    <w:nsid w:val="6763845E"/>
    <w:multiLevelType w:val="hybridMultilevel"/>
    <w:lvl w:ilvl="0">
      <w:lvlJc w:val="left"/>
      <w:lvlText w:val="%1."/>
      <w:numFmt w:val="decimal"/>
      <w:start w:val="8"/>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9"/>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lowerRoman"/>
      <w:start w:val="5"/>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46" Type="http://schemas.openxmlformats.org/officeDocument/2006/relationships/hyperlink" Target="http://www.sec.gov/Archives/edgar/data/6845/000119312504079352/dex31.htm" TargetMode="External"/><Relationship Id="rId47" Type="http://schemas.openxmlformats.org/officeDocument/2006/relationships/hyperlink" Target="http://www.sec.gov/Archives/edgar/data/6845/000119312520008887/d874518dex31.htm" TargetMode="External"/><Relationship Id="rId48" Type="http://schemas.openxmlformats.org/officeDocument/2006/relationships/hyperlink" Target="http://www.sec.gov/Archives/edgar/data/0000006845/000000684521000020/apog-ex33arbylawsfinalapri.htm" TargetMode="External"/><Relationship Id="rId49" Type="http://schemas.openxmlformats.org/officeDocument/2006/relationships/hyperlink" Target="http://www.sec.gov/Archives/edgar/data/6845/000119312523176209/d45582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2023-10-04T15:44:46Z</dcterms:created>
  <dcterms:modified xsi:type="dcterms:W3CDTF">2023-10-04T15:44:46Z</dcterms:modified>
</cp:coreProperties>
</file>