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00" w:hanging="474"/>
        <w:spacing w:after="0" w:line="195" w:lineRule="auto"/>
        <w:tabs>
          <w:tab w:leader="none" w:pos="5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May 31, 2025</w:t>
      </w:r>
    </w:p>
    <w:p>
      <w:pPr>
        <w:ind w:left="480" w:hanging="454"/>
        <w:spacing w:after="0" w:line="206" w:lineRule="auto"/>
        <w:tabs>
          <w:tab w:leader="none" w:pos="4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398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0-6365</w:t>
      </w:r>
    </w:p>
    <w:p>
      <w:pPr>
        <w:spacing w:after="0" w:line="5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APOGEE ENTERPRISES,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7" w:lineRule="exact"/>
        <w:rPr>
          <w:sz w:val="24"/>
          <w:szCs w:val="24"/>
          <w:color w:val="auto"/>
        </w:rPr>
      </w:pPr>
    </w:p>
    <w:p>
      <w:pPr>
        <w:ind w:left="1860"/>
        <w:spacing w:after="0"/>
        <w:tabs>
          <w:tab w:leader="none" w:pos="8820" w:val="left"/>
        </w:tabs>
        <w:rPr>
          <w:sz w:val="20"/>
          <w:szCs w:val="20"/>
          <w:color w:val="auto"/>
        </w:rPr>
      </w:pP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7"/>
          <w:szCs w:val="17"/>
          <w:b w:val="1"/>
          <w:bCs w:val="1"/>
          <w:color w:val="auto"/>
        </w:rPr>
        <w:t>41-0919654</w:t>
      </w:r>
    </w:p>
    <w:p>
      <w:pPr>
        <w:spacing w:after="0" w:line="37" w:lineRule="exact"/>
        <w:rPr>
          <w:sz w:val="24"/>
          <w:szCs w:val="24"/>
          <w:color w:val="auto"/>
        </w:rPr>
      </w:pPr>
    </w:p>
    <w:p>
      <w:pPr>
        <w:ind w:left="540"/>
        <w:spacing w:after="0"/>
        <w:tabs>
          <w:tab w:leader="none" w:pos="820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92"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Times New Roman" w:cs="Times New Roman" w:eastAsia="Times New Roman" w:hAnsi="Times New Roman"/>
          <w:sz w:val="17"/>
          <w:szCs w:val="17"/>
          <w:b w:val="1"/>
          <w:bCs w:val="1"/>
          <w:color w:val="auto"/>
        </w:rPr>
        <w:t>4400 West 78th Street, Suite 520</w:t>
      </w:r>
      <w:r>
        <w:rPr>
          <w:sz w:val="20"/>
          <w:szCs w:val="20"/>
          <w:color w:val="auto"/>
        </w:rPr>
        <w:tab/>
      </w:r>
      <w:r>
        <w:rPr>
          <w:rFonts w:ascii="Times New Roman" w:cs="Times New Roman" w:eastAsia="Times New Roman" w:hAnsi="Times New Roman"/>
          <w:sz w:val="17"/>
          <w:szCs w:val="17"/>
          <w:b w:val="1"/>
          <w:bCs w:val="1"/>
          <w:color w:val="auto"/>
        </w:rPr>
        <w:t>Minneapolis</w:t>
      </w:r>
      <w:r>
        <w:rPr>
          <w:sz w:val="20"/>
          <w:szCs w:val="20"/>
          <w:color w:val="auto"/>
        </w:rPr>
        <w:tab/>
      </w: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55435</w:t>
      </w:r>
    </w:p>
    <w:p>
      <w:pPr>
        <w:spacing w:after="0" w:line="37" w:lineRule="exact"/>
        <w:rPr>
          <w:sz w:val="24"/>
          <w:szCs w:val="24"/>
          <w:color w:val="auto"/>
        </w:rPr>
      </w:pPr>
    </w:p>
    <w:p>
      <w:pPr>
        <w:ind w:left="1100"/>
        <w:spacing w:after="0"/>
        <w:tabs>
          <w:tab w:leader="none" w:pos="892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460"/>
        <w:spacing w:after="0"/>
        <w:tabs>
          <w:tab w:leader="none" w:pos="4860" w:val="left"/>
          <w:tab w:leader="none" w:pos="73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500"/>
        <w:spacing w:after="0"/>
        <w:tabs>
          <w:tab w:leader="none" w:pos="5320" w:val="left"/>
          <w:tab w:leader="none" w:pos="8100" w:val="left"/>
        </w:tabs>
        <w:rPr>
          <w:sz w:val="20"/>
          <w:szCs w:val="20"/>
          <w:color w:val="auto"/>
        </w:rPr>
      </w:pPr>
      <w:r>
        <w:rPr>
          <w:rFonts w:ascii="Times New Roman" w:cs="Times New Roman" w:eastAsia="Times New Roman" w:hAnsi="Times New Roman"/>
          <w:sz w:val="18"/>
          <w:szCs w:val="18"/>
          <w:color w:val="auto"/>
        </w:rPr>
        <w:t>Common stock, par value $0.33 1/3 per share</w:t>
      </w:r>
      <w:r>
        <w:rPr>
          <w:sz w:val="20"/>
          <w:szCs w:val="20"/>
          <w:color w:val="auto"/>
        </w:rPr>
        <w:tab/>
      </w:r>
      <w:r>
        <w:rPr>
          <w:rFonts w:ascii="Times New Roman" w:cs="Times New Roman" w:eastAsia="Times New Roman" w:hAnsi="Times New Roman"/>
          <w:sz w:val="18"/>
          <w:szCs w:val="18"/>
          <w:color w:val="auto"/>
        </w:rPr>
        <w:t>APOG</w:t>
      </w:r>
      <w:r>
        <w:rPr>
          <w:sz w:val="20"/>
          <w:szCs w:val="20"/>
          <w:color w:val="auto"/>
        </w:rPr>
        <w:tab/>
      </w:r>
      <w:r>
        <w:rPr>
          <w:rFonts w:ascii="Times New Roman" w:cs="Times New Roman" w:eastAsia="Times New Roman" w:hAnsi="Times New Roman"/>
          <w:sz w:val="17"/>
          <w:szCs w:val="17"/>
          <w:color w:val="auto"/>
        </w:rPr>
        <w:t>The Nasdaq Stock Market</w:t>
      </w:r>
    </w:p>
    <w:p>
      <w:pPr>
        <w:spacing w:after="0" w:line="9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2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08"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08" w:right="339" w:bottom="1440" w:gutter="0" w:footer="0" w:header="0"/>
        </w:sectPr>
      </w:pP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60"/>
              <w:spacing w:after="0"/>
              <w:rPr>
                <w:sz w:val="20"/>
                <w:szCs w:val="20"/>
                <w:color w:val="auto"/>
              </w:rPr>
            </w:pPr>
            <w:r>
              <w:rPr>
                <w:rFonts w:ascii="Wingdings" w:cs="Wingdings" w:eastAsia="Wingdings" w:hAnsi="Wingdings"/>
                <w:sz w:val="18"/>
                <w:szCs w:val="18"/>
                <w:b w:val="1"/>
                <w:bCs w:val="1"/>
                <w:color w:val="auto"/>
              </w:rPr>
              <w:t>x</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9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9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ind w:left="20"/>
        <w:spacing w:after="0" w:line="233"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28"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08" w:right="339" w:bottom="1440" w:gutter="0" w:footer="0" w:header="0"/>
          <w:type w:val="continuous"/>
        </w:sectPr>
      </w:pPr>
    </w:p>
    <w:bookmarkStart w:id="1" w:name="page2"/>
    <w:bookmarkEnd w:id="1"/>
    <w:p>
      <w:pPr>
        <w:ind w:right="599"/>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As of June 27, 2025, 21,529,570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95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440" w:type="dxa"/>
            <w:vAlign w:val="bottom"/>
            <w:gridSpan w:val="6"/>
          </w:tcPr>
          <w:p>
            <w:pPr>
              <w:ind w:left="2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4760" w:type="dxa"/>
            <w:vAlign w:val="bottom"/>
            <w:gridSpan w:val="10"/>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000" w:type="dxa"/>
            <w:vAlign w:val="bottom"/>
            <w:gridSpan w:val="7"/>
          </w:tcPr>
          <w:p>
            <w:pPr>
              <w:spacing w:after="0"/>
              <w:rPr>
                <w:sz w:val="22"/>
                <w:szCs w:val="22"/>
                <w:color w:val="auto"/>
              </w:rPr>
            </w:pP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Results of Operations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Earnings</w:t>
            </w:r>
          </w:p>
        </w:tc>
        <w:tc>
          <w:tcPr>
            <w:tcW w:w="2620" w:type="dxa"/>
            <w:vAlign w:val="bottom"/>
            <w:gridSpan w:val="2"/>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2940" w:type="dxa"/>
            <w:vAlign w:val="bottom"/>
            <w:gridSpan w:val="3"/>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320" w:type="dxa"/>
            <w:vAlign w:val="bottom"/>
            <w:tcBorders>
              <w:top w:val="single" w:sz="8" w:color="0000FF"/>
            </w:tcBorders>
            <w:gridSpan w:val="2"/>
          </w:tcPr>
          <w:p>
            <w:pPr>
              <w:spacing w:after="0"/>
              <w:rPr>
                <w:sz w:val="22"/>
                <w:szCs w:val="22"/>
                <w:color w:val="auto"/>
              </w:rPr>
            </w:pPr>
          </w:p>
        </w:tc>
        <w:tc>
          <w:tcPr>
            <w:tcW w:w="470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40" w:type="dxa"/>
            <w:vAlign w:val="bottom"/>
          </w:tcPr>
          <w:p>
            <w:pPr>
              <w:spacing w:after="0"/>
              <w:rPr>
                <w:sz w:val="22"/>
                <w:szCs w:val="22"/>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7"/>
                <w:szCs w:val="17"/>
                <w:color w:val="auto"/>
                <w:w w:val="70"/>
              </w:rPr>
              <w:t>3</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31"/>
        </w:trPr>
        <w:tc>
          <w:tcPr>
            <w:tcW w:w="6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58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75"/>
        </w:trPr>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24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May 31, 2025</w:t>
            </w:r>
          </w:p>
        </w:tc>
        <w:tc>
          <w:tcPr>
            <w:tcW w:w="220" w:type="dxa"/>
            <w:vAlign w:val="bottom"/>
          </w:tcPr>
          <w:p>
            <w:pPr>
              <w:spacing w:after="0"/>
              <w:rPr>
                <w:sz w:val="19"/>
                <w:szCs w:val="19"/>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March 1, 2025</w:t>
            </w:r>
          </w:p>
        </w:tc>
      </w:tr>
      <w:tr>
        <w:trPr>
          <w:trHeight w:val="226"/>
        </w:trPr>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top w:val="single" w:sz="8" w:color="auto"/>
            </w:tcBorders>
            <w:shd w:val="clear" w:color="auto" w:fill="CCEEFF"/>
          </w:tcPr>
          <w:p>
            <w:pPr>
              <w:spacing w:after="0"/>
              <w:rPr>
                <w:sz w:val="19"/>
                <w:szCs w:val="19"/>
                <w:color w:val="auto"/>
              </w:rPr>
            </w:pPr>
          </w:p>
        </w:tc>
        <w:tc>
          <w:tcPr>
            <w:tcW w:w="6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41,448</w:t>
            </w: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185,590</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92,305</w:t>
            </w: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71,842</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50,919</w:t>
            </w:r>
          </w:p>
        </w:tc>
      </w:tr>
      <w:tr>
        <w:trPr>
          <w:trHeight w:val="223"/>
        </w:trPr>
        <w:tc>
          <w:tcPr>
            <w:tcW w:w="6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442,104</w:t>
            </w:r>
          </w:p>
        </w:tc>
      </w:tr>
      <w:tr>
        <w:trPr>
          <w:trHeight w:val="223"/>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$480,155 and $469,480</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268,139</w:t>
            </w: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62,314</w:t>
            </w: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235,775</w:t>
            </w: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128,417</w:t>
            </w:r>
          </w:p>
        </w:tc>
      </w:tr>
      <w:tr>
        <w:trPr>
          <w:trHeight w:val="229"/>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38,520</w:t>
            </w:r>
          </w:p>
        </w:tc>
      </w:tr>
      <w:tr>
        <w:trPr>
          <w:trHeight w:val="223"/>
        </w:trPr>
        <w:tc>
          <w:tcPr>
            <w:tcW w:w="620" w:type="dxa"/>
            <w:vAlign w:val="bottom"/>
          </w:tcPr>
          <w:p>
            <w:pPr>
              <w:spacing w:after="0"/>
              <w:rPr>
                <w:sz w:val="19"/>
                <w:szCs w:val="19"/>
                <w:color w:val="auto"/>
              </w:rPr>
            </w:pPr>
          </w:p>
        </w:tc>
        <w:tc>
          <w:tcPr>
            <w:tcW w:w="7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1,156,832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1,175,269</w:t>
            </w: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98,804</w:t>
            </w:r>
          </w:p>
        </w:tc>
      </w:tr>
      <w:tr>
        <w:trPr>
          <w:trHeight w:val="230"/>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48,510</w:t>
            </w:r>
          </w:p>
        </w:tc>
      </w:tr>
      <w:tr>
        <w:trPr>
          <w:trHeight w:val="229"/>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35,193</w:t>
            </w:r>
          </w:p>
        </w:tc>
      </w:tr>
      <w:tr>
        <w:trPr>
          <w:trHeight w:val="230"/>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15,290</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87,659</w:t>
            </w:r>
          </w:p>
        </w:tc>
      </w:tr>
      <w:tr>
        <w:trPr>
          <w:trHeight w:val="223"/>
        </w:trPr>
        <w:tc>
          <w:tcPr>
            <w:tcW w:w="6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285,456</w:t>
            </w:r>
          </w:p>
        </w:tc>
      </w:tr>
      <w:tr>
        <w:trPr>
          <w:trHeight w:val="223"/>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51,632</w:t>
            </w: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w:t>
            </w: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34,901</w:t>
            </w: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6)</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Junior preferred stock of $1.00 par value; authorized 200,000 shares; zero issued and outstanding</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860" w:type="dxa"/>
            <w:vAlign w:val="bottom"/>
            <w:gridSpan w:val="4"/>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21,532,572 and 21,417,631, respectively</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156,075</w:t>
            </w: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359,976</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(35,292)</w:t>
            </w:r>
          </w:p>
        </w:tc>
      </w:tr>
      <w:tr>
        <w:trPr>
          <w:trHeight w:val="223"/>
        </w:trPr>
        <w:tc>
          <w:tcPr>
            <w:tcW w:w="6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487,898</w:t>
            </w: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1,175,269</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May 31, 2025</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June 1, 2024</w:t>
            </w:r>
          </w:p>
        </w:tc>
      </w:tr>
      <w:tr>
        <w:trPr>
          <w:trHeight w:val="225"/>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331,516</w:t>
            </w: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232,661</w:t>
            </w:r>
          </w:p>
        </w:tc>
      </w:tr>
      <w:tr>
        <w:trPr>
          <w:trHeight w:val="223"/>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98,855</w:t>
            </w: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57,474</w:t>
            </w:r>
          </w:p>
        </w:tc>
      </w:tr>
      <w:tr>
        <w:trPr>
          <w:trHeight w:val="223"/>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41,381</w:t>
            </w: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41,074</w:t>
            </w: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r>
      <w:tr>
        <w:trPr>
          <w:trHeight w:val="22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 earnings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31,011</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21,823</w:t>
            </w:r>
          </w:p>
        </w:tc>
      </w:tr>
      <w:tr>
        <w:trPr>
          <w:trHeight w:val="234"/>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22,061</w:t>
            </w: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EARNINGS </w:t>
      </w:r>
      <w:r>
        <w:rPr>
          <w:rFonts w:ascii="Times New Roman" w:cs="Times New Roman" w:eastAsia="Times New Roman" w:hAnsi="Times New Roman"/>
          <w:sz w:val="18"/>
          <w:szCs w:val="18"/>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May 31, 2025</w:t>
            </w:r>
          </w:p>
        </w:tc>
        <w:tc>
          <w:tcPr>
            <w:tcW w:w="220" w:type="dxa"/>
            <w:vAlign w:val="bottom"/>
          </w:tcPr>
          <w:p>
            <w:pPr>
              <w:spacing w:after="0"/>
              <w:rPr>
                <w:sz w:val="18"/>
                <w:szCs w:val="18"/>
                <w:color w:val="auto"/>
              </w:rPr>
            </w:pPr>
          </w:p>
        </w:tc>
        <w:tc>
          <w:tcPr>
            <w:tcW w:w="13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June 1, 2024</w:t>
            </w:r>
          </w:p>
        </w:tc>
      </w:tr>
      <w:tr>
        <w:trPr>
          <w:trHeight w:val="225"/>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31,011</w:t>
            </w: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marketable securities, net of $10 and $(1) of tax expense (benefit), respectively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76"/>
        </w:trPr>
        <w:tc>
          <w:tcPr>
            <w:tcW w:w="808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(loss) gain on derivative instruments, net of $(32) and $364 of tax (benefit) expense,</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3"/>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 earnings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May 31, 2025</w:t>
            </w:r>
          </w:p>
        </w:tc>
        <w:tc>
          <w:tcPr>
            <w:tcW w:w="26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June 1, 2024</w:t>
            </w:r>
          </w:p>
        </w:tc>
      </w:tr>
      <w:tr>
        <w:trPr>
          <w:trHeight w:val="225"/>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31,011</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9,976</w:t>
            </w: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Impairment on intangible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r>
      <w:tr>
        <w:trPr>
          <w:trHeight w:val="229"/>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w:t>
            </w: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29"/>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(24,850)</w:t>
            </w: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29"/>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w:t>
            </w:r>
          </w:p>
        </w:tc>
      </w:tr>
      <w:tr>
        <w:trPr>
          <w:trHeight w:val="229"/>
        </w:trPr>
        <w:tc>
          <w:tcPr>
            <w:tcW w:w="7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 and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w:t>
            </w:r>
          </w:p>
        </w:tc>
      </w:tr>
      <w:tr>
        <w:trPr>
          <w:trHeight w:val="223"/>
        </w:trPr>
        <w:tc>
          <w:tcPr>
            <w:tcW w:w="78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r>
      <w:tr>
        <w:trPr>
          <w:trHeight w:val="21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Sales/maturities of marketable securities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3"/>
        </w:trPr>
        <w:tc>
          <w:tcPr>
            <w:tcW w:w="78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w:t>
            </w:r>
          </w:p>
        </w:tc>
      </w:tr>
      <w:tr>
        <w:trPr>
          <w:trHeight w:val="21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on revolving credit facilities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r>
      <w:tr>
        <w:trPr>
          <w:trHeight w:val="223"/>
        </w:trPr>
        <w:tc>
          <w:tcPr>
            <w:tcW w:w="78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w:t>
            </w: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30,363</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78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Non-cash Activity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but not yet paid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(Unaudited)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20" w:type="dxa"/>
            <w:vAlign w:val="bottom"/>
            <w:vMerge w:val="restart"/>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1"/>
                <w:szCs w:val="11"/>
                <w:color w:val="auto"/>
              </w:rPr>
            </w:pPr>
          </w:p>
        </w:tc>
        <w:tc>
          <w:tcPr>
            <w:tcW w:w="1020" w:type="dxa"/>
            <w:vAlign w:val="bottom"/>
          </w:tcPr>
          <w:p>
            <w:pPr>
              <w:jc w:val="center"/>
              <w:ind w:right="7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04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20" w:type="dxa"/>
            <w:vAlign w:val="bottom"/>
          </w:tcPr>
          <w:p>
            <w:pPr>
              <w:spacing w:after="0"/>
              <w:rPr>
                <w:sz w:val="15"/>
                <w:szCs w:val="15"/>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1, 2025</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21,418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7,139</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156,075</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359,976</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(35,292)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487,898</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18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0" w:type="dxa"/>
            <w:vAlign w:val="bottom"/>
          </w:tcPr>
          <w:p>
            <w:pPr>
              <w:spacing w:after="0"/>
              <w:rPr>
                <w:sz w:val="1"/>
                <w:szCs w:val="1"/>
                <w:color w:val="auto"/>
              </w:rPr>
            </w:pPr>
          </w:p>
        </w:tc>
      </w:tr>
      <w:tr>
        <w:trPr>
          <w:trHeight w:val="17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31, 2025</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21,533</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7,178</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157,788</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349,501</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(32,684)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481,783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06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40" w:type="dxa"/>
            <w:vAlign w:val="bottom"/>
          </w:tcPr>
          <w:p>
            <w:pPr>
              <w:spacing w:after="0"/>
              <w:rPr>
                <w:sz w:val="15"/>
                <w:szCs w:val="15"/>
                <w:color w:val="auto"/>
              </w:rPr>
            </w:pPr>
          </w:p>
        </w:tc>
        <w:tc>
          <w:tcPr>
            <w:tcW w:w="100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2, 2024</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22,089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7,363</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152,818</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340,375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(29,531)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471,025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31,011</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(15,061)</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w:t>
            </w:r>
          </w:p>
        </w:tc>
        <w:tc>
          <w:tcPr>
            <w:tcW w:w="0" w:type="dxa"/>
            <w:vAlign w:val="bottom"/>
          </w:tcPr>
          <w:p>
            <w:pPr>
              <w:spacing w:after="0"/>
              <w:rPr>
                <w:sz w:val="1"/>
                <w:szCs w:val="1"/>
                <w:color w:val="auto"/>
              </w:rPr>
            </w:pPr>
          </w:p>
        </w:tc>
      </w:tr>
      <w:tr>
        <w:trPr>
          <w:trHeight w:val="18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Declared dividends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0" w:type="dxa"/>
            <w:vAlign w:val="bottom"/>
          </w:tcPr>
          <w:p>
            <w:pPr>
              <w:spacing w:after="0"/>
              <w:rPr>
                <w:sz w:val="1"/>
                <w:szCs w:val="1"/>
                <w:color w:val="auto"/>
              </w:rPr>
            </w:pPr>
          </w:p>
        </w:tc>
      </w:tr>
      <w:tr>
        <w:trPr>
          <w:trHeight w:val="189"/>
        </w:trPr>
        <w:tc>
          <w:tcPr>
            <w:tcW w:w="4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21,937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7,312</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153,002</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348,651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(29,010)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479,955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(we, us, our or the Company) have been prepared in accordance with accounting principles generally accepted in the United States (U.S. GAAP). The information included in this Form 10-Q should be read in conjunction with the Company’s Form 10-K for the year ended March 1, 2025.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 month period ended May 31, 2025 are not necessarily indicative of the results to be expected for the full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27, 2023, the Financial Accounting Standards Board (FASB) issued Accounting Standard Update (ASU) 2023-07, Improvements to Reportable Segment Disclosures, which expands the required disclosure for reportable segments. This guidance requires entities to disclose significant segment expenses and other segment items on an annual and interim basis and to provide in interim periods all segment disclosures which are currently required annually. This ASU additionally requires entities to disclose the title and position of the individual or the name of the group or committee identified as its chief operating decision-maker. We adopted this guidance in the fourth quarter of fiscal 2025 for the annual requirements and in the first quarter of fiscal 2026 for the interim requirements.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FASB issued ASU 2023-09, Improvements to Income Tax Disclosures. The ASU is effective for our fiscal 2026 annual financial statements and for our interim financial statements beginning fiscal 2027. This guidance expands the existing disclosure requirements for the annual rate reconciliation between the effective tax rate and the statutory federal tax rate by requiring reconciliation items to be disaggregated by defined categories and disclosed as both percentages and amounts. ASU 2023-09 also requires the disaggregation of income taxes paid by jurisdiction for each annual period presented.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not yet adopted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This guidance requires entities to disclose more detailed information about the types of expenses, including purchases of inventory, employee compensation, depreciation, amortization, and depletion in commonly presented expense captions such as cost of sales and selling, general and administrative (SG&amp;A) expenses. Such guidance is effective for annual reporting periods beginning after December 15, 2026, and interim reporting periods beginning after December 15, 2027, although early adoption is permitted. This guidance should be applied either prospectively to financial statements issued for reporting periods after the effective date of this ASU or retrospectively to any or all prior periods presented in the financial statements. While the adoption of this ASU will not have an impact on our financial position and/or results of operations, we are currently evaluating the impact this ASU may have on our consolidated financial statement disclosures, including the processes and controls around the collection of this information.</w:t>
      </w:r>
    </w:p>
    <w:p>
      <w:pPr>
        <w:spacing w:after="0" w:line="217"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12 for disclosure of revenue by segment):</w:t>
      </w:r>
    </w:p>
    <w:p>
      <w:pPr>
        <w:sectPr>
          <w:pgSz w:w="11900" w:h="16838" w:orient="portrait"/>
          <w:cols w:equalWidth="0" w:num="1">
            <w:col w:w="11240"/>
          </w:cols>
          <w:pgMar w:left="320" w:top="121" w:right="339" w:bottom="1440" w:gutter="0" w:footer="0" w:header="0"/>
        </w:sect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at shipment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over time (input method)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over time (output method)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June 1, 2024</w:t>
            </w:r>
          </w:p>
        </w:tc>
      </w:tr>
      <w:tr>
        <w:trPr>
          <w:trHeight w:val="224"/>
        </w:trPr>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158,155</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136,722</w:t>
            </w:r>
          </w:p>
        </w:tc>
      </w:tr>
      <w:tr>
        <w:trPr>
          <w:trHeight w:val="230"/>
        </w:trPr>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116,681</w:t>
            </w:r>
          </w:p>
        </w:tc>
      </w:tr>
      <w:tr>
        <w:trPr>
          <w:trHeight w:val="234"/>
        </w:trPr>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78,113</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331,516</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-333375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-633730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at the time products are shipped from our manufacturing facilities, which is when control is transferred to our customer. Revenue is also recognized over time using an input method and an output method. The contracts for the businesses that recognize revenue following an over-time input method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also recognized following an over-time output method based upon units produced. The customer is considered to have control over the products at the time of production, as the products are highly customized with no alternative use, and we have an enforceable right to payment for performance completed over the production period. We believe this over-time output method of recognizing revenue reasonably depicts the fulfillment of our performance obligations under our contracts.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forecasted economic conditions and other relevant factors. Upon billing, aging of receivables is monitored until collection. An account is considered current when it is within agreed upon payment terms. An account is written off when it is determined that the asset is no longer collectible.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22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1, 2025</w:t>
            </w:r>
          </w:p>
        </w:tc>
      </w:tr>
      <w:tr>
        <w:trPr>
          <w:trHeight w:val="230"/>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117,533</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70,724</w:t>
            </w:r>
          </w:p>
        </w:tc>
      </w:tr>
      <w:tr>
        <w:trPr>
          <w:trHeight w:val="223"/>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188,257</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for the three-month period ended:</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7"/>
        </w:trPr>
        <w:tc>
          <w:tcPr>
            <w:tcW w:w="7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May 31, 2025</w:t>
            </w: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Charges against costs and expenses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deferred revenue on contracts.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payment is due is not significant. In certain parts of our business that recognize revenue over time, progress billings follow an agreed-upon schedule of values.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220" w:type="dxa"/>
            <w:vAlign w:val="bottom"/>
          </w:tcPr>
          <w:p>
            <w:pPr>
              <w:spacing w:after="0"/>
              <w:rPr>
                <w:sz w:val="18"/>
                <w:szCs w:val="18"/>
                <w:color w:val="auto"/>
              </w:rPr>
            </w:pPr>
          </w:p>
        </w:tc>
        <w:tc>
          <w:tcPr>
            <w:tcW w:w="13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1, 2025</w:t>
            </w:r>
          </w:p>
        </w:tc>
      </w:tr>
      <w:tr>
        <w:trPr>
          <w:trHeight w:val="230"/>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71,842</w:t>
            </w:r>
          </w:p>
        </w:tc>
      </w:tr>
      <w:tr>
        <w:trPr>
          <w:trHeight w:val="23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35,193</w:t>
            </w: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contract assets and contract liabilities were mainly due to timing of project activity within our businesses that operate under long-term contracts.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contract-related disclosures</w:t>
            </w: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26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1, 2024</w:t>
            </w: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contract liabilities from prior year-end</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w:t>
            </w:r>
          </w:p>
        </w:tc>
      </w:tr>
      <w:tr>
        <w:trPr>
          <w:trHeight w:val="23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prior satisfaction of performance obligations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 frame. Generally, these contracts are found in our businesses that typically operate with long-term contracts, which recognize revenue over time. The transaction prices associated with unsatisfied performance obligations at May 31, 2025 are expected to be satisfied, and the corresponding revenue to be recognized, over the following estimated time periods: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8"/>
                <w:szCs w:val="18"/>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May 31, 2025</w:t>
            </w:r>
          </w:p>
        </w:tc>
      </w:tr>
      <w:tr>
        <w:trPr>
          <w:trHeight w:val="230"/>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535,558</w:t>
            </w:r>
          </w:p>
        </w:tc>
      </w:tr>
      <w:tr>
        <w:trPr>
          <w:trHeight w:val="229"/>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Between one and two years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210,117</w:t>
            </w:r>
          </w:p>
        </w:tc>
      </w:tr>
      <w:tr>
        <w:trPr>
          <w:trHeight w:val="230"/>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Beyond two years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89,831</w:t>
            </w:r>
          </w:p>
        </w:tc>
      </w:tr>
      <w:tr>
        <w:trPr>
          <w:trHeight w:val="223"/>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835,506</w:t>
            </w:r>
          </w:p>
        </w:tc>
      </w:tr>
      <w:tr>
        <w:trPr>
          <w:trHeight w:val="21"/>
        </w:trPr>
        <w:tc>
          <w:tcPr>
            <w:tcW w:w="9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most cases, these contract modifications are for goods or services that are not distinct from the existing contract, due to the significant integration service provided in the context of the contract. Therefore, these modifications are accounted for as part of the existing contract. The effect of a contract modification on the transaction price and our measure of progress is recognized as an adjustment to revenue, generally on a cumulative catch-up basis.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cumulative catch-up adjustments on our longer-term contracts for changes in estimates had the following effect on the respective periods shown: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4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earnings per share data)</w:t>
            </w: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16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June 1, 2024</w:t>
            </w:r>
          </w:p>
        </w:tc>
      </w:tr>
      <w:tr>
        <w:trPr>
          <w:trHeight w:val="23"/>
        </w:trPr>
        <w:tc>
          <w:tcPr>
            <w:tcW w:w="412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937"/>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97"/>
              <w:spacing w:after="0"/>
              <w:rPr>
                <w:sz w:val="20"/>
                <w:szCs w:val="20"/>
                <w:color w:val="auto"/>
              </w:rPr>
            </w:pPr>
            <w:r>
              <w:rPr>
                <w:rFonts w:ascii="Times New Roman" w:cs="Times New Roman" w:eastAsia="Times New Roman" w:hAnsi="Times New Roman"/>
                <w:sz w:val="18"/>
                <w:szCs w:val="18"/>
                <w:color w:val="auto"/>
                <w:w w:val="95"/>
              </w:rPr>
              <w:t>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34"/>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center"/>
              <w:ind w:left="897"/>
              <w:spacing w:after="0"/>
              <w:rPr>
                <w:sz w:val="20"/>
                <w:szCs w:val="20"/>
                <w:color w:val="auto"/>
              </w:rPr>
            </w:pPr>
            <w:r>
              <w:rPr>
                <w:rFonts w:ascii="Times New Roman" w:cs="Times New Roman" w:eastAsia="Times New Roman" w:hAnsi="Times New Roman"/>
                <w:sz w:val="18"/>
                <w:szCs w:val="18"/>
                <w:color w:val="auto"/>
                <w:w w:val="95"/>
              </w:rPr>
              <w:t>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859"/>
        </w:trPr>
        <w:tc>
          <w:tcPr>
            <w:tcW w:w="4120" w:type="dxa"/>
            <w:vAlign w:val="bottom"/>
          </w:tcPr>
          <w:p>
            <w:pPr>
              <w:spacing w:after="0"/>
              <w:rPr>
                <w:sz w:val="24"/>
                <w:szCs w:val="24"/>
                <w:color w:val="auto"/>
              </w:rPr>
            </w:pPr>
          </w:p>
        </w:tc>
        <w:tc>
          <w:tcPr>
            <w:tcW w:w="416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220" w:type="dxa"/>
            <w:vAlign w:val="bottom"/>
          </w:tcPr>
          <w:p>
            <w:pPr>
              <w:spacing w:after="0"/>
              <w:rPr>
                <w:sz w:val="18"/>
                <w:szCs w:val="18"/>
                <w:color w:val="auto"/>
              </w:rPr>
            </w:pPr>
          </w:p>
        </w:tc>
        <w:tc>
          <w:tcPr>
            <w:tcW w:w="13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1, 2025</w:t>
            </w: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36,804</w:t>
            </w: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15,554</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39,947</w:t>
            </w:r>
          </w:p>
        </w:tc>
      </w:tr>
      <w:tr>
        <w:trPr>
          <w:trHeight w:val="22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92,305</w:t>
            </w: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fixed-maturity investments: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80" w:type="dxa"/>
            <w:vAlign w:val="bottom"/>
          </w:tcPr>
          <w:p>
            <w:pPr>
              <w:spacing w:after="0"/>
              <w:rPr>
                <w:sz w:val="13"/>
                <w:szCs w:val="13"/>
                <w:color w:val="auto"/>
              </w:rPr>
            </w:pP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0" w:type="dxa"/>
            <w:vAlign w:val="bottom"/>
          </w:tcPr>
          <w:p>
            <w:pPr>
              <w:spacing w:after="0"/>
              <w:rPr>
                <w:sz w:val="1"/>
                <w:szCs w:val="1"/>
                <w:color w:val="auto"/>
              </w:rPr>
            </w:pP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 2025</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amortized cost and estimated fair values of these investments at May 31, 2025, by contractual maturity, are shown below. Expected maturities may differ from contractual maturities, as borrowers may have the right to call or prepay obligations with or without penalty. Investments that are due within one year are included in other current assets while those due after one year are included as other non-current assets. Gross realized gains and losses were insignificant for all periods presented.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0"/>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periodically use interest rate swaps, currency put options, forward purchase contracts, or other instruments to manage risks generally associated with foreign exchange rate (primarily related to the Canadian dollar and euro),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2025, we entered into an interest rate swap with a notional value of $75.0 million with an expiration date of January 5, 2027, to hedge a portion of our exposure to variability in cash flows from interest payments on our floating-rate revolving credit facility. In fiscal 2020, we entered into an interest rate swap with a notional value of $30.0 million with an expiration date of February 5, 2026, to hedge a portion of our exposure to variability in cash flows from interest payments on our floating-rate revolving credit facility.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2025, we held foreign exchange option contracts with U.S. dollar notional values of $0.8 million.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 instruments that qualify for hedge accounting are recorded within our consolidated balance sheets within other current assets and other current liabilities. Gains or losses associated with these instruments are recorded as a component of accumulated other comprehensive loss until which time the hedged transaction is settled and gains or losses are reclassified to earnings.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were: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23,499</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option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1, 2025</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20,758</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option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revolving credit facility and a committed $250.0 million delayed draw term loan facility. Borrowings under the revolving credit facility can be in Canadian dollars (CAD) limited to $25.0 million USD. The term loan facility may be utilized in up to two draw downs, which are available to be made within one year after the closing date. The senior credit facility has a term of five years with a maturity date of July 19, 2029.</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replaced the previous revolving credit facility with Wells Fargo Bank, N.A., as administrative agent, and other lenders, with maximum borrowings up to $385.0 million, and the two Canadian credit facilities with Bank of Montreal totaling $25.0 million USD.</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a result of the execution of the Credit Agreement, in the second quarter of fiscal 2025, we recognized a loss on extinguishment of debt within interest expense of $0.5 million for the write-off of unamortized financing fees related to the previous revolving credit facility. Additionally, we capitalized $3.0 million of lender fees and $0.8 million of third-party fees incurred in connection with the Credit Agreement, which were recorded as other non-current assets and are being amortized over the term of the credit facility as interest expense.</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May 31, 2025, we were in compliance with all covenants as defined under the terms of the Credit Agreement.</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Credit Agreement also contains an acquisition “holiday.” In the event we make an acquisition for which the purchase price is greater than $75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Borrowings under the Credit Agreement bear floating interest at either the Base Rate or Term Secured Overnight Financing Rate (SOFR), or, for CAD borrowings, Canadian Overnight Repo Rate Average (CORRA) plus, in each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 respectively.</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an “accordion” provision. Under this provision, we can request that the senior credit facility be increased by unlimited additional amounts. Any lender may elect or decline to participate in the requested increase at their sole discretion.</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November 4, 2024, as part of the acquisition of UW Interco, LLC (UW Solutions), and for working capital and general corporate purposes, we executed a drawdown against the delayed draw term loan facility for $250.0 million. Outstanding borrowings under the term loan facility were $215.0 million as of May 31, 2025. Outstanding borrowings under the revolving credit facility were $96.0 million as of May 31, 2025.</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May 31, 2025, we had a total of $2.6 million of ongoing letters of credit related to the senior credit facility, construction contracts and insurance collateral that expire in fiscal year 2026 and reduce borrowing capacity under the revolving credit facility. As of May 31, 2025, the amount available for revolving borrowings was $351.4 million.</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senior credit facility approximated carrying value at May 31, 2025, and would be classified as Level 2 within the fair value hierarchy described in Note 4, due to the variable interest rates on these instruments.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260" w:type="dxa"/>
            <w:vAlign w:val="bottom"/>
          </w:tcPr>
          <w:p>
            <w:pPr>
              <w:spacing w:after="0"/>
              <w:rPr>
                <w:sz w:val="16"/>
                <w:szCs w:val="16"/>
                <w:color w:val="auto"/>
              </w:rPr>
            </w:pPr>
          </w:p>
        </w:tc>
        <w:tc>
          <w:tcPr>
            <w:tcW w:w="13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June 1, 2024</w:t>
            </w:r>
          </w:p>
        </w:tc>
      </w:tr>
      <w:tr>
        <w:trPr>
          <w:trHeight w:val="23"/>
        </w:trPr>
        <w:tc>
          <w:tcPr>
            <w:tcW w:w="7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gain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payments under the credit facilities were $4.4 million and $1.1 million for the three months ended May 31, 2025 and June 1, 2024, respectively. The weighted average interest rates on borrowings outstanding, inclusive of the impact of our interest rate swap as of May 31, 2025 and March 1, 2025 were 4.46% and 4.32%, respectively.</w:t>
      </w:r>
    </w:p>
    <w:p>
      <w:pPr>
        <w:spacing w:after="0" w:line="200"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 commitments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predominantly in our Architectural Services Segment, we are required to provide surety or performance bonds that commit payments to our customers for non-performance against our contracts. At May 31, 2025, $1.2 billion of these types of bonds were outstanding, of which $339.2 million is in our backlog. These bonds have expiration dates that align with the completion of these contracts. We have never been required to make payments under surety or performance bonds with respect to our existing businesses.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these accruals in any given period include changes in manufacturing quality, changes in product mix, and any significant changes in sales volume.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Pr>
          <w:p>
            <w:pPr>
              <w:spacing w:after="0"/>
              <w:rPr>
                <w:sz w:val="19"/>
                <w:szCs w:val="19"/>
                <w:color w:val="auto"/>
              </w:rPr>
            </w:pPr>
          </w:p>
        </w:tc>
        <w:tc>
          <w:tcPr>
            <w:tcW w:w="14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May 31, 2025</w:t>
            </w:r>
          </w:p>
        </w:tc>
      </w:tr>
      <w:tr>
        <w:trPr>
          <w:trHeight w:val="229"/>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r>
      <w:tr>
        <w:trPr>
          <w:trHeight w:val="23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accruals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30"/>
        </w:trPr>
        <w:tc>
          <w:tcPr>
            <w:tcW w:w="9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23"/>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18,208</w:t>
            </w:r>
          </w:p>
        </w:tc>
      </w:tr>
      <w:tr>
        <w:trPr>
          <w:trHeight w:val="20"/>
        </w:trPr>
        <w:tc>
          <w:tcPr>
            <w:tcW w:w="9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in certain parts of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Architectural Metals Segment. We manage the risk of these exposures through contract negotiations, proactive project management and insurance coverages.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31, 2025, we had $2.6 million of ongoing letters of credit as discussed in Note 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$16.0 million as of May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Markets Tax Credit (NMTC) transactions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two outstanding NMTC arrangements which help to support operational expansion. Proceeds received from investors on these transactions are included within other current liabilities in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current assets in our consolidated balance sheets. These costs will be recognized in conjunction with the recognition of the related proceeds on each arrangement. During the construction phase or for working capital purposes for each project, we are required to hold cash dedicated to fund each project, which is classified as restricted cash in our consolidated balance sheets. As a result of the structure of these transactions, variable-interest entities were created. As the other investors in these programs do not have a material interest in the entities' underlying economics, we include 100% of the results of the variable-interest entities in our 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estimated benefits related to our outstanding NMTC transactions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Inception date</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20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Deferred benefit</w:t>
            </w:r>
          </w:p>
        </w:tc>
        <w:tc>
          <w:tcPr>
            <w:tcW w:w="24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Deferred costs</w:t>
            </w:r>
          </w:p>
        </w:tc>
        <w:tc>
          <w:tcPr>
            <w:tcW w:w="30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Net benefit</w:t>
            </w:r>
          </w:p>
        </w:tc>
      </w:tr>
      <w:tr>
        <w:trPr>
          <w:trHeight w:val="226"/>
        </w:trPr>
        <w:tc>
          <w:tcPr>
            <w:tcW w:w="278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May 2022</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229"/>
        </w:trPr>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2018</w:t>
            </w:r>
          </w:p>
        </w:tc>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r>
      <w:tr>
        <w:trPr>
          <w:trHeight w:val="248"/>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Continuation of the August 2018 NMTC financing transaction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December 2022, the claimant in an arbitration of one such claim was awarded $20 million by an arbitration panel. The claimant then sought to confirm this award in Los Angeles Superior Court in March 2023. In response, the Company moved to vacate the award. Later in March 2023, the Superior Court confirmed the award, which the Company appealed in June 2023. The appeal was argued before the California Court of Appeals, Second Appellate District, Division Seven, on March 7, 2025. The California Court of Appeals confirmed the judgment of the Superior Court on March 25, 2025 and the Company paid the final arbitration award, including accrued post-judgment interest, in the amount of $24.7 million, on April 7, 2025. As a result of the judgment, in the fourth quarter of fiscal 2025, we recorded expense of $9.4 million, which represented the impact of the award amount net of existing reserves and insurance proceeds of $11.0 million.</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Supplier Finance Program Obligations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 supplier financing arrangement that enables select suppliers, at their sole discretion, to sell our receivables (i.e., our payment obligations to the suppliers) on a non-recourse basis in order to be paid earlier than our payment terms provide. These suppliers’ voluntary inclusion of invoices in the supplier financing arrangement has no bearing on our payment terms, the amounts we pay, or our liquidity. We have no economic interest in the supplier’s decision to participate in the supplier financing program, and we do not provide any guarantees in connection with it. The balances owed are reflected in accounts payable in the consolidated balance sheets and are reflected in net cash provided by operating activities in our consolidated statements of cash flows when settled.</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obligation activity and outstanding balance as of May 31, 2025 that we have confirmed as valid to the administrators of our program:</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8"/>
                <w:szCs w:val="18"/>
                <w:color w:val="auto"/>
              </w:rPr>
            </w:pPr>
          </w:p>
        </w:tc>
        <w:tc>
          <w:tcPr>
            <w:tcW w:w="170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May 31, 2025</w:t>
            </w:r>
          </w:p>
        </w:tc>
      </w:tr>
      <w:tr>
        <w:trPr>
          <w:trHeight w:val="226"/>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r>
      <w:tr>
        <w:trPr>
          <w:trHeight w:val="23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added to the program</w:t>
            </w: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13,392</w:t>
            </w:r>
          </w:p>
        </w:tc>
      </w:tr>
      <w:tr>
        <w:trPr>
          <w:trHeight w:val="229"/>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(12,794)</w:t>
            </w:r>
          </w:p>
        </w:tc>
      </w:tr>
      <w:tr>
        <w:trPr>
          <w:trHeight w:val="223"/>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w:t>
            </w:r>
          </w:p>
        </w:tc>
      </w:tr>
      <w:tr>
        <w:trPr>
          <w:trHeight w:val="20"/>
        </w:trPr>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paid dividends totaling $5.5 million ($0.26 per share) in the first three months of fiscal 2026, compared to declared dividends of $5.4 million ($0.25 per share) in the comparable prior year period.</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fiscal 2004, the Board of Directors authorized a share repurchase program allowing us to repurchase shares of our outstanding common stock, with subsequent increases in authorization. During the three-months ended May 31, 2025, we did not repurchase shares under the program. During the three-months ended June 1, 2024, we repurchased 241,573 shares under the program, for a total cost of $15.1 million. We have repurchased a total of 12,063,207 shares, at a total cost of $438.5 million, since the inception of this program in fiscal 2004. We have remaining authority to repurchase 2,186,793 shares under this program, which has no expiration date. We may also elect to repurchase additional shares of common stock under our authorization, subject to limitations contained in our debt agreements and based upon our assessment of a number of factors, including share price, trading volume and general market conditions, working capital requirements, general business conditions, financial conditions, any applicable contractual limitations, and other factors, including alternative investment opportunities. We may finance share repurchases with available cash, additional debt or other sources of financing.</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shares withheld from the vesting of restricted awards, or the settlement of performance-based awards, are treated as purchases and retirements, and are included within other, net in the financing activities section in the consolidated statement of cash flows.</w:t>
      </w:r>
    </w:p>
    <w:p>
      <w:pPr>
        <w:spacing w:after="0" w:line="19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part of our compensation structure, we grant stock-based compensation awards to certain employees and non-employee directors during the fiscal year. These awards may be in the form of incentive stock options (to employees only), restricted stock awards and restricted stock units, and performance share unit awards, all of which are granted at a price or with an exercise price equal to the fair market value of the Company’s stock at the date of award, unless the date of the award is on a day the Nasdaq Stock Market is not open for trading. In that case, the exercise price shall equal the fair market value on the most recent preceding date when such market is open.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stock-based compensation awards granted during the three-months ended May 31, 2025, along with the weighted average grant date fair value: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60" w:type="dxa"/>
            <w:vAlign w:val="bottom"/>
          </w:tcPr>
          <w:p>
            <w:pPr>
              <w:spacing w:after="0"/>
              <w:rPr>
                <w:sz w:val="13"/>
                <w:szCs w:val="13"/>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7"/>
        </w:trPr>
        <w:tc>
          <w:tcPr>
            <w:tcW w:w="8000" w:type="dxa"/>
            <w:vAlign w:val="bottom"/>
            <w:gridSpan w:val="2"/>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6"/>
        </w:trPr>
        <w:tc>
          <w:tcPr>
            <w:tcW w:w="790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Restricted stock awards and restricted stock units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0" w:type="dxa"/>
            <w:vAlign w:val="bottom"/>
          </w:tcPr>
          <w:p>
            <w:pPr>
              <w:spacing w:after="0"/>
              <w:rPr>
                <w:sz w:val="1"/>
                <w:szCs w:val="1"/>
                <w:color w:val="auto"/>
              </w:rPr>
            </w:pPr>
          </w:p>
        </w:tc>
      </w:tr>
      <w:tr>
        <w:trPr>
          <w:trHeight w:val="306"/>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Performance share units </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80" w:hanging="154"/>
        <w:spacing w:after="0"/>
        <w:tabs>
          <w:tab w:leader="none" w:pos="18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 service condition awards which generally vest over a two- or three-year period.</w:t>
      </w:r>
    </w:p>
    <w:p>
      <w:pPr>
        <w:spacing w:after="0" w:line="23" w:lineRule="exact"/>
        <w:rPr>
          <w:rFonts w:ascii="Times New Roman" w:cs="Times New Roman" w:eastAsia="Times New Roman" w:hAnsi="Times New Roman"/>
          <w:sz w:val="19"/>
          <w:szCs w:val="19"/>
          <w:color w:val="auto"/>
          <w:vertAlign w:val="superscript"/>
        </w:rPr>
      </w:pPr>
    </w:p>
    <w:p>
      <w:pPr>
        <w:jc w:val="both"/>
        <w:ind w:left="180" w:right="20" w:hanging="154"/>
        <w:spacing w:after="0" w:line="219" w:lineRule="auto"/>
        <w:tabs>
          <w:tab w:leader="none" w:pos="181"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 performance condition awards with the grant equal to the target number of performance shares based on the share price at grant date. These grants allow for the right to receive a variable number of shares, between 0% and 200% of target, dependent on being employed at the end of the performance period and achieving defined performance goals for average adjusted return on invested capital and cumulative adjusted earnings per share.</w:t>
      </w: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included in the results of operations was $2.3 million for the three-month period ended May 31, 2025 and $2.7 million for the three-month period ended June 1, 2024,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May 31, 2025, there was $17.2 million of total unrecognized compensation cost related to nonvested share and nonvested share unit awards, which is expected to be recognized over a weighted average period of approximately 26 months. The total fair value of shares vested during the three-months ended May 31, 2025 was $7.4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various U.S. state and local jurisdictions, Canada, Brazil, and other international jurisdictions. We are not subject to U.S. federal tax examinations for years prior to fiscal 2021, or state and local income tax examinations for years prior to fiscal 2020. We are not currently under U.S. federal examination for years subsequent to fiscal year 2020, and there is very limited audit activity of our income tax returns in U.S. state jurisdictions or international jurisdictions.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interim periods, our income tax expense and resulting effective tax rate are based upon an estimated annual effective tax rate adjusted for the effects of items required to be treated as discrete to the period, including changes in tax laws, changes in estimated exposures for uncertain tax positions and other items. Income tax expense as a percentage of earnings before income tax was 211.9%, compared to 24.5% for the same period last year. The increase in the effective tax rate was primarily driven by lower net earnings before income tax.</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liability for unrecognized tax benefits was $6.1 million at May 31, 2025 compared to $6.0 million at March 1, 2025. Penalties and interest related to unrecognized tax benefits are recorded in income tax expense.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 (diluted EPS):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2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240" w:type="dxa"/>
            <w:vAlign w:val="bottom"/>
          </w:tcPr>
          <w:p>
            <w:pPr>
              <w:spacing w:after="0"/>
              <w:rPr>
                <w:sz w:val="16"/>
                <w:szCs w:val="16"/>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0" w:type="dxa"/>
            <w:vAlign w:val="bottom"/>
          </w:tcPr>
          <w:p>
            <w:pPr>
              <w:spacing w:after="0"/>
              <w:rPr>
                <w:sz w:val="1"/>
                <w:szCs w:val="1"/>
                <w:color w:val="auto"/>
              </w:rPr>
            </w:pPr>
          </w:p>
        </w:tc>
      </w:tr>
      <w:tr>
        <w:trPr>
          <w:trHeight w:val="229"/>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31,011</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 weighted average common shares outstanding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effect of nonvested share grants and assumed exercise of stock options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48"/>
        </w:trPr>
        <w:tc>
          <w:tcPr>
            <w:tcW w:w="8260" w:type="dxa"/>
            <w:vAlign w:val="bottom"/>
            <w:tcBorders>
              <w:top w:val="single" w:sz="8" w:color="CCEEFF"/>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Diluted earnings per share – weighted average common shares and potential common shares outstanding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Stock awards excluded from the calculation of earnings per share because the effect was anti-dilutive (award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2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price greater than average market price of the shares)</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0"/>
        </w:trPr>
        <w:tc>
          <w:tcPr>
            <w:tcW w:w="8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ind w:left="200" w:hanging="174"/>
        <w:spacing w:after="0" w:line="217" w:lineRule="auto"/>
        <w:tabs>
          <w:tab w:leader="none" w:pos="2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the first quarter of fiscal 2026, there were 224 shares excluded from the calculation of diluted loss per share, due to their anti-dilutive effect.</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59"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Segment Data</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four operating segments which are also reportable segments. Each of our four segments have distinct economic characteristics, including products and services provided, production processes and varying ranges in performance and results:</w:t>
      </w:r>
    </w:p>
    <w:p>
      <w:pPr>
        <w:ind w:left="460" w:hanging="331"/>
        <w:spacing w:after="0" w:line="250"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Metals Segment</w:t>
      </w:r>
      <w:r>
        <w:rPr>
          <w:rFonts w:ascii="Times New Roman" w:cs="Times New Roman" w:eastAsia="Times New Roman" w:hAnsi="Times New Roman"/>
          <w:sz w:val="18"/>
          <w:szCs w:val="18"/>
          <w:color w:val="auto"/>
        </w:rPr>
        <w:t xml:space="preserve"> designs, engineers, fabricates and finishes aluminum window, curtainwall, storefront and entrance systems used primarily in non-residential construction.</w:t>
      </w:r>
    </w:p>
    <w:p>
      <w:pPr>
        <w:ind w:left="460" w:hanging="331"/>
        <w:spacing w:after="0" w:line="250"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 Segment</w:t>
      </w:r>
      <w:r>
        <w:rPr>
          <w:rFonts w:ascii="Times New Roman" w:cs="Times New Roman" w:eastAsia="Times New Roman" w:hAnsi="Times New Roman"/>
          <w:sz w:val="18"/>
          <w:szCs w:val="18"/>
          <w:color w:val="auto"/>
        </w:rPr>
        <w:t xml:space="preserve"> integrates technical services, project management, and field installation services to design, engineer, fabricate, and install architectural curtainwall and other façade-related systems primarily in non-residential construction.</w:t>
      </w:r>
    </w:p>
    <w:p>
      <w:pPr>
        <w:ind w:left="460" w:hanging="331"/>
        <w:spacing w:after="0" w:line="250"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 Segment</w:t>
      </w:r>
      <w:r>
        <w:rPr>
          <w:rFonts w:ascii="Times New Roman" w:cs="Times New Roman" w:eastAsia="Times New Roman" w:hAnsi="Times New Roman"/>
          <w:sz w:val="18"/>
          <w:szCs w:val="18"/>
          <w:color w:val="auto"/>
        </w:rPr>
        <w:t xml:space="preserve"> cuts, treats, coats and fabricates high-performance glass used in custom window and wall systems primarily for non-residential buildings.</w:t>
      </w:r>
    </w:p>
    <w:p>
      <w:pPr>
        <w:ind w:left="460" w:hanging="331"/>
        <w:spacing w:after="0" w:line="260"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Performance Surfaces Segment</w:t>
      </w:r>
      <w:r>
        <w:rPr>
          <w:rFonts w:ascii="Times New Roman" w:cs="Times New Roman" w:eastAsia="Times New Roman" w:hAnsi="Times New Roman"/>
          <w:sz w:val="18"/>
          <w:szCs w:val="18"/>
          <w:color w:val="auto"/>
        </w:rPr>
        <w:t xml:space="preserve"> develops and manufactures high-performance coated materials for a variety of applications, including wall decor, museums, graphic design, digital displays, architectural interiors, and industrial flooring.</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CEO is the chief operating decision maker (CODM)</w:t>
      </w:r>
      <w:r>
        <w:rPr>
          <w:rFonts w:ascii="Arial" w:cs="Arial" w:eastAsia="Arial" w:hAnsi="Arial"/>
          <w:sz w:val="17"/>
          <w:szCs w:val="17"/>
          <w:color w:val="auto"/>
        </w:rPr>
        <w:t>.</w:t>
      </w:r>
      <w:r>
        <w:rPr>
          <w:rFonts w:ascii="Times New Roman" w:cs="Times New Roman" w:eastAsia="Times New Roman" w:hAnsi="Times New Roman"/>
          <w:sz w:val="18"/>
          <w:szCs w:val="18"/>
          <w:color w:val="auto"/>
        </w:rPr>
        <w:t xml:space="preserve"> The CODM utilizes net sales and adjusted earnings before interest, taxes, depreciation and amortization (EBITDA) to assess segment performance and make decisions about the allocation of operating and capital resources by analyzing recent results, trends, and variances of each segment in relation to forecasts and historical performance.</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sales, adjusted cost of sales, adjusted SG&amp;A, other income (expense), depreciation and amortization and the resulting adjusted EBITDA for each of the Company’s four reportable segments are presented below. Segment net sales is defined as net sales for a certain segment and includes revenue related to intersegment transactions. We report net sales intersegment eliminations separately to exclude these sales from our consolidated total. Segment adjusted EBITDA includes intersegment sales transactions and excludes certain corporate costs that are not allocated at a segment level. We report these unallocated corporate costs in Corporate and Other.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May 31, 2025</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280" w:type="dxa"/>
            <w:vAlign w:val="bottom"/>
          </w:tcPr>
          <w:p>
            <w:pPr>
              <w:spacing w:after="0"/>
              <w:rPr>
                <w:sz w:val="14"/>
                <w:szCs w:val="14"/>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346,622</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net sales</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350,652</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(268,243)</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(57,248)</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June 1, 2024</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280" w:type="dxa"/>
            <w:vAlign w:val="bottom"/>
          </w:tcPr>
          <w:p>
            <w:pPr>
              <w:spacing w:after="0"/>
              <w:rPr>
                <w:sz w:val="14"/>
                <w:szCs w:val="14"/>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331,516</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net sales</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340,106</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(241,177)</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(52,036)</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60" w:right="40" w:hanging="366"/>
        <w:spacing w:after="0" w:line="192" w:lineRule="auto"/>
        <w:tabs>
          <w:tab w:leader="none" w:pos="56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Adjusted cost of sales excludes $7.0 million of adjustments related to acquisition and restructuring expense and $0.6 million of adjustments related to restructuring expense as described in more detail within the reconciliation presented below, for the three months ended May 31, 2025 and June 1, 2024, respectively.</w:t>
      </w:r>
    </w:p>
    <w:p>
      <w:pPr>
        <w:jc w:val="both"/>
        <w:ind w:left="560" w:right="60" w:hanging="366"/>
        <w:spacing w:after="0" w:line="190" w:lineRule="auto"/>
        <w:tabs>
          <w:tab w:leader="none" w:pos="56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Adjusted SG&amp;A expenses excludes $6.0 million of adjustments related to acquisition and restructuring expense and $0.4 million of adjustments related to restructuring expense as described in more detail within the reconciliation presented below, for the three months ended May 31, 2025 and June 1, 2024, respectively.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adjusted EBITDA to net (loss) earnings, the nearest measurement under U.S. GAAP:</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gridSpan w:val="4"/>
          </w:tcPr>
          <w:p>
            <w:pPr>
              <w:jc w:val="right"/>
              <w:ind w:right="119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9"/>
                <w:szCs w:val="19"/>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May 31, 2025</w:t>
            </w:r>
          </w:p>
        </w:tc>
        <w:tc>
          <w:tcPr>
            <w:tcW w:w="340" w:type="dxa"/>
            <w:vAlign w:val="bottom"/>
          </w:tcPr>
          <w:p>
            <w:pPr>
              <w:spacing w:after="0"/>
              <w:rPr>
                <w:sz w:val="19"/>
                <w:szCs w:val="19"/>
                <w:color w:val="auto"/>
              </w:rPr>
            </w:pPr>
          </w:p>
        </w:tc>
        <w:tc>
          <w:tcPr>
            <w:tcW w:w="16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June 1, 2024</w:t>
            </w:r>
          </w:p>
        </w:tc>
      </w:tr>
      <w:tr>
        <w:trPr>
          <w:trHeight w:val="226"/>
        </w:trPr>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56,286</w:t>
            </w: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r>
      <w:tr>
        <w:trPr>
          <w:trHeight w:val="229"/>
        </w:trPr>
        <w:tc>
          <w:tcPr>
            <w:tcW w:w="7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acquisition-related costs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restructuring costs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w:t>
            </w:r>
          </w:p>
        </w:tc>
      </w:tr>
      <w:tr>
        <w:trPr>
          <w:trHeight w:val="22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r>
      <w:tr>
        <w:trPr>
          <w:trHeight w:val="223"/>
        </w:trPr>
        <w:tc>
          <w:tcPr>
            <w:tcW w:w="7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 earnings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31,011</w:t>
            </w:r>
          </w:p>
        </w:tc>
      </w:tr>
      <w:tr>
        <w:trPr>
          <w:trHeight w:val="21"/>
        </w:trPr>
        <w:tc>
          <w:tcPr>
            <w:tcW w:w="7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560" w:hanging="366"/>
        <w:spacing w:after="0"/>
        <w:tabs>
          <w:tab w:leader="none" w:pos="5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Acquisition-related costs include costs related to one-time expenses incurred to integrate the UW Solutions acquisition.</w:t>
      </w:r>
    </w:p>
    <w:p>
      <w:pPr>
        <w:spacing w:after="0" w:line="27" w:lineRule="exact"/>
        <w:rPr>
          <w:rFonts w:ascii="Times New Roman" w:cs="Times New Roman" w:eastAsia="Times New Roman" w:hAnsi="Times New Roman"/>
          <w:sz w:val="14"/>
          <w:szCs w:val="14"/>
          <w:color w:val="auto"/>
        </w:rPr>
      </w:pPr>
    </w:p>
    <w:p>
      <w:pPr>
        <w:ind w:left="560" w:hanging="366"/>
        <w:spacing w:after="0"/>
        <w:tabs>
          <w:tab w:leader="none" w:pos="5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Segment restructuring charges related to Project Fortify.</w:t>
      </w:r>
    </w:p>
    <w:p>
      <w:pPr>
        <w:spacing w:after="0" w:line="33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2024, we completed the acquisition of UW Solutions for $240.9 million in cash. UW Solutions is a U.S. based, vertically integrated manufacturer of high-performance coated substrates with a portfolio of well-known brands, including ResinDEK®, ChromaLuxe®, RDC Coatings™, and Unisub®, each known as a leader in its specified applications. The UW Solutions business activity is included in our Large-Scale Optical Segment.</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total purchase consideration was $232.2 million in cash, net of a favorable net working capital adjustment of $0.9 million and cash acquired of $8.7 million. The acquisition was funded with cash on hand and borrowings under our existing credit agreement. During fiscal 2025, we incurred total pre-tax acquisition-related expenses of $10.3 million associated with the acquisition. During the first quarter of fiscal 2026, we incurred $0.1 million and $0.2 million in integration costs associated with the acquisition, which are included in cost of sales and SG&amp;A within our consolidated results of operations, respectively.</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accounted for the acquisition as a purchase of a business and recorded the excess of the purchase price over the estimated fair value of the assets acquired and liabilities assumed as goodwill of $107.8 million. The goodwill recognized is attributable primarily to expected synergies by integrating UW Solutions into our Performance Surfaces Segment and by creating a scalable growth platform in the specialty coatings and materials market. The goodwill is expected to be amortized and deductible for income tax purposes. We have provisionally determined the appropriate fair values of the acquired intangible assets and completed our analysis of the economic lives of the assets acquired.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fair values of assets acquired and liabilities assumed at the acquisition date: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9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3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26,563</w:t>
            </w: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107,826</w:t>
            </w: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79,679</w:t>
            </w:r>
          </w:p>
        </w:tc>
      </w:tr>
      <w:tr>
        <w:trPr>
          <w:trHeight w:val="229"/>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9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268,578</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r>
      <w:tr>
        <w:trPr>
          <w:trHeight w:val="229"/>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3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r>
      <w:tr>
        <w:trPr>
          <w:trHeight w:val="223"/>
        </w:trPr>
        <w:tc>
          <w:tcPr>
            <w:tcW w:w="9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27,705</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recorded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240,873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impact of the acquisition of UW Solutions on our consolidated results of operations for the three-month period ended on May 31, 2025 was $22.0 million of net sales and $1.4 million net loss, respectively.</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following supplemental unaudited pro forma information presents our financial results as if the acquisition of UW Solutions had occurred on March 3, 2024. This supplemental pro forma information has been prepared for comparative purposes and would not necessarily indicate what may have occurred if the acquisition had been completed on March 3, 2024, and this information is not intended to be indicative of future results.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earnings per share data)</w:t>
            </w:r>
          </w:p>
        </w:tc>
        <w:tc>
          <w:tcPr>
            <w:tcW w:w="140" w:type="dxa"/>
            <w:vAlign w:val="bottom"/>
          </w:tcPr>
          <w:p>
            <w:pPr>
              <w:spacing w:after="0"/>
              <w:rPr>
                <w:sz w:val="16"/>
                <w:szCs w:val="16"/>
                <w:color w:val="auto"/>
              </w:rPr>
            </w:pPr>
          </w:p>
        </w:tc>
        <w:tc>
          <w:tcPr>
            <w:tcW w:w="1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960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tcPr>
          <w:p>
            <w:pPr>
              <w:spacing w:after="0"/>
              <w:rPr>
                <w:sz w:val="16"/>
                <w:szCs w:val="16"/>
                <w:color w:val="auto"/>
              </w:rPr>
            </w:pPr>
          </w:p>
        </w:tc>
        <w:tc>
          <w:tcPr>
            <w:tcW w:w="15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0" w:type="dxa"/>
            <w:vAlign w:val="bottom"/>
          </w:tcPr>
          <w:p>
            <w:pPr>
              <w:spacing w:after="0"/>
              <w:rPr>
                <w:sz w:val="1"/>
                <w:szCs w:val="1"/>
                <w:color w:val="auto"/>
              </w:rPr>
            </w:pPr>
          </w:p>
        </w:tc>
      </w:tr>
      <w:tr>
        <w:trPr>
          <w:trHeight w:val="228"/>
        </w:trPr>
        <w:tc>
          <w:tcPr>
            <w:tcW w:w="9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354,628</w:t>
            </w:r>
          </w:p>
        </w:tc>
        <w:tc>
          <w:tcPr>
            <w:tcW w:w="0" w:type="dxa"/>
            <w:vAlign w:val="bottom"/>
          </w:tcPr>
          <w:p>
            <w:pPr>
              <w:spacing w:after="0"/>
              <w:rPr>
                <w:sz w:val="1"/>
                <w:szCs w:val="1"/>
                <w:color w:val="auto"/>
              </w:rPr>
            </w:pPr>
          </w:p>
        </w:tc>
      </w:tr>
      <w:tr>
        <w:trPr>
          <w:trHeight w:val="230"/>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0" w:type="dxa"/>
            <w:vAlign w:val="bottom"/>
          </w:tcPr>
          <w:p>
            <w:pPr>
              <w:spacing w:after="0"/>
              <w:rPr>
                <w:sz w:val="1"/>
                <w:szCs w:val="1"/>
                <w:color w:val="auto"/>
              </w:rPr>
            </w:pPr>
          </w:p>
        </w:tc>
      </w:tr>
      <w:tr>
        <w:trPr>
          <w:trHeight w:val="229"/>
        </w:trPr>
        <w:tc>
          <w:tcPr>
            <w:tcW w:w="9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9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Nonrecurring charges of $0.3 million integration costs incurred in the first quarter of fiscal 2026 are reflected as if those charges were incurred in the first quarter of fiscal 2025 supplemental pro forma earnings.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amounts have been calculated after applying our accounting policies and adjusting the results of UW Solutions to reflect the effect of definite-lived intangible assets recognized as part of the business combination on amortization expense as if the acquisition had occurred on March 3,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fourth quarter of fiscal 2024, we announced strategic actions to streamline our business operations, enable a more efficient cost model, and better position the Company for profitable growth (referred to as “Project Fortify”). Project Fortify primarily impacted the Architectural Metals Segment and included:</w:t>
      </w:r>
    </w:p>
    <w:p>
      <w:pPr>
        <w:spacing w:after="0" w:line="1" w:lineRule="exact"/>
        <w:rPr>
          <w:sz w:val="20"/>
          <w:szCs w:val="20"/>
          <w:color w:val="auto"/>
        </w:rPr>
      </w:pPr>
    </w:p>
    <w:p>
      <w:pPr>
        <w:ind w:left="5540" w:right="2180" w:hanging="5208"/>
        <w:spacing w:after="0" w:line="902"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certain lower-margin product and service offerings, enabling consolidation into a single operating entity.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production operations from the Company’s facility in Walker, Michigan, to the Company’s facilities in Monett, Missouri and Wausau, Wisconsin.</w:t>
      </w:r>
    </w:p>
    <w:p>
      <w:pPr>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Simplifying the segment’s brand portfolio and commercial model to improve flexibility, better leverage the Company’s capabilities, and enhance customer service.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Company implemented actions to optimize processes and streamline resources in its Architectural Services and Corporate and Other. The Company completed Project Fortify during the fourth quarter of fiscal 2025 and incurred a total of $16.7 million of restructuring charges, which led to an annualized pre-tax cost savings of approximately $14 million.</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April 23, 2025, we announced a second phase of Project Fortify (referred to as "Project Fortify Phase 2" or "Phase 2") to drive further cost efficiencies, primarily in the Architectural Metals and Architectural Services Segments. Phase 2 focuses on further optimizing our operating footprint and aligning resources to enable a more effective operating model. We expect to incur approximately $24 million to $26 million of pre-tax charges associated with Phase</w:t>
      </w:r>
    </w:p>
    <w:p>
      <w:pPr>
        <w:spacing w:after="0" w:line="2"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charges are expected to include the following:</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to $10 million of severance and employee related costs;</w:t>
      </w:r>
    </w:p>
    <w:p>
      <w:pPr>
        <w:ind w:left="660" w:hanging="328"/>
        <w:spacing w:after="0" w:line="234"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to $3 million of contract termination costs; and</w:t>
      </w: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to $13 million of other expenses.</w:t>
      </w:r>
    </w:p>
    <w:p>
      <w:pPr>
        <w:spacing w:after="0" w:line="2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the actions associated with Phase 2 to be substantially completed by the end of the fourth quarter of fiscal 2026 and expect them to deliver annualized pre-tax cost savings of approximately $13 million to $15 million.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2026, we incurred $15.3 million of pre-tax costs associated with Phase 2, of which $6.9 million is included in cost of sales and $8.4 million is included within SG&amp;A. The SG&amp;A charges include a $5.0 million non-cash intangible asset impairment charge in the Architectural Services segment and $2.6 million of a non-cash asset write-off and other charges in Corporate and Other.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pretax impact of Project Fortify for the quarters ended May 31, 2025 and June 1, 2024, respectively.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15,347</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June 1, 2024</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restructuring related accrual balances included within accrued payroll and related benefits and other current liabilities in the consolidated balance sheets. All remaining accrual balances are expected to be paid within fiscal 2026.</w:t>
      </w:r>
    </w:p>
    <w:tbl>
      <w:tblPr>
        <w:tblLayout w:type="fixed"/>
        <w:tblInd w:w="0" w:type="dxa"/>
        <w:tblCellMar>
          <w:top w:w="0" w:type="dxa"/>
          <w:left w:w="0" w:type="dxa"/>
          <w:bottom w:w="0" w:type="dxa"/>
          <w:right w:w="0" w:type="dxa"/>
        </w:tblCellMar>
      </w:tblPr>
      <w:tr>
        <w:trPr>
          <w:trHeight w:val="165"/>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4"/>
                <w:szCs w:val="14"/>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1, 2025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May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charges presented in the roll forward of our restructuring accruals do not include items charged directly to expense as incurred, as those items are not reflected in accrued payroll and related benefits and other 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Quarterly Report on Form 10-Q, including the section, Management’s Discussion and Analysis of Financial Condition and Results of Operations, contains certain statements that are considered “forward-looking statements” within the meaning of the Private Securities Litigation Reform Act of 1995. These statements reflect our current views with respect to future events and financial performance. Forward-looking statements generally can be identified by the use of forward-looking terminology such as “may,” “believe,” “expect,” “anticipate,” “intend,” “estimate,” “forecast,” “project,” “should,” “will,” “continue” or similar words or expressions. All forecasts and projections in this document are “forward-looking statements,” and are based on management’s current expectations or beliefs of the Company's near-term results, based on current information available pertaining to the Company.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“Risk Factors” section of our Annual Report on Form 10-K for the year ended March 1, 2025 and in subsequent filings with the U.S. Securities and Exchange Commission, including this Quarterly Report on Form 10-Q.</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have included in this report measures of financial performance that are not defined by U.S. GAAP. We believe that these measures provide useful information and include these measures in other communications to investors. For each of these non-GAAP financial measures, we provide a reconciliation of the differences between the non-GAAP measure and the most directly comparable U.S. GAAP measure (see “Reconciliation of Non-GAAP Financial Measures” in this Item 2 below), and an explanation of why we believe the non-GAAP measure provides useful information to management and investors. These non-GAAP measures should be viewed in addition to, and not in lieu of, the comparable U.S. GAAP measure.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leading provider of architectural products and services for enclosing buildings, and high-performance coating products used in applications for preservation, protection and enhanced viewing. Our four reporting segments are: Architectural Metals, Architectural Services, Architectural Glass, and Performance Surfaces.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enterprise strategy is based on the following three key elements:</w:t>
      </w:r>
    </w:p>
    <w:p>
      <w:pPr>
        <w:spacing w:after="0" w:line="27" w:lineRule="exact"/>
        <w:rPr>
          <w:sz w:val="20"/>
          <w:szCs w:val="20"/>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Become the economic leader in our target markets. </w:t>
      </w:r>
      <w:r>
        <w:rPr>
          <w:rFonts w:ascii="Times New Roman" w:cs="Times New Roman" w:eastAsia="Times New Roman" w:hAnsi="Times New Roman"/>
          <w:sz w:val="18"/>
          <w:szCs w:val="18"/>
          <w:color w:val="auto"/>
        </w:rPr>
        <w:t>We have developed a deep understanding of our target markets and aligned our businesses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clear go-to-market strategies to drive value for our customers through differentiated product and service offerings. We are focused on operational execution, driving productivity improvements, and maintaining a competitive cost structure, so that we may bring more value to our customers and improve our own profitability.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Actively manage our portfolio to drive higher margins and returns. </w:t>
      </w:r>
      <w:r>
        <w:rPr>
          <w:rFonts w:ascii="Times New Roman" w:cs="Times New Roman" w:eastAsia="Times New Roman" w:hAnsi="Times New Roman"/>
          <w:sz w:val="18"/>
          <w:szCs w:val="18"/>
          <w:color w:val="auto"/>
        </w:rPr>
        <w:t>We are shifting our business mix toward higher operating margin offerings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to improve our return on invested capital performance. We accomplish this by allocating resources to grow our top performing businesses, actively addressing underperforming businesses, and investing to add new differentiated product and service offerings to accelerate our growth and increase margins. We continually analyze our current portfolio of products, services, and capabilities to identify the best areas for future profitable growth. We also evaluate inorganic opportunities where we can deploy capital to acquire businesses that will be accretive to our long-term growth rate and operating margins.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our core capabilities. </w:t>
      </w:r>
      <w:r>
        <w:rPr>
          <w:rFonts w:ascii="Times New Roman" w:cs="Times New Roman" w:eastAsia="Times New Roman" w:hAnsi="Times New Roman"/>
          <w:sz w:val="18"/>
          <w:szCs w:val="18"/>
          <w:color w:val="auto"/>
        </w:rPr>
        <w:t>We are shifting from our historical, decentralized operating model to one with center-led functional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enables us to leverage the scale of the enterprise to better support the needs of the business. We have established a Company-wide operating system with common tools and processes based on the foundation of Lean and Continuous Improvement, which we call the “Apogee Management System.” Our strategy is supported by a robust talent management program and a commitment to strong governance to ensure compliance and drive sustainable performance.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On April 23, 2025, we announced an extension of Project Fortify ("Project Fortify Phase 2" or "Phase 2") to drive further cost efficiencies, primarily in the Architectural Metals and Architectural Services Segments. Phase 2 focuses on further optimizing our operating footprint and aligning resources to enable a more effective operating model. We expect the actions of Phase 2 to incur approximately $24 million to $26 million of pre-tax charges. Phase 2 is expected to deliver annualized pre-tax cost savings of approximately $13 million to $15 million. We expect the actions associated with Phase 2 to be substantially completed by the end of the fourth quarter of fiscal 2026. See Note 14 for additional information.</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March 1, 2025 and the consolidated financial statements, including the notes to consolidated financial statements, included therein.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various components of operations as year over year U.S. dollar and percentage change, as well as a percentage of net sales.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980" w:type="dxa"/>
            <w:vAlign w:val="bottom"/>
            <w:gridSpan w:val="3"/>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0" w:type="dxa"/>
            <w:vAlign w:val="bottom"/>
          </w:tcPr>
          <w:p>
            <w:pPr>
              <w:spacing w:after="0"/>
              <w:rPr>
                <w:sz w:val="1"/>
                <w:szCs w:val="1"/>
                <w:color w:val="auto"/>
              </w:rPr>
            </w:pPr>
          </w:p>
        </w:tc>
      </w:tr>
      <w:tr>
        <w:trPr>
          <w:trHeight w:val="23"/>
        </w:trPr>
        <w:tc>
          <w:tcPr>
            <w:tcW w:w="5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80" w:type="dxa"/>
            <w:vAlign w:val="bottom"/>
          </w:tcPr>
          <w:p>
            <w:pPr>
              <w:spacing w:after="0"/>
              <w:rPr>
                <w:sz w:val="16"/>
                <w:szCs w:val="16"/>
                <w:color w:val="auto"/>
              </w:rPr>
            </w:pPr>
          </w:p>
        </w:tc>
        <w:tc>
          <w:tcPr>
            <w:tcW w:w="154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144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0" w:type="dxa"/>
            <w:vAlign w:val="bottom"/>
          </w:tcPr>
          <w:p>
            <w:pPr>
              <w:spacing w:after="0"/>
              <w:rPr>
                <w:sz w:val="1"/>
                <w:szCs w:val="1"/>
                <w:color w:val="auto"/>
              </w:rPr>
            </w:pPr>
          </w:p>
        </w:tc>
      </w:tr>
      <w:tr>
        <w:trPr>
          <w:trHeight w:val="229"/>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331,516</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232,661</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57,474</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3"/>
        </w:trPr>
        <w:tc>
          <w:tcPr>
            <w:tcW w:w="5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41,074</w:t>
            </w:r>
          </w:p>
        </w:tc>
        <w:tc>
          <w:tcPr>
            <w:tcW w:w="8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 earnings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31,011</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2026 to First Quarter Fiscal 2025</w:t>
      </w:r>
    </w:p>
    <w:p>
      <w:pPr>
        <w:spacing w:after="0" w:line="29" w:lineRule="exact"/>
        <w:rPr>
          <w:sz w:val="20"/>
          <w:szCs w:val="20"/>
          <w:color w:val="auto"/>
        </w:rPr>
      </w:pPr>
    </w:p>
    <w:p>
      <w:pPr>
        <w:jc w:val="both"/>
        <w:ind w:left="660" w:right="440" w:hanging="328"/>
        <w:spacing w:after="0" w:line="236" w:lineRule="auto"/>
        <w:tabs>
          <w:tab w:leader="none" w:pos="648"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Consolidated net sales increased 4.6%, to $346.6 million, driven by $22.0 million of inorganic sales contribution from the acquisition of UW Solutions. Growth from inorganic sales was partially offset by lower volume in Architectural Glass and a less favorable mix in Architectural Metals.</w:t>
      </w:r>
    </w:p>
    <w:p>
      <w:pPr>
        <w:spacing w:after="0" w:line="240" w:lineRule="exact"/>
        <w:rPr>
          <w:rFonts w:ascii="Times New Roman" w:cs="Times New Roman" w:eastAsia="Times New Roman" w:hAnsi="Times New Roman"/>
          <w:sz w:val="20"/>
          <w:szCs w:val="20"/>
          <w:b w:val="1"/>
          <w:bCs w:val="1"/>
          <w:color w:val="auto"/>
        </w:rPr>
      </w:pPr>
    </w:p>
    <w:p>
      <w:pPr>
        <w:ind w:left="660" w:right="420" w:hanging="328"/>
        <w:spacing w:after="0" w:line="239" w:lineRule="auto"/>
        <w:tabs>
          <w:tab w:leader="none" w:pos="648"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Gross margin decreased to 21.7%, compared to 29.8%, primarily due to restructuring charges of $6.9 million, a less favorable mix and higher aluminum costs in Architectural Metals, and higher tariff expense in Architectural Services.</w:t>
      </w:r>
    </w:p>
    <w:p>
      <w:pPr>
        <w:spacing w:after="0" w:line="239" w:lineRule="exact"/>
        <w:rPr>
          <w:rFonts w:ascii="Times New Roman" w:cs="Times New Roman" w:eastAsia="Times New Roman" w:hAnsi="Times New Roman"/>
          <w:sz w:val="20"/>
          <w:szCs w:val="20"/>
          <w:b w:val="1"/>
          <w:bCs w:val="1"/>
          <w:color w:val="auto"/>
        </w:rPr>
      </w:pPr>
    </w:p>
    <w:p>
      <w:pPr>
        <w:ind w:left="660" w:right="40" w:hanging="328"/>
        <w:spacing w:after="0" w:line="238" w:lineRule="auto"/>
        <w:tabs>
          <w:tab w:leader="none" w:pos="648"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SG&amp;A expenses increased $10.7 million to 19.7% of net sales, compared to 17.3% of net sales. The increase in SG&amp;A as a percentage of net sales was primarily due to restructuring charges of $8.4 million and increased amortization expense associated with the UW Solutions transaction, partially offset by lower long-term incentive expense.</w:t>
      </w:r>
    </w:p>
    <w:p>
      <w:pPr>
        <w:spacing w:after="0" w:line="238" w:lineRule="exact"/>
        <w:rPr>
          <w:rFonts w:ascii="Times New Roman" w:cs="Times New Roman" w:eastAsia="Times New Roman" w:hAnsi="Times New Roman"/>
          <w:sz w:val="20"/>
          <w:szCs w:val="20"/>
          <w:b w:val="1"/>
          <w:bCs w:val="1"/>
          <w:color w:val="auto"/>
        </w:rPr>
      </w:pPr>
    </w:p>
    <w:p>
      <w:pPr>
        <w:ind w:left="660" w:right="20" w:hanging="328"/>
        <w:spacing w:after="0" w:line="233" w:lineRule="auto"/>
        <w:tabs>
          <w:tab w:leader="none" w:pos="648"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Operating income declined to $6.9 million from $41.4 million, and operating margin decreased 1,050 basis points to 2.0%. The decline in operating margin was primarily driven by restructuring charges of $15.3 million, a less favorable mix and higher aluminum costs in Architectural Metals, higher tariff expense in Architectural Services, and increased amortization expense associated with the UW Solutions transaction, partially offset by lower long-term incentive expense.</w:t>
      </w:r>
    </w:p>
    <w:p>
      <w:pPr>
        <w:spacing w:after="0" w:line="240" w:lineRule="exact"/>
        <w:rPr>
          <w:rFonts w:ascii="Times New Roman" w:cs="Times New Roman" w:eastAsia="Times New Roman" w:hAnsi="Times New Roman"/>
          <w:sz w:val="20"/>
          <w:szCs w:val="20"/>
          <w:b w:val="1"/>
          <w:bCs w:val="1"/>
          <w:color w:val="auto"/>
        </w:rPr>
      </w:pPr>
    </w:p>
    <w:p>
      <w:pPr>
        <w:ind w:left="660" w:right="280" w:hanging="328"/>
        <w:spacing w:after="0" w:line="238" w:lineRule="auto"/>
        <w:tabs>
          <w:tab w:leader="none" w:pos="648"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Adjusted EBITDA decreased to $34.4 million compared to $52.6 million and adjusted EBITDA margin decreased to 9.9% compared to 15.9%. The decrease in adjusted EBITDA margin was primarily driven by a less favorable mix and higher aluminum costs in Architectural Metals, as well as higher tariff expense in Architectural Services, partially offset by lower long-term incentive expense.</w:t>
      </w:r>
    </w:p>
    <w:p>
      <w:pPr>
        <w:spacing w:after="0" w:line="238"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Interest expense, net increased to $3.8 million, primarily due to increased debt resulting from the acquisition of UW Solutions.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39" w:lineRule="auto"/>
        <w:tabs>
          <w:tab w:leader="none" w:pos="648"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Other income was $0.7 million compared to expense of $0.1 million. The change was driven by an increase in value of company-owned life insurance assets.</w:t>
      </w:r>
    </w:p>
    <w:p>
      <w:pPr>
        <w:spacing w:after="0" w:line="239" w:lineRule="exact"/>
        <w:rPr>
          <w:rFonts w:ascii="Times New Roman" w:cs="Times New Roman" w:eastAsia="Times New Roman" w:hAnsi="Times New Roman"/>
          <w:sz w:val="20"/>
          <w:szCs w:val="20"/>
          <w:b w:val="1"/>
          <w:bCs w:val="1"/>
          <w:color w:val="auto"/>
        </w:rPr>
      </w:pPr>
    </w:p>
    <w:p>
      <w:pPr>
        <w:ind w:left="660" w:hanging="328"/>
        <w:spacing w:after="0" w:line="239" w:lineRule="auto"/>
        <w:tabs>
          <w:tab w:leader="none" w:pos="648"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Income tax expense as a percentage of earnings before income tax was 211.9%, compared to 24.5% for the same period last year. The increase in the effective tax rate was primarily due to lower earnings before income taxes.</w:t>
      </w:r>
    </w:p>
    <w:p>
      <w:pPr>
        <w:spacing w:after="0" w:line="239"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Net loss of $2.7 million compared to net earnings of $31.0 million.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four operating segments which are also reportable segments. Each of our four segments have distinct economic characteristics, including products and services provided, production processes and varying ranges in performance and results.</w:t>
      </w:r>
    </w:p>
    <w:p>
      <w:pPr>
        <w:spacing w:after="0" w:line="19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evaluate the performance of our segments based on segment net sales and adjusted earnings before interest, taxes, depreciation and amortization (EBITDA). Our CEO is our chief operating decision maker (CODM). The CODM uses these measurements to assess segment performance and make decisions about the allocation of operating and capital resources by analyzing recent results, trends, and variances of each segment in relation to forecasts and historical performance.</w:t>
      </w:r>
    </w:p>
    <w:p>
      <w:pPr>
        <w:spacing w:after="0" w:line="21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segment measurements provided to, and evaluated by, the CODM are described in Note 12 of our unaudited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adjusted EBITDA and adjusted EBITDA margin by segment and the consolidated total.</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240" w:type="dxa"/>
            <w:vAlign w:val="bottom"/>
          </w:tcPr>
          <w:p>
            <w:pPr>
              <w:spacing w:after="0"/>
              <w:rPr>
                <w:sz w:val="16"/>
                <w:szCs w:val="16"/>
                <w:color w:val="auto"/>
              </w:rPr>
            </w:pPr>
          </w:p>
        </w:tc>
        <w:tc>
          <w:tcPr>
            <w:tcW w:w="13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120" w:type="dxa"/>
            <w:vAlign w:val="bottom"/>
          </w:tcPr>
          <w:p>
            <w:pPr>
              <w:spacing w:after="0"/>
              <w:rPr>
                <w:sz w:val="16"/>
                <w:szCs w:val="16"/>
                <w:color w:val="auto"/>
              </w:rPr>
            </w:pPr>
          </w:p>
        </w:tc>
        <w:tc>
          <w:tcPr>
            <w:tcW w:w="14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6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sales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Metals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128,624</w:t>
            </w:r>
          </w:p>
        </w:tc>
        <w:tc>
          <w:tcPr>
            <w:tcW w:w="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133,172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106,505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99,027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26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73,273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86,703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Surfaces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42,250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21,204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99.3 %</w:t>
            </w:r>
          </w:p>
        </w:tc>
        <w:tc>
          <w:tcPr>
            <w:tcW w:w="0" w:type="dxa"/>
            <w:vAlign w:val="bottom"/>
          </w:tcPr>
          <w:p>
            <w:pPr>
              <w:spacing w:after="0"/>
              <w:rPr>
                <w:sz w:val="1"/>
                <w:szCs w:val="1"/>
                <w:color w:val="auto"/>
              </w:rPr>
            </w:pPr>
          </w:p>
        </w:tc>
      </w:tr>
      <w:tr>
        <w:trPr>
          <w:trHeight w:val="223"/>
        </w:trPr>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segment sales</w:t>
            </w:r>
          </w:p>
        </w:tc>
        <w:tc>
          <w:tcPr>
            <w:tcW w:w="26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350,652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340,106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(4,030)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(8,590)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3"/>
        </w:trPr>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346,622</w:t>
            </w:r>
          </w:p>
        </w:tc>
        <w:tc>
          <w:tcPr>
            <w:tcW w:w="12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331,516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Metals</w:t>
            </w:r>
          </w:p>
        </w:tc>
        <w:tc>
          <w:tcPr>
            <w:tcW w:w="26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9,366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23,840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6,573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26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20,231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Surfaces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5,642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(3,664)</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34,384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52,622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 margins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Metals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Surfaces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Adjusted EBITDA margin</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N/M Indicates calculation not meaningful.</w:t>
      </w:r>
    </w:p>
    <w:p>
      <w:pPr>
        <w:spacing w:after="0" w:line="200" w:lineRule="exact"/>
        <w:rPr>
          <w:sz w:val="20"/>
          <w:szCs w:val="20"/>
          <w:color w:val="auto"/>
        </w:rPr>
      </w:pPr>
    </w:p>
    <w:p>
      <w:pPr>
        <w:spacing w:after="0" w:line="3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that different items had on our net sales for the first quarter fiscal 2026. All net sales for the first quarter of fiscal 2025 were organic.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160" w:type="dxa"/>
            <w:vAlign w:val="bottom"/>
          </w:tcPr>
          <w:p>
            <w:pPr>
              <w:spacing w:after="0"/>
              <w:rPr>
                <w:sz w:val="16"/>
                <w:szCs w:val="16"/>
                <w:color w:val="auto"/>
              </w:rPr>
            </w:pPr>
          </w:p>
        </w:tc>
        <w:tc>
          <w:tcPr>
            <w:tcW w:w="12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Metals</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Surfaces</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2025 net sales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133,172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99,027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86,703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(8,590)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331,516</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Organic business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(13,430)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(6,922)</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22,028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22,028</w:t>
            </w:r>
          </w:p>
        </w:tc>
        <w:tc>
          <w:tcPr>
            <w:tcW w:w="0" w:type="dxa"/>
            <w:vAlign w:val="bottom"/>
          </w:tcPr>
          <w:p>
            <w:pPr>
              <w:spacing w:after="0"/>
              <w:rPr>
                <w:sz w:val="1"/>
                <w:szCs w:val="1"/>
                <w:color w:val="auto"/>
              </w:rPr>
            </w:pPr>
          </w:p>
        </w:tc>
      </w:tr>
      <w:tr>
        <w:trPr>
          <w:trHeight w:val="20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Fiscal 2026 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128,624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106,505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73,273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42,250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346,622</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net sales growth (decline)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Organic business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81"/>
        </w:trPr>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xml:space="preserve">Acquisition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24"/>
                <w:szCs w:val="24"/>
                <w:color w:val="auto"/>
              </w:rPr>
            </w:pPr>
          </w:p>
        </w:tc>
        <w:tc>
          <w:tcPr>
            <w:tcW w:w="132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4"/>
                <w:szCs w:val="24"/>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4"/>
                <w:szCs w:val="24"/>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520" w:right="20" w:hanging="346"/>
        <w:spacing w:after="0" w:line="24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Organic business includes net sales associated with acquired product lines or businesses that occur after the first twelve months from the date the product line or business is acquired and net sales from internally developed product lines or businesses.</w:t>
      </w:r>
    </w:p>
    <w:p>
      <w:pPr>
        <w:spacing w:after="0" w:line="14"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4, 2024, we completed the acquisition of UW Solutions. For additional information, see Note 13 to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Metals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2026 to First Quarter Fiscal 2025</w:t>
      </w:r>
    </w:p>
    <w:p>
      <w:pPr>
        <w:spacing w:after="0" w:line="22"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Net sales were $128.6 million, compared to $133.2 million, primarily reflecting a less favorable mix, partially offset by increased volume.</w:t>
      </w:r>
    </w:p>
    <w:p>
      <w:pPr>
        <w:spacing w:after="0" w:line="265" w:lineRule="exact"/>
        <w:rPr>
          <w:rFonts w:ascii="Times New Roman" w:cs="Times New Roman" w:eastAsia="Times New Roman" w:hAnsi="Times New Roman"/>
          <w:sz w:val="20"/>
          <w:szCs w:val="20"/>
          <w:b w:val="1"/>
          <w:bCs w:val="1"/>
          <w:color w:val="auto"/>
        </w:rPr>
      </w:pPr>
    </w:p>
    <w:p>
      <w:pPr>
        <w:ind w:left="660" w:right="240" w:hanging="328"/>
        <w:spacing w:after="0" w:line="233" w:lineRule="auto"/>
        <w:tabs>
          <w:tab w:leader="none" w:pos="648"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Adjusted EBITDA was $9.4 million, or 7.3% of net sales, compared to $23.8 million, or 17.9% of net sales. The decline in adjusted EBITDA margin was primarily driven by a less favorable mix, higher aluminum costs, unfavorable productivity, and unfavorable sales leverage, partially offset by the impact from higher volume.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2026 to First Quarter Fiscal 2025</w:t>
      </w:r>
    </w:p>
    <w:p>
      <w:pPr>
        <w:spacing w:after="0" w:line="8"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Net sales were $106.5 million, compared to $99.0 million, primarily due to increased volume.</w:t>
      </w:r>
    </w:p>
    <w:p>
      <w:pPr>
        <w:spacing w:after="0" w:line="238" w:lineRule="exact"/>
        <w:rPr>
          <w:rFonts w:ascii="Times New Roman" w:cs="Times New Roman" w:eastAsia="Times New Roman" w:hAnsi="Times New Roman"/>
          <w:sz w:val="20"/>
          <w:szCs w:val="20"/>
          <w:b w:val="1"/>
          <w:bCs w:val="1"/>
          <w:color w:val="auto"/>
        </w:rPr>
      </w:pPr>
    </w:p>
    <w:p>
      <w:pPr>
        <w:ind w:left="660" w:right="20" w:hanging="328"/>
        <w:spacing w:after="0" w:line="239" w:lineRule="auto"/>
        <w:tabs>
          <w:tab w:leader="none" w:pos="648"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Adjusted EBITDA decreased to $6.1 million, or 5.7% of net sales, compared to $6.6 million, or 6.6% of net sales. The decrease in adjusted EBITDA margin was primarily driven by higher tariff expense, partially offset by a more favorable mix of projects and favorable sales leverage.</w:t>
      </w:r>
    </w:p>
    <w:p>
      <w:pPr>
        <w:spacing w:after="0" w:line="226" w:lineRule="exact"/>
        <w:rPr>
          <w:rFonts w:ascii="Times New Roman" w:cs="Times New Roman" w:eastAsia="Times New Roman" w:hAnsi="Times New Roman"/>
          <w:sz w:val="20"/>
          <w:szCs w:val="20"/>
          <w:b w:val="1"/>
          <w:bCs w:val="1"/>
          <w:color w:val="auto"/>
        </w:rPr>
      </w:pPr>
    </w:p>
    <w:p>
      <w:pPr>
        <w:ind w:left="660" w:hanging="328"/>
        <w:spacing w:after="0" w:line="239" w:lineRule="auto"/>
        <w:tabs>
          <w:tab w:leader="none" w:pos="648"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For the three months ended May 31, 2025 and June 1, 2024, cumulative catch-up adjustments on our longer-term contracts for changes in estimates were as follows:</w:t>
      </w: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r>
      <w:tr>
        <w:trPr>
          <w:trHeight w:val="23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adjustments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2026 to First Quarter Fiscal 2025</w:t>
      </w:r>
    </w:p>
    <w:p>
      <w:pPr>
        <w:spacing w:after="0" w:line="19" w:lineRule="exact"/>
        <w:rPr>
          <w:sz w:val="20"/>
          <w:szCs w:val="20"/>
          <w:color w:val="auto"/>
        </w:rPr>
      </w:pPr>
    </w:p>
    <w:p>
      <w:pPr>
        <w:ind w:left="620" w:hanging="288"/>
        <w:spacing w:after="0"/>
        <w:tabs>
          <w:tab w:leader="none" w:pos="620" w:val="left"/>
        </w:tabs>
        <w:numPr>
          <w:ilvl w:val="0"/>
          <w:numId w:val="25"/>
        </w:numPr>
        <w:rPr>
          <w:rFonts w:ascii="Arial" w:cs="Arial" w:eastAsia="Arial" w:hAnsi="Arial"/>
          <w:sz w:val="20"/>
          <w:szCs w:val="20"/>
          <w:b w:val="1"/>
          <w:bCs w:val="1"/>
          <w:color w:val="auto"/>
        </w:rPr>
      </w:pPr>
      <w:r>
        <w:rPr>
          <w:rFonts w:ascii="Times New Roman" w:cs="Times New Roman" w:eastAsia="Times New Roman" w:hAnsi="Times New Roman"/>
          <w:sz w:val="18"/>
          <w:szCs w:val="18"/>
          <w:color w:val="auto"/>
        </w:rPr>
        <w:t>Net sales were $73.3 million, compared to $86.7 million, primarily reflecting reduced volume due to lower end-market demand.</w:t>
      </w:r>
    </w:p>
    <w:p>
      <w:pPr>
        <w:spacing w:after="0" w:line="254" w:lineRule="exact"/>
        <w:rPr>
          <w:rFonts w:ascii="Arial" w:cs="Arial" w:eastAsia="Arial" w:hAnsi="Arial"/>
          <w:sz w:val="20"/>
          <w:szCs w:val="20"/>
          <w:b w:val="1"/>
          <w:bCs w:val="1"/>
          <w:color w:val="auto"/>
        </w:rPr>
      </w:pPr>
    </w:p>
    <w:p>
      <w:pPr>
        <w:ind w:left="660" w:hanging="328"/>
        <w:spacing w:after="0" w:line="239" w:lineRule="auto"/>
        <w:tabs>
          <w:tab w:leader="none" w:pos="621" w:val="left"/>
        </w:tabs>
        <w:numPr>
          <w:ilvl w:val="0"/>
          <w:numId w:val="25"/>
        </w:numPr>
        <w:rPr>
          <w:rFonts w:ascii="Arial" w:cs="Arial" w:eastAsia="Arial" w:hAnsi="Arial"/>
          <w:sz w:val="20"/>
          <w:szCs w:val="20"/>
          <w:b w:val="1"/>
          <w:bCs w:val="1"/>
          <w:color w:val="auto"/>
        </w:rPr>
      </w:pPr>
      <w:r>
        <w:rPr>
          <w:rFonts w:ascii="Times New Roman" w:cs="Times New Roman" w:eastAsia="Times New Roman" w:hAnsi="Times New Roman"/>
          <w:sz w:val="18"/>
          <w:szCs w:val="18"/>
          <w:color w:val="auto"/>
        </w:rPr>
        <w:t>Adjusted EBITDA decreased to $13.4 million, or 18.3% of net sales, compared to $20.2 million, or 23.3% of net sales. The decline in adjusted EBITDA margin was primarily driven by unfavorable sales leverage.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Surfaces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2026 to First Quarter Fiscal 2025</w:t>
      </w:r>
    </w:p>
    <w:p>
      <w:pPr>
        <w:spacing w:after="0" w:line="5" w:lineRule="exact"/>
        <w:rPr>
          <w:sz w:val="20"/>
          <w:szCs w:val="20"/>
          <w:color w:val="auto"/>
        </w:rPr>
      </w:pPr>
    </w:p>
    <w:p>
      <w:pPr>
        <w:ind w:left="660" w:hanging="328"/>
        <w:spacing w:after="0" w:line="239" w:lineRule="auto"/>
        <w:tabs>
          <w:tab w:leader="none" w:pos="621" w:val="left"/>
        </w:tabs>
        <w:numPr>
          <w:ilvl w:val="0"/>
          <w:numId w:val="26"/>
        </w:numPr>
        <w:rPr>
          <w:rFonts w:ascii="Arial" w:cs="Arial" w:eastAsia="Arial" w:hAnsi="Arial"/>
          <w:sz w:val="20"/>
          <w:szCs w:val="20"/>
          <w:b w:val="1"/>
          <w:bCs w:val="1"/>
          <w:color w:val="auto"/>
        </w:rPr>
      </w:pPr>
      <w:r>
        <w:rPr>
          <w:rFonts w:ascii="Times New Roman" w:cs="Times New Roman" w:eastAsia="Times New Roman" w:hAnsi="Times New Roman"/>
          <w:sz w:val="18"/>
          <w:szCs w:val="18"/>
          <w:color w:val="auto"/>
        </w:rPr>
        <w:t>Net sales were $42.3 million, compared to $21.2 million, which included $22.0 million of inorganic sales contribution from the acquisition of UW Solutions.</w:t>
      </w:r>
    </w:p>
    <w:p>
      <w:pPr>
        <w:spacing w:after="0" w:line="238" w:lineRule="exact"/>
        <w:rPr>
          <w:rFonts w:ascii="Arial" w:cs="Arial" w:eastAsia="Arial" w:hAnsi="Arial"/>
          <w:sz w:val="20"/>
          <w:szCs w:val="20"/>
          <w:b w:val="1"/>
          <w:bCs w:val="1"/>
          <w:color w:val="auto"/>
        </w:rPr>
      </w:pPr>
    </w:p>
    <w:p>
      <w:pPr>
        <w:jc w:val="both"/>
        <w:ind w:left="660" w:hanging="328"/>
        <w:spacing w:after="0" w:line="238" w:lineRule="auto"/>
        <w:tabs>
          <w:tab w:leader="none" w:pos="621" w:val="left"/>
        </w:tabs>
        <w:numPr>
          <w:ilvl w:val="0"/>
          <w:numId w:val="26"/>
        </w:numPr>
        <w:rPr>
          <w:rFonts w:ascii="Arial" w:cs="Arial" w:eastAsia="Arial" w:hAnsi="Arial"/>
          <w:sz w:val="20"/>
          <w:szCs w:val="20"/>
          <w:b w:val="1"/>
          <w:bCs w:val="1"/>
          <w:color w:val="auto"/>
        </w:rPr>
      </w:pPr>
      <w:r>
        <w:rPr>
          <w:rFonts w:ascii="Times New Roman" w:cs="Times New Roman" w:eastAsia="Times New Roman" w:hAnsi="Times New Roman"/>
          <w:sz w:val="18"/>
          <w:szCs w:val="18"/>
          <w:color w:val="auto"/>
        </w:rPr>
        <w:t>Adjusted EBITDA was $8.0 million, or 18.8% of net sales, compared to $5.6 million, or 26.6% of net sales. The decline in adjusted EBITDA margin was primarily driven by the dilutive effect of lower adjusted EBITDA margin from UW Solutions, unfavorable mix, and increased corporate allocation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2026 to First Quarter Fiscal 2025</w:t>
      </w:r>
    </w:p>
    <w:p>
      <w:pPr>
        <w:spacing w:after="0" w:line="5" w:lineRule="exact"/>
        <w:rPr>
          <w:sz w:val="20"/>
          <w:szCs w:val="20"/>
          <w:color w:val="auto"/>
        </w:rPr>
      </w:pPr>
    </w:p>
    <w:p>
      <w:pPr>
        <w:ind w:left="660" w:hanging="328"/>
        <w:spacing w:after="0" w:line="239" w:lineRule="auto"/>
        <w:tabs>
          <w:tab w:leader="none" w:pos="621" w:val="left"/>
        </w:tabs>
        <w:numPr>
          <w:ilvl w:val="0"/>
          <w:numId w:val="27"/>
        </w:numPr>
        <w:rPr>
          <w:rFonts w:ascii="Arial" w:cs="Arial" w:eastAsia="Arial" w:hAnsi="Arial"/>
          <w:sz w:val="20"/>
          <w:szCs w:val="20"/>
          <w:b w:val="1"/>
          <w:bCs w:val="1"/>
          <w:color w:val="auto"/>
        </w:rPr>
      </w:pPr>
      <w:r>
        <w:rPr>
          <w:rFonts w:ascii="Times New Roman" w:cs="Times New Roman" w:eastAsia="Times New Roman" w:hAnsi="Times New Roman"/>
          <w:sz w:val="18"/>
          <w:szCs w:val="18"/>
          <w:color w:val="auto"/>
        </w:rPr>
        <w:t>Corporate and Other adjusted EBITDA expense was $2.4 million, compared to $3.7 million, primarily driven by lower long-term incentive expense.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Backlog represents the dollar amount of signed contracts or firm orders, generally as a result of a competitive bidding process, which may be expected to be recognized as revenue in the future. Backlog is most meaningful for Architectural Services due to the longer-term nature of their projects.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Services</w:t>
      </w:r>
    </w:p>
    <w:p>
      <w:pPr>
        <w:spacing w:after="0" w:line="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May 31, 2025, segment backlog was approximately $682.9 million, compared to approximately $720.3 million at the end of the fourth quarter of fiscal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Adjusted net earnings, adjusted diluted earnings per share (adjusted diluted EPS), adjusted net earnings before interest, taxes, depreciation and amortization (adjusted EBITDA), and adjusted EBITDA margin are supplemental non-GAAP financial measures provided by the Company to assess performance on a more comparable basis from period-to-period by excluding amounts that management does not consider part of core operating results. Management uses these non-GAAP measures as noted below:</w:t>
      </w:r>
    </w:p>
    <w:p>
      <w:pPr>
        <w:spacing w:after="0" w:line="254" w:lineRule="exact"/>
        <w:rPr>
          <w:sz w:val="20"/>
          <w:szCs w:val="20"/>
          <w:color w:val="auto"/>
        </w:rPr>
      </w:pPr>
    </w:p>
    <w:p>
      <w:pPr>
        <w:ind w:left="660" w:hanging="328"/>
        <w:spacing w:after="0" w:line="239" w:lineRule="auto"/>
        <w:tabs>
          <w:tab w:leader="none" w:pos="621" w:val="left"/>
        </w:tabs>
        <w:numPr>
          <w:ilvl w:val="0"/>
          <w:numId w:val="28"/>
        </w:numPr>
        <w:rPr>
          <w:rFonts w:ascii="Arial" w:cs="Arial" w:eastAsia="Arial" w:hAnsi="Arial"/>
          <w:sz w:val="20"/>
          <w:szCs w:val="20"/>
          <w:b w:val="1"/>
          <w:bCs w:val="1"/>
          <w:color w:val="auto"/>
        </w:rPr>
      </w:pPr>
      <w:r>
        <w:rPr>
          <w:rFonts w:ascii="Times New Roman" w:cs="Times New Roman" w:eastAsia="Times New Roman" w:hAnsi="Times New Roman"/>
          <w:sz w:val="18"/>
          <w:szCs w:val="18"/>
          <w:color w:val="auto"/>
        </w:rPr>
        <w:t>We use adjusted net earnings, and adjusted diluted EPS to provide meaningful supplemental information about our operating performance by excluding amounts that are not considered part of core operating results to enhance comparability of results from period to period.</w:t>
      </w:r>
    </w:p>
    <w:p>
      <w:pPr>
        <w:spacing w:after="0" w:line="1" w:lineRule="exact"/>
        <w:rPr>
          <w:rFonts w:ascii="Arial" w:cs="Arial" w:eastAsia="Arial" w:hAnsi="Arial"/>
          <w:sz w:val="20"/>
          <w:szCs w:val="20"/>
          <w:b w:val="1"/>
          <w:bCs w:val="1"/>
          <w:color w:val="auto"/>
        </w:rPr>
      </w:pPr>
    </w:p>
    <w:p>
      <w:pPr>
        <w:jc w:val="both"/>
        <w:ind w:left="660" w:hanging="328"/>
        <w:spacing w:after="0" w:line="236" w:lineRule="auto"/>
        <w:tabs>
          <w:tab w:leader="none" w:pos="621" w:val="left"/>
        </w:tabs>
        <w:numPr>
          <w:ilvl w:val="0"/>
          <w:numId w:val="28"/>
        </w:numPr>
        <w:rPr>
          <w:rFonts w:ascii="Arial" w:cs="Arial" w:eastAsia="Arial" w:hAnsi="Arial"/>
          <w:sz w:val="20"/>
          <w:szCs w:val="20"/>
          <w:b w:val="1"/>
          <w:bCs w:val="1"/>
          <w:color w:val="auto"/>
        </w:rPr>
      </w:pPr>
      <w:r>
        <w:rPr>
          <w:rFonts w:ascii="Times New Roman" w:cs="Times New Roman" w:eastAsia="Times New Roman" w:hAnsi="Times New Roman"/>
          <w:sz w:val="18"/>
          <w:szCs w:val="18"/>
          <w:color w:val="auto"/>
        </w:rPr>
        <w:t>We believe adjusted EBITDA and adjusted EBITDA margin metrics provide useful information to investors and analysts about our core operating performance. In addition, adjusted EBITDA is among the primary measures used by management for the planning and forecasting of future period, as well as for measuring performance for compensation of executives and other members of management.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non-GAAP measures should be viewed in addition to, and not as an alternative to, the reported financial results of the Company prepared in accordance with U.S. GAAP. Other companies may calculate these measures differently, thereby limiting the usefulness of the measures for comparison with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Apogee Enterprises, Inc.</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10"/>
          </w:tcPr>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560" w:type="dxa"/>
            <w:vAlign w:val="bottom"/>
            <w:gridSpan w:val="11"/>
          </w:tcPr>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Adjusted EBITDA and Adjusted EBITDA Margin</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jc w:val="center"/>
              <w:ind w:left="39"/>
              <w:spacing w:after="0"/>
              <w:rPr>
                <w:sz w:val="20"/>
                <w:szCs w:val="20"/>
                <w:color w:val="auto"/>
              </w:rPr>
            </w:pPr>
            <w:r>
              <w:rPr>
                <w:rFonts w:ascii="Times New Roman" w:cs="Times New Roman" w:eastAsia="Times New Roman" w:hAnsi="Times New Roman"/>
                <w:sz w:val="16"/>
                <w:szCs w:val="16"/>
                <w:color w:val="auto"/>
              </w:rPr>
              <w:t>(Unaudited)</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May 31, 2025</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3"/>
                <w:szCs w:val="13"/>
                <w:color w:val="auto"/>
              </w:rPr>
            </w:pPr>
          </w:p>
        </w:tc>
        <w:tc>
          <w:tcPr>
            <w:tcW w:w="122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6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120" w:type="dxa"/>
            <w:vAlign w:val="bottom"/>
          </w:tcPr>
          <w:p>
            <w:pPr>
              <w:spacing w:after="0"/>
              <w:rPr>
                <w:sz w:val="13"/>
                <w:szCs w:val="13"/>
                <w:color w:val="auto"/>
              </w:rPr>
            </w:pPr>
          </w:p>
        </w:tc>
        <w:tc>
          <w:tcPr>
            <w:tcW w:w="12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80" w:type="dxa"/>
            <w:vAlign w:val="bottom"/>
          </w:tcPr>
          <w:p>
            <w:pPr>
              <w:spacing w:after="0"/>
              <w:rPr>
                <w:sz w:val="13"/>
                <w:szCs w:val="13"/>
                <w:color w:val="auto"/>
              </w:rPr>
            </w:pPr>
          </w:p>
        </w:tc>
        <w:tc>
          <w:tcPr>
            <w:tcW w:w="12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Metals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5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1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earnings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3,669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(6,193)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4,132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(14,498)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(2,688)</w:t>
            </w:r>
          </w:p>
        </w:tc>
        <w:tc>
          <w:tcPr>
            <w:tcW w:w="0" w:type="dxa"/>
            <w:vAlign w:val="bottom"/>
          </w:tcPr>
          <w:p>
            <w:pPr>
              <w:spacing w:after="0"/>
              <w:rPr>
                <w:sz w:val="1"/>
                <w:szCs w:val="1"/>
                <w:color w:val="auto"/>
              </w:rPr>
            </w:pPr>
          </w:p>
        </w:tc>
      </w:tr>
      <w:tr>
        <w:trPr>
          <w:trHeight w:val="21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6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3,846</w:t>
            </w: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5,091</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3,813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1,072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3,550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12,436</w:t>
            </w: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EBITDA</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7,895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7,682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18,685</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15,350</w:t>
            </w:r>
          </w:p>
        </w:tc>
        <w:tc>
          <w:tcPr>
            <w:tcW w:w="0" w:type="dxa"/>
            <w:vAlign w:val="bottom"/>
          </w:tcPr>
          <w:p>
            <w:pPr>
              <w:spacing w:after="0"/>
              <w:rPr>
                <w:sz w:val="1"/>
                <w:szCs w:val="1"/>
                <w:color w:val="auto"/>
              </w:rPr>
            </w:pPr>
          </w:p>
        </w:tc>
      </w:tr>
      <w:tr>
        <w:trPr>
          <w:trHeight w:val="209"/>
        </w:trPr>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9,366</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6,067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13,417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7,959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(2,425)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34,384</w:t>
            </w: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 margin</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1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520" w:hanging="346"/>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the acquisition of UW Solutions.</w:t>
      </w:r>
    </w:p>
    <w:p>
      <w:pPr>
        <w:spacing w:after="0" w:line="41"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Phase 2.</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1, 2024</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80" w:type="dxa"/>
            <w:vAlign w:val="bottom"/>
          </w:tcPr>
          <w:p>
            <w:pPr>
              <w:spacing w:after="0"/>
              <w:rPr>
                <w:sz w:val="13"/>
                <w:szCs w:val="13"/>
                <w:color w:val="auto"/>
              </w:rPr>
            </w:pPr>
          </w:p>
        </w:tc>
        <w:tc>
          <w:tcPr>
            <w:tcW w:w="12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earnings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17,759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18,050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(15,264)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31,011</w:t>
            </w:r>
          </w:p>
        </w:tc>
        <w:tc>
          <w:tcPr>
            <w:tcW w:w="0" w:type="dxa"/>
            <w:vAlign w:val="bottom"/>
          </w:tcPr>
          <w:p>
            <w:pPr>
              <w:spacing w:after="0"/>
              <w:rPr>
                <w:sz w:val="1"/>
                <w:szCs w:val="1"/>
                <w:color w:val="auto"/>
              </w:rPr>
            </w:pPr>
          </w:p>
        </w:tc>
      </w:tr>
      <w:tr>
        <w:trPr>
          <w:trHeight w:val="21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10,063</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4,507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3,010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9,976</w:t>
            </w: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EBITDA</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22,842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20,231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51,500</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235"/>
        </w:trPr>
        <w:tc>
          <w:tcPr>
            <w:tcW w:w="250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20,231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52,622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 margin</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0" w:type="dxa"/>
            <w:vAlign w:val="bottom"/>
          </w:tcPr>
          <w:p>
            <w:pPr>
              <w:spacing w:after="0"/>
              <w:rPr>
                <w:sz w:val="1"/>
                <w:szCs w:val="1"/>
                <w:color w:val="auto"/>
              </w:rPr>
            </w:pPr>
          </w:p>
        </w:tc>
      </w:tr>
      <w:tr>
        <w:trPr>
          <w:trHeight w:val="21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520" w:hanging="346"/>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Phase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Net Earnings and Adjusted Diluted Earnings Per Share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7"/>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40" w:type="dxa"/>
            <w:vAlign w:val="bottom"/>
          </w:tcPr>
          <w:p>
            <w:pPr>
              <w:spacing w:after="0"/>
              <w:rPr>
                <w:sz w:val="19"/>
                <w:szCs w:val="19"/>
                <w:color w:val="auto"/>
              </w:rPr>
            </w:pPr>
          </w:p>
        </w:tc>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May 31, 2025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1, 2024</w:t>
            </w:r>
          </w:p>
        </w:tc>
      </w:tr>
      <w:tr>
        <w:trPr>
          <w:trHeight w:val="226"/>
        </w:trPr>
        <w:tc>
          <w:tcPr>
            <w:tcW w:w="40" w:type="dxa"/>
            <w:vAlign w:val="bottom"/>
          </w:tcPr>
          <w:p>
            <w:pPr>
              <w:spacing w:after="0"/>
              <w:rPr>
                <w:sz w:val="19"/>
                <w:szCs w:val="19"/>
                <w:color w:val="auto"/>
              </w:rPr>
            </w:pPr>
          </w:p>
        </w:tc>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8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7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78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impact on above adjustments </w:t>
            </w:r>
            <w:r>
              <w:rPr>
                <w:rFonts w:ascii="Times New Roman" w:cs="Times New Roman" w:eastAsia="Times New Roman" w:hAnsi="Times New Roman"/>
                <w:sz w:val="23"/>
                <w:szCs w:val="23"/>
                <w:color w:val="auto"/>
                <w:vertAlign w:val="superscript"/>
              </w:rPr>
              <w:t>(3)</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earnings</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31,858</w:t>
            </w:r>
          </w:p>
        </w:tc>
        <w:tc>
          <w:tcPr>
            <w:tcW w:w="20" w:type="dxa"/>
            <w:vAlign w:val="bottom"/>
          </w:tcPr>
          <w:p>
            <w:pPr>
              <w:spacing w:after="0"/>
              <w:rPr>
                <w:sz w:val="19"/>
                <w:szCs w:val="19"/>
                <w:color w:val="auto"/>
              </w:rPr>
            </w:pPr>
          </w:p>
        </w:tc>
      </w:tr>
      <w:tr>
        <w:trPr>
          <w:trHeight w:val="413"/>
        </w:trPr>
        <w:tc>
          <w:tcPr>
            <w:tcW w:w="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7"/>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4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May 31, 2025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1, 2024</w:t>
            </w:r>
          </w:p>
        </w:tc>
      </w:tr>
      <w:tr>
        <w:trPr>
          <w:trHeight w:val="226"/>
        </w:trPr>
        <w:tc>
          <w:tcPr>
            <w:tcW w:w="77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782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2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shd w:val="clear" w:color="auto" w:fill="CCEEFF"/>
          </w:tcPr>
          <w:p>
            <w:pPr>
              <w:spacing w:after="0"/>
              <w:rPr>
                <w:sz w:val="19"/>
                <w:szCs w:val="19"/>
                <w:color w:val="auto"/>
              </w:rPr>
            </w:pPr>
          </w:p>
        </w:tc>
      </w:tr>
      <w:tr>
        <w:trPr>
          <w:trHeight w:val="229"/>
        </w:trPr>
        <w:tc>
          <w:tcPr>
            <w:tcW w:w="7820" w:type="dxa"/>
            <w:vAlign w:val="bottom"/>
            <w:tcBorders>
              <w:bottom w:val="single" w:sz="8" w:color="CCEEFF"/>
            </w:tcBorders>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impact on above adjustments </w:t>
            </w:r>
            <w:r>
              <w:rPr>
                <w:rFonts w:ascii="Times New Roman" w:cs="Times New Roman" w:eastAsia="Times New Roman" w:hAnsi="Times New Roman"/>
                <w:sz w:val="23"/>
                <w:szCs w:val="23"/>
                <w:color w:val="auto"/>
                <w:vertAlign w:val="superscript"/>
              </w:rPr>
              <w:t>(3)</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color w:val="auto"/>
              </w:rPr>
              <w:t>(0.01)</w:t>
            </w:r>
          </w:p>
        </w:tc>
      </w:tr>
      <w:tr>
        <w:trPr>
          <w:trHeight w:val="223"/>
        </w:trPr>
        <w:tc>
          <w:tcPr>
            <w:tcW w:w="7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shd w:val="clear" w:color="auto" w:fill="CCEEFF"/>
          </w:tcPr>
          <w:p>
            <w:pPr>
              <w:spacing w:after="0"/>
              <w:rPr>
                <w:sz w:val="19"/>
                <w:szCs w:val="19"/>
                <w:color w:val="auto"/>
              </w:rPr>
            </w:pPr>
          </w:p>
        </w:tc>
      </w:tr>
      <w:tr>
        <w:trPr>
          <w:trHeight w:val="270"/>
        </w:trPr>
        <w:tc>
          <w:tcPr>
            <w:tcW w:w="7760" w:type="dxa"/>
            <w:vAlign w:val="bottom"/>
            <w:gridSpan w:val="3"/>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7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20" w:type="dxa"/>
            <w:vAlign w:val="bottom"/>
            <w:shd w:val="clear" w:color="auto" w:fill="CCEEFF"/>
          </w:tcPr>
          <w:p>
            <w:pPr>
              <w:spacing w:after="0"/>
              <w:rPr>
                <w:sz w:val="19"/>
                <w:szCs w:val="19"/>
                <w:color w:val="auto"/>
              </w:rPr>
            </w:pPr>
          </w:p>
        </w:tc>
      </w:tr>
    </w:tbl>
    <w:p>
      <w:pPr>
        <w:spacing w:after="0" w:line="193" w:lineRule="exact"/>
        <w:rPr>
          <w:sz w:val="20"/>
          <w:szCs w:val="20"/>
          <w:color w:val="auto"/>
        </w:rPr>
      </w:pPr>
    </w:p>
    <w:p>
      <w:pPr>
        <w:ind w:left="520" w:hanging="346"/>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include costs related to one-time expenses incurred to integrate the UW Solutions acquisition.</w:t>
      </w:r>
    </w:p>
    <w:p>
      <w:pPr>
        <w:spacing w:after="0" w:line="41"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Phase 2.</w:t>
      </w:r>
    </w:p>
    <w:p>
      <w:pPr>
        <w:spacing w:after="0" w:line="41"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impact reflects the estimated blended statutory tax rate for the jurisdictions in which the charge or income occurred.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cash provided by operations for our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used in operating activities was $19.8 million for the first three months of fiscal 2026, compared to cash provided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activities of $5.5 million in the prior year period. The increase of cash used in operating activities was primarily driven by lower net earnings and an increased cash used for working capital, including a payment of $24.7 million for the settlement of an arbitration award.</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$7.0 million for the first three months of fiscal 2026, compared to $7.3 million in the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period. The net cash used in investing activities was primarily related to capital expenditures in both periods.</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$17.6 million for the first three months of fiscal 2026, compared to $4.9 million of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in the prior year period. The increase in net cash provided by financing activities was primarily driven by differences in cash requirements to support the change in operating cash flows between periods.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Liquidity Considerations. </w:t>
      </w:r>
      <w:r>
        <w:rPr>
          <w:rFonts w:ascii="Times New Roman" w:cs="Times New Roman" w:eastAsia="Times New Roman" w:hAnsi="Times New Roman"/>
          <w:sz w:val="18"/>
          <w:szCs w:val="18"/>
          <w:color w:val="auto"/>
        </w:rPr>
        <w:t>We periodically evaluate our liquidity requirements, cash needs and availability of debt resources relative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plans, significant capital plans, and other working capital needs.</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revolving credit facility and a committed $250.0 million delayed draw term loan facility. Borrowings under the revolving credit facility can be in Canadian dollars (CAD) limited to $25.0 million USD. The term loan facility may be utilized in up to two drawdowns, which are available to be ma</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within one year after the closing date. The senior credit facility has a term of five years with a maturity date of July 19, 2029.</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replaced the previous revolving credit facility with Wells Fargo Bank, N.A., as administrative agent, and other lenders, with maximum borrowings up to $385.0 million, and the two Canadian credit facilities with Bank of Montreal totaling $25.0 million USD.</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a result of the execution of the Credit Agreement, in the second quarter of fiscal 2025, we recognized a loss on extinguishment of debt within interest expense of $0.5 million for the write-off of unamortized financing fees related to the previous revolving credit facility. Additionally, we capitalized $3.0 million of lender fees and $0.8 million of third-party fees incurred in connection with the Credit Agreement, which were recorded as other non-current assets and are being amortized over the term of the credit facility as interest expense.</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May 31, 2025, we were in compliance with all covenants as defined under the terms of the Credit Agreement.</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Credit Agreement also contains an acquisition “holiday.” In the event we make an acquisition for which the purchase price is greater than $75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Borrowings under the Credit Agreement bear floating interest at either the Base Rate or Term Secured Overnight Financing Rate (SOFR), or for CAD borrowings, Canadian Overnight Repo Rate Average (CORRA) plus, in each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 respectively.</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an “accordion” provision. Under this provision, we can request that the senior credit facility be increased by unlimited additional amounts. Any lender may elect or decline to participate in the requested increase at their sole discretion.</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November 4, 2024, as part of the acquisition of UW Solutions, and for working capital and general corporate purposes, we executed a drawdown against the delayed draw term loan facility for $250.0 million. Outstanding borrowings under the term loan facility were $215.0 million as of May 31, 2025. Outstanding borrowings under the revolving credit facility were $96.0 million as of May 31, 2025.</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May 31, 2025, we had a total of $2.6 million of ongoing letters of credit related to the senior credit facility, construction contracts and insurance collateral that expire in fiscal year 2026 and reduce borrowing capacity under the revolving credit facility. As of May 31, 2025, the amount available for revolving borrowings was $351.4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Future payments for such leases, excluding leases with initial terms of one year or less, were $71.8 million at May 31, 2025, with $12.5 million payable during the remainder of fiscal 2026.</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2025, we had $16.0 million of open purchase obligations, of which payments totaling $7.8 million are expected to become due during the remainder of fiscal 2026. These purchase obligations primarily relate to raw material commitments and capital expenditures and are not expected to impact future liquidity, as amounts should be recovered through customer billings.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$0.4 million to our defined-benefit pension plans in fiscal 2026, which will equal or exceed our minimum funding requirements.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31, 2025, we had reserves of $6.1 million for unrecognized tax benefits. We are unable to reasonably estimate in which future periods the remaining unrecognized tax benefits will ultimately be settled.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May 31, 2025, $1.2 billion of these types of bonds were outstanding, of which $339.2 milli</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is in our backlog. These bonds have expiration dates that align with completion of the purchase order or contract. We have not been required to make any payments under these bonds with respect to our existing businesses.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facility, we believe that our sources of liquidity will be adequate to meet our short-term and long-term liquidity and capital expenditure needs. In addition, we believe we have the ability to obtain both short-term and long-term debt to meet our financing needs, including additional sources of debt to finance potential acquisitions, for the foreseeable future. We also believe we will be able to operate our business so as to continue to be in compliance with our existing debt covenants over the next fiscal year.</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March 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our Annual Report on Form 10-K for the fiscal year ended March 1, 2025.</w:t>
      </w:r>
    </w:p>
    <w:p>
      <w:pPr>
        <w:spacing w:after="0" w:line="22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Refer to the Company’s Annual Report on Form 10-K for the fiscal year ended March 1, 2025 for a discussion of the Company’s market risk. There have been no material changes in market risk since March 1, 2025.</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4" w:lineRule="auto"/>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2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2024, we completed our acquisition of UW Solutions. In accordance with Securities Exchange Commission guidance permitting a company to exclude an acquired business from management’s assessment of the effectiveness of internal control over financial reporting for the year in which the acquisition is completed, we have excluded UW Solutions from our assessment of the effectiveness of internal control over financial reporting as of May 31, 2025. The assets and net sales of UW Solutions that were excluded from our assessment constituted approximately 22.0% and 6.4%, respectively, of the related consolidated financial statement amounts as of and for the three months ended May 31, 2025. The scope of management’s assessment of the effectiveness of the design and operation of our disclosure controls and procedures as May 31, 2025 includes all of our consolidated operations except for those disclosure controls and procedures of UW Solutions. See Note 13 for additional information regarding the UW Solutions acquisition. Based on our assessment, the Company's management believes that, as of May 31, 2025, the Company's internal control over financial reporting was effective based on those criteria.</w:t>
      </w:r>
    </w:p>
    <w:p>
      <w:pPr>
        <w:spacing w:after="0" w:line="8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May 31, 2025, that has materially affected, or is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December 2022, the claimant in an arbitration of one such claim was awarded $20 million by an arbitration panel. The claimant then sought to confirm this award in Los Angeles Superior Court in March 2023. In response, the Company moved to vacate the award. Later in March 2023, the Superior Court confirmed the award, which the Company appealed in June 2023. The appeal was argued before the California Court of Appeals, Second Appellate District, Division Seven, on March 7, 2025. The California Court of Appeals confirmed the judgment of the Superior Court on March 25, 2025. The Company paid the final arbitration award, including accrued post-judgment interest, in the amount of $24.7 million, on April 7, 2025. As a result of the judgment, we recorded expense of $9.4 million, which represents the impact of the award amount net of existing reserves and insurance proceeds of $11.0 million. This impact was recorded in cost of goods sold in the fourth quarter of fiscal 2025.</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or additions to our risk factors discussed in our Annual Report on Form 10-K for the fiscal year ended March 1, 2025.</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first quarter of fiscal 2026: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8"/>
        </w:trPr>
        <w:tc>
          <w:tcPr>
            <w:tcW w:w="4400" w:type="dxa"/>
            <w:vAlign w:val="bottom"/>
            <w:gridSpan w:val="2"/>
            <w:vMerge w:val="continue"/>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 Purchased (a)</w:t>
            </w: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0" w:type="dxa"/>
            <w:vAlign w:val="bottom"/>
          </w:tcPr>
          <w:p>
            <w:pPr>
              <w:spacing w:after="0"/>
              <w:rPr>
                <w:sz w:val="1"/>
                <w:szCs w:val="1"/>
                <w:color w:val="auto"/>
              </w:rPr>
            </w:pPr>
          </w:p>
        </w:tc>
      </w:tr>
      <w:tr>
        <w:trPr>
          <w:trHeight w:val="228"/>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 2025 to March 29, 2025</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2,189,793</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30, 2025 to April 26, 2025</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2,189,793</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27, 2025 to May 31, 2025</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2,189,793</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2,189,793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20" w:hanging="332"/>
        <w:spacing w:after="0" w:line="271" w:lineRule="auto"/>
        <w:tabs>
          <w:tab w:leader="none" w:pos="33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purchase any shares pursuant to our publicly announced repurchase program during the fiscal quarter, nor were any shares surrendered to us by plan participants to satisfy withholding tax obligations related to share-based compensation during the quarter.</w:t>
      </w:r>
    </w:p>
    <w:p>
      <w:pPr>
        <w:jc w:val="both"/>
        <w:ind w:left="340" w:hanging="332"/>
        <w:spacing w:after="0" w:line="264"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January 14, 2022 and October 6, 2023. The repurchase program does not have an expiration date.</w:t>
      </w:r>
    </w:p>
    <w:p>
      <w:pPr>
        <w:spacing w:after="0" w:line="3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Adoption or Termination of Trading Arrangements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three months ended May 31, 2025, none of our directors or officers (as defined in Rule 16a-1(f) of the Exchange Act) adopted or terminated any “Rule 10b5-1 trading arrangement” or any “non-Rule 10b5-1 trading arrangement”, as each term is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720" w:type="dxa"/>
            <w:vAlign w:val="bottom"/>
            <w:shd w:val="clear" w:color="auto" w:fill="CCEEFF"/>
          </w:tcPr>
          <w:p>
            <w:pPr>
              <w:spacing w:after="0"/>
              <w:rPr>
                <w:sz w:val="16"/>
                <w:szCs w:val="16"/>
                <w:color w:val="auto"/>
              </w:rPr>
            </w:pPr>
          </w:p>
        </w:tc>
        <w:tc>
          <w:tcPr>
            <w:tcW w:w="9720" w:type="dxa"/>
            <w:vAlign w:val="bottom"/>
            <w:tcBorders>
              <w:right w:val="single" w:sz="8" w:color="CCEEFF"/>
            </w:tcBorders>
            <w:gridSpan w:val="14"/>
            <w:shd w:val="clear" w:color="auto" w:fill="CCEEFF"/>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Membership Interest Purchase Agreement, dated as of September 23, 2024, by and among UW Holdings, LLC, UW Interco, LLC</w:t>
              </w:r>
            </w:hyperlink>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12"/>
            <w:shd w:val="clear" w:color="auto" w:fill="CCEEFF"/>
          </w:tcPr>
          <w:p>
            <w:pPr>
              <w:ind w:left="20"/>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and Apogee Enterprises, Inc. Incorporate by reference to Exhibit 2.1 to Registrant's Current Report on Form 8-K filed on September</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0000FF"/>
            </w:tcBorders>
            <w:gridSpan w:val="2"/>
            <w:shd w:val="clear" w:color="auto" w:fill="CCEEFF"/>
          </w:tcPr>
          <w:p>
            <w:pPr>
              <w:ind w:left="20"/>
              <w:spacing w:after="0" w:line="16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25, 2024.</w:t>
              </w:r>
            </w:hyperlink>
          </w:p>
        </w:tc>
        <w:tc>
          <w:tcPr>
            <w:tcW w:w="880" w:type="dxa"/>
            <w:vAlign w:val="bottom"/>
            <w:tcBorders>
              <w:top w:val="single" w:sz="8" w:color="0000FF"/>
            </w:tcBorders>
            <w:shd w:val="clear" w:color="auto" w:fill="CCEEFF"/>
          </w:tcPr>
          <w:p>
            <w:pPr>
              <w:spacing w:after="0"/>
              <w:rPr>
                <w:sz w:val="14"/>
                <w:szCs w:val="14"/>
                <w:color w:val="auto"/>
              </w:rPr>
            </w:pPr>
          </w:p>
        </w:tc>
        <w:tc>
          <w:tcPr>
            <w:tcW w:w="60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48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20" w:type="dxa"/>
            <w:vAlign w:val="bottom"/>
            <w:tcBorders>
              <w:top w:val="single" w:sz="8" w:color="0000FF"/>
            </w:tcBorders>
            <w:shd w:val="clear" w:color="auto" w:fill="CCEEFF"/>
          </w:tcPr>
          <w:p>
            <w:pPr>
              <w:spacing w:after="0"/>
              <w:rPr>
                <w:sz w:val="14"/>
                <w:szCs w:val="14"/>
                <w:color w:val="auto"/>
              </w:rPr>
            </w:pPr>
          </w:p>
        </w:tc>
        <w:tc>
          <w:tcPr>
            <w:tcW w:w="11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16"/>
                <w:szCs w:val="16"/>
                <w:color w:val="auto"/>
              </w:rPr>
            </w:pPr>
          </w:p>
        </w:tc>
        <w:tc>
          <w:tcPr>
            <w:tcW w:w="9720" w:type="dxa"/>
            <w:vAlign w:val="bottom"/>
            <w:gridSpan w:val="14"/>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Restated Articles of Incorporation. (Incorporated by reference to Exhibit 3.1 to Registrant's Annual Report on Form 10-K for the</w:t>
              </w:r>
            </w:hyperlink>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0" w:type="dxa"/>
            <w:vAlign w:val="bottom"/>
            <w:tcBorders>
              <w:top w:val="single" w:sz="8" w:color="0000FF"/>
            </w:tcBorders>
            <w:gridSpan w:val="9"/>
          </w:tcPr>
          <w:p>
            <w:pPr>
              <w:ind w:left="20"/>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year-ended February 28, 2004.)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720" w:type="dxa"/>
            <w:vAlign w:val="bottom"/>
            <w:shd w:val="clear" w:color="auto" w:fill="CCEEFF"/>
          </w:tcPr>
          <w:p>
            <w:pPr>
              <w:spacing w:after="0"/>
              <w:rPr>
                <w:sz w:val="16"/>
                <w:szCs w:val="16"/>
                <w:color w:val="auto"/>
              </w:rPr>
            </w:pPr>
          </w:p>
        </w:tc>
        <w:tc>
          <w:tcPr>
            <w:tcW w:w="9720" w:type="dxa"/>
            <w:vAlign w:val="bottom"/>
            <w:tcBorders>
              <w:right w:val="single" w:sz="8" w:color="CCEEFF"/>
            </w:tcBorders>
            <w:gridSpan w:val="14"/>
            <w:shd w:val="clear" w:color="auto" w:fill="CCEEFF"/>
          </w:tcPr>
          <w:p>
            <w:pPr>
              <w:ind w:left="20"/>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Articles of Amendment to Restated Articles of Incorporation. Incorporated by reference to Exhibit 3.1 to Registrant's Current Report</w:t>
              </w:r>
            </w:hyperlink>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2880" w:type="dxa"/>
            <w:vAlign w:val="bottom"/>
            <w:tcBorders>
              <w:top w:val="single" w:sz="8" w:color="0000FF"/>
              <w:bottom w:val="single" w:sz="8" w:color="0000FF"/>
            </w:tcBorders>
            <w:gridSpan w:val="4"/>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on Form 8-K filed on January 16, 2020.</w:t>
              </w:r>
            </w:hyperlink>
          </w:p>
        </w:tc>
        <w:tc>
          <w:tcPr>
            <w:tcW w:w="6840" w:type="dxa"/>
            <w:vAlign w:val="bottom"/>
            <w:tcBorders>
              <w:top w:val="single" w:sz="8" w:color="0000FF"/>
              <w:bottom w:val="single" w:sz="8" w:color="CCEEFF"/>
              <w:right w:val="single" w:sz="8" w:color="CCEEFF"/>
            </w:tcBorders>
            <w:gridSpan w:val="10"/>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720" w:type="dxa"/>
            <w:vAlign w:val="bottom"/>
          </w:tcPr>
          <w:p>
            <w:pPr>
              <w:spacing w:after="0"/>
              <w:rPr>
                <w:sz w:val="16"/>
                <w:szCs w:val="16"/>
                <w:color w:val="auto"/>
              </w:rPr>
            </w:pPr>
          </w:p>
        </w:tc>
        <w:tc>
          <w:tcPr>
            <w:tcW w:w="9720" w:type="dxa"/>
            <w:vAlign w:val="bottom"/>
            <w:gridSpan w:val="14"/>
          </w:tcPr>
          <w:p>
            <w:pPr>
              <w:ind w:left="20"/>
              <w:spacing w:after="0" w:line="18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Amended and Restated Bylaws of Apogee Enterprises, Inc. Incorporated by reference to Exhibit 3.3 to the Registrant’s Quarterly</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20" w:type="dxa"/>
            <w:vAlign w:val="bottom"/>
            <w:tcBorders>
              <w:top w:val="single" w:sz="8" w:color="0000FF"/>
            </w:tcBorders>
            <w:gridSpan w:val="10"/>
          </w:tcPr>
          <w:p>
            <w:pPr>
              <w:ind w:left="20"/>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Report on Form 10-Q filed on July 1,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tcBorders>
              <w:bottom w:val="single" w:sz="8" w:color="CCEEFF"/>
            </w:tcBorders>
            <w:shd w:val="clear" w:color="auto" w:fill="CCEEFF"/>
          </w:tcPr>
          <w:p>
            <w:pPr>
              <w:spacing w:after="0"/>
              <w:rPr>
                <w:sz w:val="18"/>
                <w:szCs w:val="18"/>
                <w:color w:val="auto"/>
              </w:rPr>
            </w:pPr>
          </w:p>
        </w:tc>
        <w:tc>
          <w:tcPr>
            <w:tcW w:w="8460" w:type="dxa"/>
            <w:vAlign w:val="bottom"/>
            <w:tcBorders>
              <w:bottom w:val="single" w:sz="8" w:color="0000FF"/>
            </w:tcBorders>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Apogee Enterprises, Inc. 2000 Employee Stock Purchase Plan (Amended and Restated Effective as of June 13, 2025)</w:t>
            </w:r>
          </w:p>
        </w:tc>
        <w:tc>
          <w:tcPr>
            <w:tcW w:w="1260" w:type="dxa"/>
            <w:vAlign w:val="bottom"/>
            <w:tcBorders>
              <w:bottom w:val="single" w:sz="8" w:color="CCEEFF"/>
              <w:right w:val="single" w:sz="8" w:color="CCEEFF"/>
            </w:tcBorders>
            <w:gridSpan w:val="6"/>
            <w:shd w:val="clear" w:color="auto" w:fill="CCEEFF"/>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20" w:type="dxa"/>
            <w:vAlign w:val="bottom"/>
          </w:tcPr>
          <w:p>
            <w:pPr>
              <w:spacing w:after="0"/>
              <w:rPr>
                <w:sz w:val="16"/>
                <w:szCs w:val="16"/>
                <w:color w:val="auto"/>
              </w:rPr>
            </w:pPr>
          </w:p>
        </w:tc>
        <w:tc>
          <w:tcPr>
            <w:tcW w:w="97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under the Securities Exchange Act of 1934.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720" w:type="dxa"/>
            <w:vAlign w:val="bottom"/>
            <w:tcBorders>
              <w:bottom w:val="single" w:sz="8" w:color="CCEEFF"/>
            </w:tcBorders>
            <w:shd w:val="clear" w:color="auto" w:fill="CCEEFF"/>
          </w:tcPr>
          <w:p>
            <w:pPr>
              <w:spacing w:after="0"/>
              <w:rPr>
                <w:sz w:val="18"/>
                <w:szCs w:val="18"/>
                <w:color w:val="auto"/>
              </w:rPr>
            </w:pPr>
          </w:p>
        </w:tc>
        <w:tc>
          <w:tcPr>
            <w:tcW w:w="8000" w:type="dxa"/>
            <w:vAlign w:val="bottom"/>
            <w:tcBorders>
              <w:bottom w:val="single" w:sz="8" w:color="0000FF"/>
            </w:tcBorders>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under the Securities Exchange Act of 1934.</w:t>
            </w:r>
          </w:p>
        </w:tc>
        <w:tc>
          <w:tcPr>
            <w:tcW w:w="1720" w:type="dxa"/>
            <w:vAlign w:val="bottom"/>
            <w:tcBorders>
              <w:bottom w:val="single" w:sz="8" w:color="CCEEFF"/>
              <w:right w:val="single" w:sz="8" w:color="CCEEFF"/>
            </w:tcBorders>
            <w:gridSpan w:val="8"/>
            <w:shd w:val="clear" w:color="auto" w:fill="CCEEFF"/>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720" w:type="dxa"/>
            <w:vAlign w:val="bottom"/>
          </w:tcPr>
          <w:p>
            <w:pPr>
              <w:spacing w:after="0"/>
              <w:rPr>
                <w:sz w:val="16"/>
                <w:szCs w:val="16"/>
                <w:color w:val="auto"/>
              </w:rPr>
            </w:pPr>
          </w:p>
        </w:tc>
        <w:tc>
          <w:tcPr>
            <w:tcW w:w="97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40" w:type="dxa"/>
            <w:vAlign w:val="bottom"/>
            <w:tcBorders>
              <w:top w:val="single" w:sz="8" w:color="0000FF"/>
            </w:tcBorders>
            <w:gridSpan w:val="11"/>
          </w:tcPr>
          <w:p>
            <w:pPr>
              <w:ind w:left="20"/>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720" w:type="dxa"/>
            <w:vAlign w:val="bottom"/>
            <w:shd w:val="clear" w:color="auto" w:fill="CCEEFF"/>
          </w:tcPr>
          <w:p>
            <w:pPr>
              <w:spacing w:after="0"/>
              <w:rPr>
                <w:sz w:val="16"/>
                <w:szCs w:val="16"/>
                <w:color w:val="auto"/>
              </w:rPr>
            </w:pPr>
          </w:p>
        </w:tc>
        <w:tc>
          <w:tcPr>
            <w:tcW w:w="9720" w:type="dxa"/>
            <w:vAlign w:val="bottom"/>
            <w:tcBorders>
              <w:right w:val="single" w:sz="8" w:color="CCEEFF"/>
            </w:tcBorders>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0000FF"/>
              <w:bottom w:val="single" w:sz="8" w:color="0000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28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7"/>
                <w:szCs w:val="17"/>
                <w:color w:val="auto"/>
              </w:rPr>
            </w:pPr>
          </w:p>
        </w:tc>
        <w:tc>
          <w:tcPr>
            <w:tcW w:w="9720" w:type="dxa"/>
            <w:vAlign w:val="bottom"/>
            <w:gridSpan w:val="14"/>
          </w:tcPr>
          <w:p>
            <w:pPr>
              <w:ind w:left="20"/>
              <w:spacing w:after="0" w:line="198" w:lineRule="exact"/>
              <w:rPr>
                <w:sz w:val="20"/>
                <w:szCs w:val="20"/>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May 31, 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5"/>
          </w:tcPr>
          <w:p>
            <w:pPr>
              <w:ind w:left="20"/>
              <w:spacing w:after="0" w:line="202" w:lineRule="exact"/>
              <w:rPr>
                <w:sz w:val="20"/>
                <w:szCs w:val="20"/>
                <w:color w:val="auto"/>
              </w:rPr>
            </w:pPr>
            <w:r>
              <w:rPr>
                <w:rFonts w:ascii="Times New Roman" w:cs="Times New Roman" w:eastAsia="Times New Roman" w:hAnsi="Times New Roman"/>
                <w:sz w:val="18"/>
                <w:szCs w:val="18"/>
                <w:color w:val="auto"/>
              </w:rPr>
              <w:t>formatted in iXBRL (Inline Extensible Business Reporting Language): (i) the Consolidated Balance Sheets as of May 31, 2025 and</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5"/>
          </w:tcPr>
          <w:p>
            <w:pPr>
              <w:ind w:left="20"/>
              <w:spacing w:after="0" w:line="202" w:lineRule="exact"/>
              <w:rPr>
                <w:sz w:val="20"/>
                <w:szCs w:val="20"/>
                <w:color w:val="auto"/>
              </w:rPr>
            </w:pPr>
            <w:r>
              <w:rPr>
                <w:rFonts w:ascii="Times New Roman" w:cs="Times New Roman" w:eastAsia="Times New Roman" w:hAnsi="Times New Roman"/>
                <w:sz w:val="18"/>
                <w:szCs w:val="18"/>
                <w:color w:val="auto"/>
              </w:rPr>
              <w:t>March 1, 2025, (ii) the Consolidated Results of Operations for the three -months ended May 31, 2025 and June 1, 2024, (iii) the</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5"/>
          </w:tcPr>
          <w:p>
            <w:pPr>
              <w:ind w:left="20"/>
              <w:spacing w:after="0" w:line="202" w:lineRule="exact"/>
              <w:rPr>
                <w:sz w:val="20"/>
                <w:szCs w:val="20"/>
                <w:color w:val="auto"/>
              </w:rPr>
            </w:pPr>
            <w:r>
              <w:rPr>
                <w:rFonts w:ascii="Times New Roman" w:cs="Times New Roman" w:eastAsia="Times New Roman" w:hAnsi="Times New Roman"/>
                <w:sz w:val="18"/>
                <w:szCs w:val="18"/>
                <w:color w:val="auto"/>
              </w:rPr>
              <w:t>Consolidated Statements of Comprehensive Earnings for the three -months ended May 31, 2025 and June 1, 2024, (iv) the</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5"/>
          </w:tcPr>
          <w:p>
            <w:pPr>
              <w:ind w:left="20"/>
              <w:spacing w:after="0" w:line="202" w:lineRule="exact"/>
              <w:rPr>
                <w:sz w:val="20"/>
                <w:szCs w:val="20"/>
                <w:color w:val="auto"/>
              </w:rPr>
            </w:pPr>
            <w:r>
              <w:rPr>
                <w:rFonts w:ascii="Times New Roman" w:cs="Times New Roman" w:eastAsia="Times New Roman" w:hAnsi="Times New Roman"/>
                <w:sz w:val="18"/>
                <w:szCs w:val="18"/>
                <w:color w:val="auto"/>
              </w:rPr>
              <w:t>Consolidated Statements of Cash Flows for the three-months ended May 31, 2025 and June 1, 2024, (v) the Consolidated Statements</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5"/>
          </w:tcPr>
          <w:p>
            <w:pPr>
              <w:ind w:left="20"/>
              <w:spacing w:after="0" w:line="202" w:lineRule="exact"/>
              <w:rPr>
                <w:sz w:val="20"/>
                <w:szCs w:val="20"/>
                <w:color w:val="auto"/>
              </w:rPr>
            </w:pPr>
            <w:r>
              <w:rPr>
                <w:rFonts w:ascii="Times New Roman" w:cs="Times New Roman" w:eastAsia="Times New Roman" w:hAnsi="Times New Roman"/>
                <w:sz w:val="18"/>
                <w:szCs w:val="18"/>
                <w:color w:val="auto"/>
              </w:rPr>
              <w:t>of Shareholders' Equity for the three -months ended May 31, 2025 and June 1, 2024, and (vi) Notes to Consolidated Financial</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2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243"/>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shd w:val="clear" w:color="auto" w:fill="CCEEFF"/>
          </w:tcPr>
          <w:p>
            <w:pPr>
              <w:spacing w:after="0"/>
              <w:rPr>
                <w:sz w:val="21"/>
                <w:szCs w:val="21"/>
                <w:color w:val="auto"/>
              </w:rPr>
            </w:pPr>
          </w:p>
        </w:tc>
        <w:tc>
          <w:tcPr>
            <w:tcW w:w="9720" w:type="dxa"/>
            <w:vAlign w:val="bottom"/>
            <w:tcBorders>
              <w:right w:val="single" w:sz="8" w:color="CCEEFF"/>
            </w:tcBorders>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Exhibits marked with a (#) sign are filed herewith.</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700" w:type="dxa"/>
            <w:vAlign w:val="bottom"/>
          </w:tcPr>
          <w:p>
            <w:pPr>
              <w:spacing w:after="0"/>
              <w:rPr>
                <w:sz w:val="24"/>
                <w:szCs w:val="24"/>
                <w:color w:val="auto"/>
              </w:rPr>
            </w:pPr>
          </w:p>
        </w:tc>
        <w:tc>
          <w:tcPr>
            <w:tcW w:w="8720" w:type="dxa"/>
            <w:vAlign w:val="bottom"/>
            <w:gridSpan w:val="7"/>
          </w:tcPr>
          <w:p>
            <w:pPr>
              <w:jc w:val="right"/>
              <w:ind w:right="370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July 2, 2025</w:t>
      </w:r>
      <w:r>
        <w:rPr>
          <w:sz w:val="20"/>
          <w:szCs w:val="20"/>
          <w:color w:val="auto"/>
        </w:rPr>
        <w:tab/>
      </w:r>
      <w:r>
        <w:rPr>
          <w:rFonts w:ascii="Times New Roman" w:cs="Times New Roman" w:eastAsia="Times New Roman" w:hAnsi="Times New Roman"/>
          <w:sz w:val="17"/>
          <w:szCs w:val="17"/>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6087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Ty R. Silberhorn</w:t>
      </w:r>
    </w:p>
    <w:p>
      <w:pPr>
        <w:ind w:left="604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8"/>
          <w:szCs w:val="18"/>
          <w:color w:val="auto"/>
        </w:rPr>
        <w:t>Date: July 2, 2025</w:t>
      </w:r>
      <w:r>
        <w:rPr>
          <w:sz w:val="20"/>
          <w:szCs w:val="20"/>
          <w:color w:val="auto"/>
        </w:rPr>
        <w:tab/>
      </w:r>
      <w:r>
        <w:rPr>
          <w:rFonts w:ascii="Times New Roman" w:cs="Times New Roman" w:eastAsia="Times New Roman" w:hAnsi="Times New Roman"/>
          <w:sz w:val="17"/>
          <w:szCs w:val="17"/>
          <w:color w:val="auto"/>
        </w:rPr>
        <w:t>By: /s/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175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Matthew J. Osberg</w:t>
      </w:r>
    </w:p>
    <w:p>
      <w:pPr>
        <w:ind w:left="602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60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00"/>
          </w:cols>
          <w:pgMar w:left="320" w:top="121" w:right="3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5"/>
          <w:szCs w:val="25"/>
          <w:b w:val="1"/>
          <w:bCs w:val="1"/>
          <w:color w:val="auto"/>
        </w:rPr>
        <w:t>APOGEE ENTERPRISES, INC. 2000 EMPLOYEE STOCK PURCHASE PLAN (Amended and Restated Effective as of June 13, 2025)</w:t>
      </w:r>
    </w:p>
    <w:p>
      <w:pPr>
        <w:spacing w:after="0" w:line="3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5"/>
          <w:szCs w:val="25"/>
          <w:color w:val="auto"/>
        </w:rPr>
        <w:t>ARTICLE I</w:t>
      </w:r>
    </w:p>
    <w:p>
      <w:pPr>
        <w:ind w:left="4680"/>
        <w:spacing w:after="0"/>
        <w:rPr>
          <w:sz w:val="20"/>
          <w:szCs w:val="20"/>
          <w:color w:val="auto"/>
        </w:rPr>
      </w:pPr>
      <w:r>
        <w:rPr>
          <w:rFonts w:ascii="Times New Roman" w:cs="Times New Roman" w:eastAsia="Times New Roman" w:hAnsi="Times New Roman"/>
          <w:sz w:val="25"/>
          <w:szCs w:val="25"/>
          <w:u w:val="single" w:color="auto"/>
          <w:color w:val="auto"/>
        </w:rPr>
        <w:t>INTRODUCTION</w:t>
      </w:r>
    </w:p>
    <w:p>
      <w:pPr>
        <w:spacing w:after="0" w:line="153" w:lineRule="exact"/>
        <w:rPr>
          <w:sz w:val="20"/>
          <w:szCs w:val="20"/>
          <w:color w:val="auto"/>
        </w:rPr>
      </w:pPr>
    </w:p>
    <w:p>
      <w:pPr>
        <w:jc w:val="both"/>
        <w:ind w:right="60"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Plan is to encourage and assist employees of the Company and certain related corporations in acquiring an ownership interest in the Company through the systematic purchase of the Common Stock of the Company under convenient and advantageous terms. It is believed that the Plan will encourage participants to put forth their best efforts toward the profitability of the Company.</w:t>
      </w:r>
    </w:p>
    <w:p>
      <w:pPr>
        <w:spacing w:after="0" w:line="152" w:lineRule="exact"/>
        <w:rPr>
          <w:sz w:val="20"/>
          <w:szCs w:val="20"/>
          <w:color w:val="auto"/>
        </w:rPr>
      </w:pPr>
    </w:p>
    <w:p>
      <w:pPr>
        <w:ind w:right="360"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Effect on Prior Plans</w:t>
      </w:r>
      <w:r>
        <w:rPr>
          <w:rFonts w:ascii="Times New Roman" w:cs="Times New Roman" w:eastAsia="Times New Roman" w:hAnsi="Times New Roman"/>
          <w:sz w:val="22"/>
          <w:szCs w:val="22"/>
          <w:color w:val="auto"/>
        </w:rPr>
        <w:t>. After the Commencement Date (as defined in Section 8.02 below) the Apogee Enterprises, Inc. Employee Stock Purchase Plan (the “Prior Plan”) terminated. All outstanding accounts administered under the Prior Plan, as of the Commencement Date, automatically became accounts under this Plan and were administered according to the provisions of this Plan.</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the Plan, the following terms will have the meanings set forth below:</w:t>
      </w:r>
    </w:p>
    <w:p>
      <w:pPr>
        <w:spacing w:after="0" w:line="179" w:lineRule="exact"/>
        <w:rPr>
          <w:sz w:val="20"/>
          <w:szCs w:val="20"/>
          <w:color w:val="auto"/>
        </w:rPr>
      </w:pPr>
    </w:p>
    <w:p>
      <w:pPr>
        <w:ind w:firstLine="1952"/>
        <w:spacing w:after="0" w:line="225" w:lineRule="auto"/>
        <w:tabs>
          <w:tab w:leader="none" w:pos="258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Acceleration Date</w:t>
      </w:r>
      <w:r>
        <w:rPr>
          <w:rFonts w:ascii="Times New Roman" w:cs="Times New Roman" w:eastAsia="Times New Roman" w:hAnsi="Times New Roman"/>
          <w:sz w:val="21"/>
          <w:szCs w:val="21"/>
          <w:color w:val="auto"/>
        </w:rPr>
        <w:t>” means the consummation of (i) any consolidation or merger of the Company in which the Company is not the continuing or surviving corporation or pursuant to which shares of Company Common Stock would be converted into cash, securities or other property, other than a merger of the Company in which shareholders of the Company immediately prior to the merger have substantially the same proportionate ownership of stock in the surviving corporation immediately after the merger; (ii) any sale, exchange or other transfer (in one transaction or a series of related transactions) of all or substantially all of the assets of the Company; or (iii) any plan of liquidation or dissolution of the Company.</w:t>
      </w:r>
    </w:p>
    <w:p>
      <w:pPr>
        <w:spacing w:after="0" w:line="153" w:lineRule="exact"/>
        <w:rPr>
          <w:rFonts w:ascii="Times New Roman" w:cs="Times New Roman" w:eastAsia="Times New Roman" w:hAnsi="Times New Roman"/>
          <w:sz w:val="21"/>
          <w:szCs w:val="21"/>
          <w:color w:val="auto"/>
        </w:rPr>
      </w:pPr>
    </w:p>
    <w:p>
      <w:pPr>
        <w:ind w:right="280" w:firstLine="1952"/>
        <w:spacing w:after="0" w:line="236" w:lineRule="auto"/>
        <w:tabs>
          <w:tab w:leader="none" w:pos="258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subsidiary corporation of the Company, as defined in Section 424(f) of the Code, whether now or hereafter acquired or established.</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committee described in Section 9.01 of the Plan.</w:t>
      </w:r>
    </w:p>
    <w:p>
      <w:pPr>
        <w:spacing w:after="0" w:line="179" w:lineRule="exact"/>
        <w:rPr>
          <w:rFonts w:ascii="Times New Roman" w:cs="Times New Roman" w:eastAsia="Times New Roman" w:hAnsi="Times New Roman"/>
          <w:sz w:val="22"/>
          <w:szCs w:val="22"/>
          <w:color w:val="auto"/>
        </w:rPr>
      </w:pPr>
    </w:p>
    <w:p>
      <w:pPr>
        <w:ind w:right="480" w:firstLine="1952"/>
        <w:spacing w:after="0" w:line="236" w:lineRule="auto"/>
        <w:tabs>
          <w:tab w:leader="none" w:pos="258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Company’s Common Stock, par value $.33-1/3 per share, as such stock may be adjusted for changes in the stock or the Company as contemplated by Article XI of the Plan.</w:t>
      </w:r>
    </w:p>
    <w:p>
      <w:pPr>
        <w:spacing w:after="0" w:line="150" w:lineRule="exact"/>
        <w:rPr>
          <w:rFonts w:ascii="Times New Roman" w:cs="Times New Roman" w:eastAsia="Times New Roman" w:hAnsi="Times New Roman"/>
          <w:sz w:val="22"/>
          <w:szCs w:val="22"/>
          <w:color w:val="auto"/>
        </w:rPr>
      </w:pPr>
    </w:p>
    <w:p>
      <w:pPr>
        <w:ind w:right="20" w:firstLine="1952"/>
        <w:spacing w:after="0" w:line="236" w:lineRule="auto"/>
        <w:tabs>
          <w:tab w:leader="none" w:pos="259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Apogee Enterprises, Inc., a Minnesota corporation, and its successors by merger or consolidation as contemplated by Section 10.02 of the Plan.</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Crediting Date</w:t>
      </w:r>
      <w:r>
        <w:rPr>
          <w:rFonts w:ascii="Times New Roman" w:cs="Times New Roman" w:eastAsia="Times New Roman" w:hAnsi="Times New Roman"/>
          <w:sz w:val="22"/>
          <w:szCs w:val="22"/>
          <w:color w:val="auto"/>
        </w:rPr>
        <w:t>” shall have the meaning ascribed to that term in Section 3.02 of the Plan.</w:t>
      </w:r>
    </w:p>
    <w:p>
      <w:pPr>
        <w:sectPr>
          <w:pgSz w:w="11900" w:h="16838" w:orient="portrait"/>
          <w:cols w:equalWidth="0" w:num="1">
            <w:col w:w="11240"/>
          </w:cols>
          <w:pgMar w:left="320" w:top="94" w:right="339" w:bottom="1440" w:gutter="0" w:footer="0" w:header="0"/>
        </w:sectPr>
      </w:pPr>
    </w:p>
    <w:bookmarkStart w:id="36" w:name="page37"/>
    <w:bookmarkEnd w:id="36"/>
    <w:p>
      <w:pPr>
        <w:ind w:firstLine="1952"/>
        <w:spacing w:after="0" w:line="225" w:lineRule="auto"/>
        <w:tabs>
          <w:tab w:leader="none" w:pos="258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Compensation</w:t>
      </w:r>
      <w:r>
        <w:rPr>
          <w:rFonts w:ascii="Times New Roman" w:cs="Times New Roman" w:eastAsia="Times New Roman" w:hAnsi="Times New Roman"/>
          <w:sz w:val="22"/>
          <w:szCs w:val="22"/>
          <w:color w:val="auto"/>
        </w:rPr>
        <w:t>” means all regular wage, salary and commission payments paid by the Company or a Participating Affiliate to a Participant in accordance with the terms of his or her employment, but excluding annual bonus payments and all other forms of special compensation.</w:t>
      </w:r>
    </w:p>
    <w:p>
      <w:pPr>
        <w:spacing w:after="0" w:line="13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ESPP Brokerage Account</w:t>
      </w:r>
      <w:r>
        <w:rPr>
          <w:rFonts w:ascii="Times New Roman" w:cs="Times New Roman" w:eastAsia="Times New Roman" w:hAnsi="Times New Roman"/>
          <w:sz w:val="22"/>
          <w:szCs w:val="22"/>
          <w:color w:val="auto"/>
        </w:rPr>
        <w:t>” means the brokerage account established by the Plan Administration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under Section 4.04.</w:t>
      </w:r>
    </w:p>
    <w:p>
      <w:pPr>
        <w:spacing w:after="0" w:line="155" w:lineRule="exact"/>
        <w:rPr>
          <w:rFonts w:ascii="Times New Roman" w:cs="Times New Roman" w:eastAsia="Times New Roman" w:hAnsi="Times New Roman"/>
          <w:sz w:val="22"/>
          <w:szCs w:val="22"/>
          <w:color w:val="auto"/>
        </w:rPr>
      </w:pPr>
    </w:p>
    <w:p>
      <w:pPr>
        <w:ind w:right="160" w:firstLine="1952"/>
        <w:spacing w:after="0" w:line="225" w:lineRule="auto"/>
        <w:tabs>
          <w:tab w:leader="none" w:pos="2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ESPP Payroll Deposit Account</w:t>
      </w:r>
      <w:r>
        <w:rPr>
          <w:rFonts w:ascii="Times New Roman" w:cs="Times New Roman" w:eastAsia="Times New Roman" w:hAnsi="Times New Roman"/>
          <w:sz w:val="22"/>
          <w:szCs w:val="22"/>
          <w:color w:val="auto"/>
        </w:rPr>
        <w:t>” means the account maintained on the books and records of the Company to record the amount of all payroll deductions accumulated with respect to a Participant for the purpose of purchasing shares of Common Stock under the Plan.</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 Regular Employee who is eligible to participate in the Plan under</w:t>
      </w:r>
    </w:p>
    <w:p>
      <w:pPr>
        <w:spacing w:after="0"/>
        <w:rPr>
          <w:sz w:val="20"/>
          <w:szCs w:val="20"/>
          <w:color w:val="auto"/>
        </w:rPr>
      </w:pPr>
      <w:r>
        <w:rPr>
          <w:rFonts w:ascii="Times New Roman" w:cs="Times New Roman" w:eastAsia="Times New Roman" w:hAnsi="Times New Roman"/>
          <w:sz w:val="22"/>
          <w:szCs w:val="22"/>
          <w:color w:val="auto"/>
        </w:rPr>
        <w:t>Section 2.01 of the Plan and who has elected to participate in the Plan.</w:t>
      </w:r>
    </w:p>
    <w:p>
      <w:pPr>
        <w:spacing w:after="0" w:line="155" w:lineRule="exact"/>
        <w:rPr>
          <w:sz w:val="20"/>
          <w:szCs w:val="20"/>
          <w:color w:val="auto"/>
        </w:rPr>
      </w:pPr>
    </w:p>
    <w:p>
      <w:pPr>
        <w:ind w:right="240" w:firstLine="1952"/>
        <w:spacing w:after="0" w:line="220" w:lineRule="auto"/>
        <w:tabs>
          <w:tab w:leader="none" w:pos="2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Affiliate</w:t>
      </w:r>
      <w:r>
        <w:rPr>
          <w:rFonts w:ascii="Times New Roman" w:cs="Times New Roman" w:eastAsia="Times New Roman" w:hAnsi="Times New Roman"/>
          <w:sz w:val="22"/>
          <w:szCs w:val="22"/>
          <w:color w:val="auto"/>
        </w:rPr>
        <w:t>” means an Affiliate whose eligible Regular Employees may participate in the Plan that was (i) an Affiliate on the date that this Plan was adopted or (ii) an Affiliate that was acquired after the Plan was adopted and which has been designated by the Committee in advance of the Payroll Date in question as a corporation whose eligible Regular Employees may participate in the Plan.</w:t>
      </w:r>
    </w:p>
    <w:p>
      <w:pPr>
        <w:spacing w:after="0" w:line="152" w:lineRule="exact"/>
        <w:rPr>
          <w:rFonts w:ascii="Times New Roman" w:cs="Times New Roman" w:eastAsia="Times New Roman" w:hAnsi="Times New Roman"/>
          <w:sz w:val="22"/>
          <w:szCs w:val="22"/>
          <w:color w:val="auto"/>
        </w:rPr>
      </w:pPr>
    </w:p>
    <w:p>
      <w:pPr>
        <w:ind w:right="560" w:firstLine="1952"/>
        <w:spacing w:after="0" w:line="236" w:lineRule="auto"/>
        <w:tabs>
          <w:tab w:leader="none" w:pos="2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Apogee Enterprises, Inc. 2000 Employee Stock Purchase Plan, as it may be amended, the provisions of which are set forth herein.</w:t>
      </w:r>
    </w:p>
    <w:p>
      <w:pPr>
        <w:spacing w:after="0" w:line="150" w:lineRule="exact"/>
        <w:rPr>
          <w:rFonts w:ascii="Times New Roman" w:cs="Times New Roman" w:eastAsia="Times New Roman" w:hAnsi="Times New Roman"/>
          <w:sz w:val="22"/>
          <w:szCs w:val="22"/>
          <w:color w:val="auto"/>
        </w:rPr>
      </w:pPr>
    </w:p>
    <w:p>
      <w:pPr>
        <w:ind w:right="440" w:firstLine="1952"/>
        <w:spacing w:after="0" w:line="225" w:lineRule="auto"/>
        <w:tabs>
          <w:tab w:leader="none" w:pos="258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Administration Agent</w:t>
      </w:r>
      <w:r>
        <w:rPr>
          <w:rFonts w:ascii="Times New Roman" w:cs="Times New Roman" w:eastAsia="Times New Roman" w:hAnsi="Times New Roman"/>
          <w:sz w:val="22"/>
          <w:szCs w:val="22"/>
          <w:color w:val="auto"/>
        </w:rPr>
        <w:t>” means the entity appointed by the Committee to receive and take custody of the funds contributed by the Participants and the Company and any Participating Affiliates and to carry out any additional duties of the Plan Administration Agent as set forth in the Plan.</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Payroll Date</w:t>
      </w:r>
      <w:r>
        <w:rPr>
          <w:rFonts w:ascii="Times New Roman" w:cs="Times New Roman" w:eastAsia="Times New Roman" w:hAnsi="Times New Roman"/>
          <w:sz w:val="22"/>
          <w:szCs w:val="22"/>
          <w:color w:val="auto"/>
        </w:rPr>
        <w:t>” means any payroll date applicable to a Participant.</w:t>
      </w:r>
    </w:p>
    <w:p>
      <w:pPr>
        <w:spacing w:after="0" w:line="179" w:lineRule="exact"/>
        <w:rPr>
          <w:rFonts w:ascii="Times New Roman" w:cs="Times New Roman" w:eastAsia="Times New Roman" w:hAnsi="Times New Roman"/>
          <w:sz w:val="22"/>
          <w:szCs w:val="22"/>
          <w:color w:val="auto"/>
        </w:rPr>
      </w:pPr>
    </w:p>
    <w:p>
      <w:pPr>
        <w:ind w:right="280" w:firstLine="1952"/>
        <w:spacing w:after="0" w:line="255" w:lineRule="auto"/>
        <w:tabs>
          <w:tab w:leader="none" w:pos="2587"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 Date</w:t>
      </w:r>
      <w:r>
        <w:rPr>
          <w:rFonts w:ascii="Times New Roman" w:cs="Times New Roman" w:eastAsia="Times New Roman" w:hAnsi="Times New Roman"/>
          <w:sz w:val="21"/>
          <w:szCs w:val="21"/>
          <w:color w:val="auto"/>
        </w:rPr>
        <w:t>” shall mean the Tuesday (or if such day is not a trading day on which the Plan Administration Agent is open for business, the next trading day) on which the Plan Administration Agent is open for business.</w:t>
      </w:r>
    </w:p>
    <w:p>
      <w:pPr>
        <w:spacing w:after="0" w:line="134" w:lineRule="exact"/>
        <w:rPr>
          <w:rFonts w:ascii="Times New Roman" w:cs="Times New Roman" w:eastAsia="Times New Roman" w:hAnsi="Times New Roman"/>
          <w:sz w:val="21"/>
          <w:szCs w:val="21"/>
          <w:color w:val="auto"/>
        </w:rPr>
      </w:pPr>
    </w:p>
    <w:p>
      <w:pPr>
        <w:ind w:right="340" w:firstLine="1952"/>
        <w:spacing w:after="0" w:line="225" w:lineRule="auto"/>
        <w:tabs>
          <w:tab w:leader="none" w:pos="258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Regular Employee</w:t>
      </w:r>
      <w:r>
        <w:rPr>
          <w:rFonts w:ascii="Times New Roman" w:cs="Times New Roman" w:eastAsia="Times New Roman" w:hAnsi="Times New Roman"/>
          <w:sz w:val="22"/>
          <w:szCs w:val="22"/>
          <w:color w:val="auto"/>
        </w:rPr>
        <w:t>” means an employee of the Company or a Participating Affiliate as of any Payroll Date, including a union employee, but excluding an employee whose customary employment is less than 20 hours per week.</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ARTICLE II</w:t>
      </w:r>
    </w:p>
    <w:p>
      <w:pPr>
        <w:jc w:val="center"/>
        <w:ind w:right="-19"/>
        <w:spacing w:after="0"/>
        <w:rPr>
          <w:sz w:val="20"/>
          <w:szCs w:val="20"/>
          <w:color w:val="auto"/>
        </w:rPr>
      </w:pPr>
      <w:r>
        <w:rPr>
          <w:rFonts w:ascii="Times New Roman" w:cs="Times New Roman" w:eastAsia="Times New Roman" w:hAnsi="Times New Roman"/>
          <w:sz w:val="25"/>
          <w:szCs w:val="25"/>
          <w:u w:val="single" w:color="auto"/>
          <w:color w:val="auto"/>
        </w:rPr>
        <w:t>ELIGIBILITY AND PARTICIPATION</w:t>
      </w:r>
    </w:p>
    <w:p>
      <w:pPr>
        <w:spacing w:after="0" w:line="153" w:lineRule="exact"/>
        <w:rPr>
          <w:sz w:val="20"/>
          <w:szCs w:val="20"/>
          <w:color w:val="auto"/>
        </w:rPr>
      </w:pPr>
    </w:p>
    <w:p>
      <w:pPr>
        <w:ind w:right="320"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Eligible Employees</w:t>
      </w:r>
      <w:r>
        <w:rPr>
          <w:rFonts w:ascii="Times New Roman" w:cs="Times New Roman" w:eastAsia="Times New Roman" w:hAnsi="Times New Roman"/>
          <w:sz w:val="22"/>
          <w:szCs w:val="22"/>
          <w:color w:val="auto"/>
        </w:rPr>
        <w:t>. All Regular Employees shall be eligible to enroll in the Plan as of the first business day of the calendar month to occur after such person becomes a Regular Employee. Subject to the provisions of Article VI of the Plan, each such employee will continue to be eligible to participate in the Plan so long as he or she remains a Regular Employee.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Election to Participate</w:t>
      </w:r>
      <w:r>
        <w:rPr>
          <w:rFonts w:ascii="Times New Roman" w:cs="Times New Roman" w:eastAsia="Times New Roman" w:hAnsi="Times New Roman"/>
          <w:sz w:val="22"/>
          <w:szCs w:val="22"/>
          <w:color w:val="auto"/>
        </w:rPr>
        <w:t>. An eligible Regular Employee may elect to participate in the Plan as of any Payroll Date by filing with the Company, in advance of that Payroll Date and in accordance with such terms and conditions as the Committee in its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4922-8858-4505\5</w:t>
      </w:r>
    </w:p>
    <w:p>
      <w:pPr>
        <w:sectPr>
          <w:pgSz w:w="11900" w:h="16838" w:orient="portrait"/>
          <w:cols w:equalWidth="0" w:num="1">
            <w:col w:w="11220"/>
          </w:cols>
          <w:pgMar w:left="320" w:top="1395" w:right="359" w:bottom="1440" w:gutter="0" w:footer="0" w:header="0"/>
        </w:sectPr>
      </w:pPr>
    </w:p>
    <w:bookmarkStart w:id="37" w:name="page38"/>
    <w:bookmarkEnd w:id="37"/>
    <w:p>
      <w:pPr>
        <w:jc w:val="both"/>
        <w:ind w:right="100"/>
        <w:spacing w:after="0" w:line="225" w:lineRule="auto"/>
        <w:rPr>
          <w:sz w:val="20"/>
          <w:szCs w:val="20"/>
          <w:color w:val="auto"/>
        </w:rPr>
      </w:pPr>
      <w:r>
        <w:rPr>
          <w:rFonts w:ascii="Times New Roman" w:cs="Times New Roman" w:eastAsia="Times New Roman" w:hAnsi="Times New Roman"/>
          <w:sz w:val="22"/>
          <w:szCs w:val="22"/>
          <w:color w:val="auto"/>
        </w:rPr>
        <w:t>discretion may impose, a form or other electronic medium provided by the Company for such purpose (which authorizes regular payroll deductions from Current Compensation on that Payroll Date and continuing until the employee withdraws from the Plan or ceases to be eligible to participate in the Plan).</w:t>
      </w:r>
    </w:p>
    <w:p>
      <w:pPr>
        <w:spacing w:after="0" w:line="153" w:lineRule="exact"/>
        <w:rPr>
          <w:sz w:val="20"/>
          <w:szCs w:val="20"/>
          <w:color w:val="auto"/>
        </w:rPr>
      </w:pPr>
    </w:p>
    <w:p>
      <w:pPr>
        <w:ind w:right="16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Voluntary Participation</w:t>
      </w:r>
      <w:r>
        <w:rPr>
          <w:rFonts w:ascii="Times New Roman" w:cs="Times New Roman" w:eastAsia="Times New Roman" w:hAnsi="Times New Roman"/>
          <w:sz w:val="22"/>
          <w:szCs w:val="22"/>
          <w:color w:val="auto"/>
        </w:rPr>
        <w:t>. Participation in the Plan on the part of a Participant is voluntary and such participation is not a condition of employment nor does participation in the Plan entitle a Participant to be retained as an employee of the Company or any Participating Affiliate.</w:t>
      </w:r>
    </w:p>
    <w:p>
      <w:pPr>
        <w:spacing w:after="0" w:line="24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5"/>
          <w:szCs w:val="25"/>
          <w:color w:val="auto"/>
        </w:rPr>
        <w:t>ARTICLE III</w:t>
      </w:r>
    </w:p>
    <w:p>
      <w:pPr>
        <w:ind w:left="3220"/>
        <w:spacing w:after="0"/>
        <w:rPr>
          <w:sz w:val="20"/>
          <w:szCs w:val="20"/>
          <w:color w:val="auto"/>
        </w:rPr>
      </w:pPr>
      <w:r>
        <w:rPr>
          <w:rFonts w:ascii="Times New Roman" w:cs="Times New Roman" w:eastAsia="Times New Roman" w:hAnsi="Times New Roman"/>
          <w:sz w:val="25"/>
          <w:szCs w:val="25"/>
          <w:u w:val="single" w:color="auto"/>
          <w:color w:val="auto"/>
        </w:rPr>
        <w:t>PAYROLL DEDUCTIONS AND ACCOUNTS</w:t>
      </w:r>
    </w:p>
    <w:p>
      <w:pPr>
        <w:spacing w:after="0" w:line="153" w:lineRule="exact"/>
        <w:rPr>
          <w:sz w:val="20"/>
          <w:szCs w:val="20"/>
          <w:color w:val="auto"/>
        </w:rPr>
      </w:pPr>
    </w:p>
    <w:p>
      <w:pPr>
        <w:ind w:right="160"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Deductions from Pay</w:t>
      </w:r>
      <w:r>
        <w:rPr>
          <w:rFonts w:ascii="Times New Roman" w:cs="Times New Roman" w:eastAsia="Times New Roman" w:hAnsi="Times New Roman"/>
          <w:sz w:val="22"/>
          <w:szCs w:val="22"/>
          <w:color w:val="auto"/>
        </w:rPr>
        <w:t>. The form or other electronic medium described in Section 2.02 of the Plan will permit a Participant to elect payroll deductions of any multiple of $1 per week but not more than $500 per week of such Participant’s Current Compensation, subject to such other limitations as the Committee in its sole discretion may impose. A Participant may increase, decrease or cease making payroll deductions at any time, subject to such limitations as the Committee in its sole discretion may impose.</w:t>
      </w:r>
    </w:p>
    <w:p>
      <w:pPr>
        <w:spacing w:after="0" w:line="152" w:lineRule="exact"/>
        <w:rPr>
          <w:sz w:val="20"/>
          <w:szCs w:val="20"/>
          <w:color w:val="auto"/>
        </w:rPr>
      </w:pPr>
    </w:p>
    <w:p>
      <w:pPr>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Credit to Account</w:t>
      </w:r>
      <w:r>
        <w:rPr>
          <w:rFonts w:ascii="Times New Roman" w:cs="Times New Roman" w:eastAsia="Times New Roman" w:hAnsi="Times New Roman"/>
          <w:sz w:val="22"/>
          <w:szCs w:val="22"/>
          <w:color w:val="auto"/>
        </w:rPr>
        <w:t>. Payroll deductions will be initially credited to an ESPP Payroll Deposit Account maintained by the Company, and then remitted to the Plan Administration Agent four weeks after the Payroll Date for which the deductions were taken. Upon remittance to the Plan Administration Agent, such payroll deductions shall be credited to the Participant’s ESPP Brokerage Account established under Section 4.04 (hereinafter, the “Crediting Date”). At such time, the Company or the Participating Affiliate will contribute, and remit to the Plan Administration Agent, a matching amount equal to 15% of the contribution amount of each Participant for the Payroll Date and such matching amount will be credited to each Participant’s ESPP Brokerage Account at the same time. Any required withholding on the income from the matching amount shall be taken out of the Participant’s ordinary payroll.</w:t>
      </w:r>
    </w:p>
    <w:p>
      <w:pPr>
        <w:spacing w:after="0" w:line="156" w:lineRule="exact"/>
        <w:rPr>
          <w:sz w:val="20"/>
          <w:szCs w:val="20"/>
          <w:color w:val="auto"/>
        </w:rPr>
      </w:pPr>
    </w:p>
    <w:p>
      <w:pPr>
        <w:ind w:right="30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No interest will be paid on payroll deductions or on any other amount credited to, or on deposit in, a Participant’s ESPP Payroll Deposit Account or ESPP Brokerage Account.</w:t>
      </w:r>
    </w:p>
    <w:p>
      <w:pPr>
        <w:spacing w:after="0" w:line="150" w:lineRule="exact"/>
        <w:rPr>
          <w:sz w:val="20"/>
          <w:szCs w:val="20"/>
          <w:color w:val="auto"/>
        </w:rPr>
      </w:pPr>
    </w:p>
    <w:p>
      <w:pPr>
        <w:ind w:right="48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No Additional Contributions</w:t>
      </w:r>
      <w:r>
        <w:rPr>
          <w:rFonts w:ascii="Times New Roman" w:cs="Times New Roman" w:eastAsia="Times New Roman" w:hAnsi="Times New Roman"/>
          <w:sz w:val="22"/>
          <w:szCs w:val="22"/>
          <w:color w:val="auto"/>
        </w:rPr>
        <w:t>. A Participant may not make any payment into the ESPP Payroll Deposit Account other than the payroll deductions made pursuant to the Plan.</w:t>
      </w:r>
    </w:p>
    <w:p>
      <w:pPr>
        <w:spacing w:after="0" w:line="150" w:lineRule="exact"/>
        <w:rPr>
          <w:sz w:val="20"/>
          <w:szCs w:val="20"/>
          <w:color w:val="auto"/>
        </w:rPr>
      </w:pPr>
    </w:p>
    <w:p>
      <w:pPr>
        <w:ind w:right="58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Nature of Account</w:t>
      </w:r>
      <w:r>
        <w:rPr>
          <w:rFonts w:ascii="Times New Roman" w:cs="Times New Roman" w:eastAsia="Times New Roman" w:hAnsi="Times New Roman"/>
          <w:sz w:val="22"/>
          <w:szCs w:val="22"/>
          <w:color w:val="auto"/>
        </w:rPr>
        <w:t>. The ESPP Payroll Deposit Account is established solely for accounting purposes, and all dollar amounts credited to the ESPP Payroll Deposit Account will remain part of the general assets of the Company or the Participating Affiliate (as the case maybe).</w:t>
      </w:r>
    </w:p>
    <w:p>
      <w:pPr>
        <w:spacing w:after="0" w:line="24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5"/>
          <w:szCs w:val="25"/>
          <w:color w:val="auto"/>
        </w:rPr>
        <w:t>ARTICLE IV</w:t>
      </w:r>
    </w:p>
    <w:p>
      <w:pPr>
        <w:ind w:left="4460"/>
        <w:spacing w:after="0"/>
        <w:rPr>
          <w:sz w:val="20"/>
          <w:szCs w:val="20"/>
          <w:color w:val="auto"/>
        </w:rPr>
      </w:pPr>
      <w:r>
        <w:rPr>
          <w:rFonts w:ascii="Times New Roman" w:cs="Times New Roman" w:eastAsia="Times New Roman" w:hAnsi="Times New Roman"/>
          <w:sz w:val="25"/>
          <w:szCs w:val="25"/>
          <w:u w:val="single" w:color="auto"/>
          <w:color w:val="auto"/>
        </w:rPr>
        <w:t>SHARE PURCHASES</w:t>
      </w:r>
    </w:p>
    <w:p>
      <w:pPr>
        <w:spacing w:after="0" w:line="166" w:lineRule="exact"/>
        <w:rPr>
          <w:sz w:val="20"/>
          <w:szCs w:val="20"/>
          <w:color w:val="auto"/>
        </w:rPr>
      </w:pPr>
    </w:p>
    <w:p>
      <w:pPr>
        <w:ind w:right="100"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As of the Purchase Date next following the Crediting Date, the Plan Administration Agent shall purchase on the open market the number of whole shares of Common Stock that can be purchased at the price specified in Section 4.02 of the Plan with the entire credit balance in all Participants’ ESPP Brokerage Accounts (excluding any Participant who has notified the Company, in advance of that date and subject to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4922-8858-4505\5</w:t>
      </w:r>
    </w:p>
    <w:p>
      <w:pPr>
        <w:sectPr>
          <w:pgSz w:w="11900" w:h="16838" w:orient="portrait"/>
          <w:cols w:equalWidth="0" w:num="1">
            <w:col w:w="11200"/>
          </w:cols>
          <w:pgMar w:left="320" w:top="1395" w:right="379" w:bottom="1440" w:gutter="0" w:footer="0" w:header="0"/>
        </w:sectPr>
      </w:pPr>
    </w:p>
    <w:bookmarkStart w:id="38" w:name="page39"/>
    <w:bookmarkEnd w:id="38"/>
    <w:p>
      <w:pPr>
        <w:ind w:right="200"/>
        <w:spacing w:after="0" w:line="236" w:lineRule="auto"/>
        <w:rPr>
          <w:sz w:val="20"/>
          <w:szCs w:val="20"/>
          <w:color w:val="auto"/>
        </w:rPr>
      </w:pPr>
      <w:r>
        <w:rPr>
          <w:rFonts w:ascii="Times New Roman" w:cs="Times New Roman" w:eastAsia="Times New Roman" w:hAnsi="Times New Roman"/>
          <w:sz w:val="22"/>
          <w:szCs w:val="22"/>
          <w:color w:val="auto"/>
        </w:rPr>
        <w:t>and conditions as the Committee in its sole discretion may impose, of the Participant’s election to receive the distribution of the entire credit balance in cash).</w:t>
      </w:r>
    </w:p>
    <w:p>
      <w:pPr>
        <w:spacing w:after="0" w:line="150" w:lineRule="exact"/>
        <w:rPr>
          <w:sz w:val="20"/>
          <w:szCs w:val="20"/>
          <w:color w:val="auto"/>
        </w:rPr>
      </w:pPr>
    </w:p>
    <w:p>
      <w:pPr>
        <w:jc w:val="both"/>
        <w:ind w:right="16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The purchase price for any Common Stock purchased under the Plan shall be the price paid in the open market by the Plan Administration Agent on the relevant purchase date on behalf of all Participants in the Plan.</w:t>
      </w:r>
    </w:p>
    <w:p>
      <w:pPr>
        <w:spacing w:after="0" w:line="152" w:lineRule="exact"/>
        <w:rPr>
          <w:sz w:val="20"/>
          <w:szCs w:val="20"/>
          <w:color w:val="auto"/>
        </w:rPr>
      </w:pPr>
    </w:p>
    <w:p>
      <w:pPr>
        <w:ind w:right="160"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 Any provisions of the Plan to the contrary notwithstanding, no Participant will have the right to purchase shares of Common Stock under the Plan to the extent that, immediately after the grant, such Participant (or any other person whose stock would be attributed to such Participant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w:t>
      </w:r>
    </w:p>
    <w:p>
      <w:pPr>
        <w:spacing w:after="0" w:line="152"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Delivery of Shares to ESPP Brokerage Account</w:t>
      </w:r>
      <w:r>
        <w:rPr>
          <w:rFonts w:ascii="Times New Roman" w:cs="Times New Roman" w:eastAsia="Times New Roman" w:hAnsi="Times New Roman"/>
          <w:sz w:val="22"/>
          <w:szCs w:val="22"/>
          <w:color w:val="auto"/>
        </w:rPr>
        <w:t>. As promptly as practicable after purchase on the open market, the Plan Administration Agent shall deposit all shares of Common stock into a brokerage account established by the Plan Administration Agent in the Participant's name, for and on behalf of the Participant, in accordance with procedures established from time to time by the Committee (hereinafter, the “ESPP Brokerage Account”). The terms of the ESPP Brokerage Account shall be at the sole discretion of the Committee; and a Participant's participation in the Plan is expressly conditioned on his or her acceptance of such terms.</w:t>
      </w:r>
    </w:p>
    <w:p>
      <w:pPr>
        <w:spacing w:after="0" w:line="152" w:lineRule="exact"/>
        <w:rPr>
          <w:sz w:val="20"/>
          <w:szCs w:val="20"/>
          <w:color w:val="auto"/>
        </w:rPr>
      </w:pPr>
    </w:p>
    <w:p>
      <w:pPr>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Reports to Participants</w:t>
      </w:r>
      <w:r>
        <w:rPr>
          <w:rFonts w:ascii="Times New Roman" w:cs="Times New Roman" w:eastAsia="Times New Roman" w:hAnsi="Times New Roman"/>
          <w:sz w:val="22"/>
          <w:szCs w:val="22"/>
          <w:color w:val="auto"/>
        </w:rPr>
        <w:t>. The Plan Administration Agent will issue quarterly statements to each Participant showing the number of shares purchased for his or her ESPP Brokerage Account in the preceding quarter and the total number of shares in the Participant’s ESPP Brokerage Account.</w:t>
      </w:r>
    </w:p>
    <w:p>
      <w:pPr>
        <w:spacing w:after="0" w:line="152" w:lineRule="exact"/>
        <w:rPr>
          <w:sz w:val="20"/>
          <w:szCs w:val="20"/>
          <w:color w:val="auto"/>
        </w:rPr>
      </w:pPr>
    </w:p>
    <w:p>
      <w:pPr>
        <w:ind w:right="80"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u w:val="single" w:color="auto"/>
          <w:color w:val="auto"/>
        </w:rPr>
        <w:t>Notice of Acceleration Date</w:t>
      </w:r>
      <w:r>
        <w:rPr>
          <w:rFonts w:ascii="Times New Roman" w:cs="Times New Roman" w:eastAsia="Times New Roman" w:hAnsi="Times New Roman"/>
          <w:sz w:val="22"/>
          <w:szCs w:val="22"/>
          <w:color w:val="auto"/>
        </w:rPr>
        <w:t>. The Company shall use reasonable commercial efforts to notify each Participant in writing at least ten days prior to any Acceleration Date. As of the Purchase Date immediately preceding the Acceleration Date, the Plan Administration Agent shall purchase the number of shares of Common Stock that can be purchased in accordance with Sections 4.01 and 4.02 above, and thereafter the Plan shall automatically terminate. Any payroll deductions set aside and all other cash credited to any ESPP Payroll Deposit Account or ESPP Brokerage Account shall be distributed to the Participants.</w:t>
      </w:r>
    </w:p>
    <w:p>
      <w:pPr>
        <w:spacing w:after="0" w:line="2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5"/>
          <w:szCs w:val="25"/>
          <w:color w:val="auto"/>
        </w:rPr>
        <w:t>ARTICLE V</w:t>
      </w:r>
    </w:p>
    <w:p>
      <w:pPr>
        <w:ind w:left="3000"/>
        <w:spacing w:after="0"/>
        <w:rPr>
          <w:sz w:val="20"/>
          <w:szCs w:val="20"/>
          <w:color w:val="auto"/>
        </w:rPr>
      </w:pPr>
      <w:r>
        <w:rPr>
          <w:rFonts w:ascii="Times New Roman" w:cs="Times New Roman" w:eastAsia="Times New Roman" w:hAnsi="Times New Roman"/>
          <w:sz w:val="25"/>
          <w:szCs w:val="25"/>
          <w:u w:val="single" w:color="auto"/>
          <w:color w:val="auto"/>
        </w:rPr>
        <w:t>WITHDRAWAL FROM PLAN; SALE OF STOCK</w:t>
      </w:r>
    </w:p>
    <w:p>
      <w:pPr>
        <w:spacing w:after="0" w:line="153" w:lineRule="exact"/>
        <w:rPr>
          <w:sz w:val="20"/>
          <w:szCs w:val="20"/>
          <w:color w:val="auto"/>
        </w:rPr>
      </w:pPr>
    </w:p>
    <w:p>
      <w:pPr>
        <w:ind w:right="100"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Voluntary Withdrawal</w:t>
      </w:r>
      <w:r>
        <w:rPr>
          <w:rFonts w:ascii="Times New Roman" w:cs="Times New Roman" w:eastAsia="Times New Roman" w:hAnsi="Times New Roman"/>
          <w:sz w:val="22"/>
          <w:szCs w:val="22"/>
          <w:color w:val="auto"/>
        </w:rPr>
        <w:t>. A Participant may, in accordance with such terms and conditions as the Committee in its sole discretion may impose, withdraw from the Plan and cease making payroll deductions by filing with the Company a form provided for this purpose (or through such electronic medium as may be established by the Company). A Participant who withdraws from the Plan may re-enroll at any time to resume making payroll deduction as of any next following Payroll Date, subject to such terms and conditions as the Committee in its sole discretion may impose.</w:t>
      </w:r>
    </w:p>
    <w:p>
      <w:pPr>
        <w:spacing w:after="0" w:line="152" w:lineRule="exact"/>
        <w:rPr>
          <w:sz w:val="20"/>
          <w:szCs w:val="20"/>
          <w:color w:val="auto"/>
        </w:rPr>
      </w:pPr>
    </w:p>
    <w:p>
      <w:pPr>
        <w:ind w:right="12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Subject to such terms and conditions as the Committee in its sole discretion may impose, upon the death of a Participant, no further amounts shall be deducted from the Participant’s payroll. Any amounts credited to the Participant’s ESPP Payroll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4922-8858-4505\5</w:t>
      </w:r>
    </w:p>
    <w:p>
      <w:pPr>
        <w:sectPr>
          <w:pgSz w:w="11900" w:h="16838" w:orient="portrait"/>
          <w:cols w:equalWidth="0" w:num="1">
            <w:col w:w="11220"/>
          </w:cols>
          <w:pgMar w:left="320" w:top="1395" w:right="359" w:bottom="1440" w:gutter="0" w:footer="0" w:header="0"/>
        </w:sectPr>
      </w:pPr>
    </w:p>
    <w:bookmarkStart w:id="39" w:name="page40"/>
    <w:bookmarkEnd w:id="39"/>
    <w:p>
      <w:pPr>
        <w:spacing w:after="0" w:line="210" w:lineRule="auto"/>
        <w:rPr>
          <w:sz w:val="20"/>
          <w:szCs w:val="20"/>
          <w:color w:val="auto"/>
        </w:rPr>
      </w:pPr>
      <w:r>
        <w:rPr>
          <w:rFonts w:ascii="Times New Roman" w:cs="Times New Roman" w:eastAsia="Times New Roman" w:hAnsi="Times New Roman"/>
          <w:sz w:val="22"/>
          <w:szCs w:val="22"/>
          <w:color w:val="auto"/>
        </w:rPr>
        <w:t>Deposit Account prior to the Participant’s death but not yet remitted to the Plan Administration Agent shall be remitted in the ordinary course and purchases made in accordance with Sections 3.02 and 4.01 of the Plan until the Participant’s remaining credit balance is exhausted, unless such Participant’s estate has notified the Company, in advance of that day and subject to such terms and conditions as the Committee in its sole discretion may impose, of its election to have all unremitted payroll deductions and the Participant’s entire credit balance distributed in cash within 30 days after the Participant’s death or at such earlier time as the Committee in its sole discretion may decide. Each Participant, however, may designate one or more beneficiaries who, upon death, are to receive the Common Stock or the amount that otherwise would have been distributed or paid to the Participant’s estate and may change or revoke any such designation from time to time. No such designation, change or revocation will be effective unless made by the Participant in writing and filed with the Company during the Participant’s lifetime. Unless the Participant has otherwise specified the beneficiary designation, the beneficiary or beneficiaries so designated will become fixed as of the date of the Participant’s death so that, if a beneficiary survives the Participant but dies before the receipt of the payment due such beneficiary, the payment will be made to such beneficiary’s estate.</w:t>
      </w:r>
    </w:p>
    <w:p>
      <w:pPr>
        <w:spacing w:after="0" w:line="152" w:lineRule="exact"/>
        <w:rPr>
          <w:sz w:val="20"/>
          <w:szCs w:val="20"/>
          <w:color w:val="auto"/>
        </w:rPr>
      </w:pPr>
    </w:p>
    <w:p>
      <w:pPr>
        <w:ind w:right="80" w:firstLine="1296"/>
        <w:spacing w:after="0" w:line="221" w:lineRule="auto"/>
        <w:rPr>
          <w:sz w:val="20"/>
          <w:szCs w:val="20"/>
          <w:color w:val="auto"/>
        </w:rPr>
      </w:pPr>
      <w:r>
        <w:rPr>
          <w:rFonts w:ascii="Times New Roman" w:cs="Times New Roman" w:eastAsia="Times New Roman" w:hAnsi="Times New Roman"/>
          <w:sz w:val="21"/>
          <w:szCs w:val="21"/>
          <w:color w:val="auto"/>
        </w:rPr>
        <w:t xml:space="preserve">Section 5.03. </w:t>
      </w: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Subject to such terms and conditions as the Committee in its sole discretion may impose, upon a Participant’s termination of employment with the Company or a Participating Affiliate, no further amounts shall be deducted from the Participant’s payroll. Any amounts credited to the Participant’s ESPP Payroll Deposit Account prior to the Participant’s termination of employment but not yet remitted to the Plan Administration Agent shall be remitted in the ordinary course and purchases made in accordance with Sections 3.02 and 4.01 of the Plan until the Participant’s remaining credit balance is exhausted, unless such Participant has notified the Company, in advance of that day and subject to such terms and conditions as the Committee in its sole discretion may impose, of the Participant’s election to receive all unremitted payroll deductions and the entire credit balance in cash within 30 days after the Participant’s termination of employment. For purposes of this Section 5.03, a transfer of employment to any Participating Affiliate, or a leave of absence which has been approved by the Committee, will not be deemed a termination of employment as a Regular Employee.</w:t>
      </w:r>
    </w:p>
    <w:p>
      <w:pPr>
        <w:spacing w:after="0" w:line="152" w:lineRule="exact"/>
        <w:rPr>
          <w:sz w:val="20"/>
          <w:szCs w:val="20"/>
          <w:color w:val="auto"/>
        </w:rPr>
      </w:pPr>
    </w:p>
    <w:p>
      <w:pPr>
        <w:jc w:val="both"/>
        <w:ind w:right="4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Sale of Stock</w:t>
      </w:r>
      <w:r>
        <w:rPr>
          <w:rFonts w:ascii="Times New Roman" w:cs="Times New Roman" w:eastAsia="Times New Roman" w:hAnsi="Times New Roman"/>
          <w:sz w:val="22"/>
          <w:szCs w:val="22"/>
          <w:color w:val="auto"/>
        </w:rPr>
        <w:t>. A Participant may, at any time, direct the Plan Administration Agent to sell a portion or all of the shares held in his or her ESPP Brokerage Account. Upon receipt of the direction, the Plan Administration Agent will sell the designated shares at the prevailing market price.</w:t>
      </w:r>
    </w:p>
    <w:p>
      <w:pPr>
        <w:spacing w:after="0" w:line="24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5"/>
          <w:szCs w:val="25"/>
          <w:color w:val="auto"/>
        </w:rPr>
        <w:t>ARTICLE VI</w:t>
      </w:r>
    </w:p>
    <w:p>
      <w:pPr>
        <w:ind w:left="4200"/>
        <w:spacing w:after="0"/>
        <w:rPr>
          <w:sz w:val="20"/>
          <w:szCs w:val="20"/>
          <w:color w:val="auto"/>
        </w:rPr>
      </w:pPr>
      <w:r>
        <w:rPr>
          <w:rFonts w:ascii="Times New Roman" w:cs="Times New Roman" w:eastAsia="Times New Roman" w:hAnsi="Times New Roman"/>
          <w:sz w:val="25"/>
          <w:szCs w:val="25"/>
          <w:u w:val="single" w:color="auto"/>
          <w:color w:val="auto"/>
        </w:rPr>
        <w:t>NONTRANSFERABILITY</w:t>
      </w:r>
    </w:p>
    <w:p>
      <w:pPr>
        <w:spacing w:after="0" w:line="153" w:lineRule="exact"/>
        <w:rPr>
          <w:sz w:val="20"/>
          <w:szCs w:val="20"/>
          <w:color w:val="auto"/>
        </w:rPr>
      </w:pPr>
    </w:p>
    <w:p>
      <w:pPr>
        <w:ind w:right="40"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Nontransferable Right to Purchase</w:t>
      </w:r>
      <w:r>
        <w:rPr>
          <w:rFonts w:ascii="Times New Roman" w:cs="Times New Roman" w:eastAsia="Times New Roman" w:hAnsi="Times New Roman"/>
          <w:sz w:val="22"/>
          <w:szCs w:val="22"/>
          <w:color w:val="auto"/>
        </w:rPr>
        <w:t>. Neither a Participant’s credit balance (whether held in an ESPP Payroll Deposit Account or ESPP Brokerage Account) nor the right to purchase Common Stock hereunder may be assigned, transferred, pledged or hypothecated (whether by operation of law or otherwise), and will not be subject to execution, attachment or similar process. Any attempted assignment, transfer, pledge, hypothecation or other disposition or levy of attachment or similar process upon such amounts or the right to purchase will be null and void and without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4922-8858-4505\5</w:t>
      </w:r>
    </w:p>
    <w:p>
      <w:pPr>
        <w:sectPr>
          <w:pgSz w:w="11900" w:h="16838" w:orient="portrait"/>
          <w:cols w:equalWidth="0" w:num="1">
            <w:col w:w="11220"/>
          </w:cols>
          <w:pgMar w:left="320" w:top="1395" w:right="359" w:bottom="1440" w:gutter="0" w:footer="0" w:header="0"/>
        </w:sectPr>
      </w:pPr>
    </w:p>
    <w:bookmarkStart w:id="40" w:name="page41"/>
    <w:bookmarkEnd w:id="40"/>
    <w:p>
      <w:pPr>
        <w:spacing w:after="0" w:line="26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5"/>
          <w:szCs w:val="25"/>
          <w:color w:val="auto"/>
        </w:rPr>
        <w:t>ARTICLE VII</w:t>
      </w:r>
    </w:p>
    <w:p>
      <w:pPr>
        <w:ind w:left="2620"/>
        <w:spacing w:after="0"/>
        <w:rPr>
          <w:sz w:val="20"/>
          <w:szCs w:val="20"/>
          <w:color w:val="auto"/>
        </w:rPr>
      </w:pPr>
      <w:r>
        <w:rPr>
          <w:rFonts w:ascii="Times New Roman" w:cs="Times New Roman" w:eastAsia="Times New Roman" w:hAnsi="Times New Roman"/>
          <w:sz w:val="25"/>
          <w:szCs w:val="25"/>
          <w:u w:val="single" w:color="auto"/>
          <w:color w:val="auto"/>
        </w:rPr>
        <w:t>COMMON STOCK AND DIVIDEND REINVESTMENT</w:t>
      </w:r>
      <w:r>
        <w:rPr>
          <w:rFonts w:ascii="Times New Roman" w:cs="Times New Roman" w:eastAsia="Times New Roman" w:hAnsi="Times New Roman"/>
          <w:sz w:val="25"/>
          <w:szCs w:val="25"/>
          <w:color w:val="auto"/>
        </w:rPr>
        <w:t>.</w:t>
      </w:r>
    </w:p>
    <w:p>
      <w:pPr>
        <w:spacing w:after="0" w:line="153" w:lineRule="exact"/>
        <w:rPr>
          <w:sz w:val="20"/>
          <w:szCs w:val="20"/>
          <w:color w:val="auto"/>
        </w:rPr>
      </w:pPr>
    </w:p>
    <w:p>
      <w:pPr>
        <w:ind w:right="80"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Form of Ownership</w:t>
      </w:r>
      <w:r>
        <w:rPr>
          <w:rFonts w:ascii="Times New Roman" w:cs="Times New Roman" w:eastAsia="Times New Roman" w:hAnsi="Times New Roman"/>
          <w:sz w:val="22"/>
          <w:szCs w:val="22"/>
          <w:color w:val="auto"/>
        </w:rPr>
        <w:t>. The Common Stock purchased under the Plan may be evidenced in such manner as the Committee may deem appropriate, including book entry registration or issuance of a stock certificate or certificates, which certificate or certificates shall be held by the Company or held in nominee name by the stock transfer agent or brokerage service selected by the Company to provide such services for the Plan.</w:t>
      </w:r>
    </w:p>
    <w:p>
      <w:pPr>
        <w:spacing w:after="0" w:line="152" w:lineRule="exact"/>
        <w:rPr>
          <w:sz w:val="20"/>
          <w:szCs w:val="20"/>
          <w:color w:val="auto"/>
        </w:rPr>
      </w:pPr>
    </w:p>
    <w:p>
      <w:pPr>
        <w:ind w:right="60"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Dividends paid in the form of cash, shares or other consideration with respect to the Common Stock in a Participant’s ESPP Brokerage Account shall be credited to such account. Any and all cash dividends paid on shares of Common Stock held in a Participant’s ESPP Brokerage Account may, at the election of the Participant, be reinvested to acquire shares of Common Stock purchased in the open market by the Plan Administration Agent. Purchases of Common Stock under this Section 7.02 will be normally purchased within ten business days of the dividend payment date, depending upon market conditions. The price per share of the Common Stock purchased pursuant to this Section 7.02 shall be the price per share at which the Common Stock is actually purchased in the open market for the relevant period on behalf of all electing participants in the Plan.</w:t>
      </w:r>
    </w:p>
    <w:p>
      <w:pPr>
        <w:spacing w:after="0" w:line="25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5"/>
          <w:szCs w:val="25"/>
          <w:color w:val="auto"/>
        </w:rPr>
        <w:t>ARTICLE VIII</w:t>
      </w:r>
    </w:p>
    <w:p>
      <w:pPr>
        <w:ind w:left="1980"/>
        <w:spacing w:after="0"/>
        <w:rPr>
          <w:sz w:val="20"/>
          <w:szCs w:val="20"/>
          <w:color w:val="auto"/>
        </w:rPr>
      </w:pPr>
      <w:r>
        <w:rPr>
          <w:rFonts w:ascii="Times New Roman" w:cs="Times New Roman" w:eastAsia="Times New Roman" w:hAnsi="Times New Roman"/>
          <w:sz w:val="25"/>
          <w:szCs w:val="25"/>
          <w:color w:val="auto"/>
        </w:rPr>
        <w:t>EFFECTIVE DATE, AMENDMENT AND TERMINATION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-31115</wp:posOffset>
            </wp:positionV>
            <wp:extent cx="46335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4633595" cy="8255"/>
                    </a:xfrm>
                    <a:prstGeom prst="rect">
                      <a:avLst/>
                    </a:prstGeom>
                    <a:noFill/>
                  </pic:spPr>
                </pic:pic>
              </a:graphicData>
            </a:graphic>
          </wp:anchor>
        </w:drawing>
      </w:r>
    </w:p>
    <w:p>
      <w:pPr>
        <w:spacing w:after="0" w:line="146" w:lineRule="exact"/>
        <w:rPr>
          <w:sz w:val="20"/>
          <w:szCs w:val="20"/>
          <w:color w:val="auto"/>
        </w:rPr>
      </w:pPr>
    </w:p>
    <w:p>
      <w:pPr>
        <w:ind w:right="220"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Plan was approved by the Board of Directors on July 25, 2000. The Plan was amended and restated effective as of May 1, 2003, and such restatement was subsequently amended by a First Amendment effective as of February 28, 2009. The Plan was again amended and restated effective as of April 21, 2021. The Plan was subsequently amended by resolution of the Board to remove transfer restrictions in Section 5.04, effective June 19, 2024. The Plan is hereby amended and restated effective as of June 13, 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Plan Commencement</w:t>
      </w:r>
      <w:r>
        <w:rPr>
          <w:rFonts w:ascii="Times New Roman" w:cs="Times New Roman" w:eastAsia="Times New Roman" w:hAnsi="Times New Roman"/>
          <w:sz w:val="22"/>
          <w:szCs w:val="22"/>
          <w:color w:val="auto"/>
        </w:rPr>
        <w:t>. The Plan commenced September 1, 2000 (the “Commencement Date”).</w:t>
      </w:r>
    </w:p>
    <w:p>
      <w:pPr>
        <w:spacing w:after="0" w:line="179" w:lineRule="exact"/>
        <w:rPr>
          <w:sz w:val="20"/>
          <w:szCs w:val="20"/>
          <w:color w:val="auto"/>
        </w:rPr>
      </w:pPr>
    </w:p>
    <w:p>
      <w:pPr>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Powers of Board</w:t>
      </w:r>
      <w:r>
        <w:rPr>
          <w:rFonts w:ascii="Times New Roman" w:cs="Times New Roman" w:eastAsia="Times New Roman" w:hAnsi="Times New Roman"/>
          <w:sz w:val="22"/>
          <w:szCs w:val="22"/>
          <w:color w:val="auto"/>
        </w:rPr>
        <w:t>. The Board of Directors may amend or discontinue the Plan at any time; provided, however, that any termination of the Plan shall not adversely affect the rights relating to the Participant’s Common Stock issued pursuant to the Plan.</w:t>
      </w:r>
    </w:p>
    <w:p>
      <w:pPr>
        <w:spacing w:after="0" w:line="23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5"/>
          <w:szCs w:val="25"/>
          <w:color w:val="auto"/>
        </w:rPr>
        <w:t>ARTICLE IX</w:t>
      </w:r>
    </w:p>
    <w:p>
      <w:pPr>
        <w:ind w:left="4540"/>
        <w:spacing w:after="0"/>
        <w:rPr>
          <w:sz w:val="20"/>
          <w:szCs w:val="20"/>
          <w:color w:val="auto"/>
        </w:rPr>
      </w:pPr>
      <w:r>
        <w:rPr>
          <w:rFonts w:ascii="Times New Roman" w:cs="Times New Roman" w:eastAsia="Times New Roman" w:hAnsi="Times New Roman"/>
          <w:sz w:val="25"/>
          <w:szCs w:val="25"/>
          <w:u w:val="single" w:color="auto"/>
          <w:color w:val="auto"/>
        </w:rPr>
        <w:t>ADMINISTRATION</w:t>
      </w:r>
    </w:p>
    <w:p>
      <w:pPr>
        <w:spacing w:after="0" w:line="166" w:lineRule="exact"/>
        <w:rPr>
          <w:sz w:val="20"/>
          <w:szCs w:val="20"/>
          <w:color w:val="auto"/>
        </w:rPr>
      </w:pPr>
    </w:p>
    <w:p>
      <w:pPr>
        <w:ind w:right="18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The Committee</w:t>
      </w:r>
      <w:r>
        <w:rPr>
          <w:rFonts w:ascii="Times New Roman" w:cs="Times New Roman" w:eastAsia="Times New Roman" w:hAnsi="Times New Roman"/>
          <w:sz w:val="22"/>
          <w:szCs w:val="22"/>
          <w:color w:val="auto"/>
        </w:rPr>
        <w:t>. The Plan shall be administered by a committee (the “Committee”) consisting of the Company’s (i) senior human resources officer, (ii) vice president of total rewards (or equivalent role) and (iii) a benefits manager selected by the senior human resources officer.</w:t>
      </w:r>
    </w:p>
    <w:p>
      <w:pPr>
        <w:spacing w:after="0" w:line="152" w:lineRule="exact"/>
        <w:rPr>
          <w:sz w:val="20"/>
          <w:szCs w:val="20"/>
          <w:color w:val="auto"/>
        </w:rPr>
      </w:pPr>
    </w:p>
    <w:p>
      <w:pPr>
        <w:ind w:right="20"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Powers of Committee</w:t>
      </w:r>
      <w:r>
        <w:rPr>
          <w:rFonts w:ascii="Times New Roman" w:cs="Times New Roman" w:eastAsia="Times New Roman" w:hAnsi="Times New Roman"/>
          <w:sz w:val="22"/>
          <w:szCs w:val="22"/>
          <w:color w:val="auto"/>
        </w:rPr>
        <w:t>. Subject to the provisions of the Plan, the Committee shall have full authority to administer the Plan, including authority to interpret and construe any provision of the Plan, to establish deadlines by which the various administrative forms must be received in order to be effective, and to adopt such other rules and regulations for administering the Plan as it may deem appropriate. The Committee shall have full and complete authority to determine whether all or any part of the Common Stock acquired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4922-8858-4505\5</w:t>
      </w:r>
    </w:p>
    <w:p>
      <w:pPr>
        <w:sectPr>
          <w:pgSz w:w="11900" w:h="16838" w:orient="portrait"/>
          <w:cols w:equalWidth="0" w:num="1">
            <w:col w:w="11220"/>
          </w:cols>
          <w:pgMar w:left="320" w:top="1440" w:right="359" w:bottom="1440" w:gutter="0" w:footer="0" w:header="0"/>
        </w:sectPr>
      </w:pPr>
    </w:p>
    <w:bookmarkStart w:id="41" w:name="page42"/>
    <w:bookmarkEnd w:id="41"/>
    <w:p>
      <w:pPr>
        <w:jc w:val="both"/>
        <w:ind w:right="200"/>
        <w:spacing w:after="0" w:line="255" w:lineRule="auto"/>
        <w:rPr>
          <w:sz w:val="20"/>
          <w:szCs w:val="20"/>
          <w:color w:val="auto"/>
        </w:rPr>
      </w:pPr>
      <w:r>
        <w:rPr>
          <w:rFonts w:ascii="Times New Roman" w:cs="Times New Roman" w:eastAsia="Times New Roman" w:hAnsi="Times New Roman"/>
          <w:sz w:val="21"/>
          <w:szCs w:val="21"/>
          <w:color w:val="auto"/>
        </w:rPr>
        <w:t>Plan shall be subject to restrictions on the transferability thereof or any other restrictions affecting in any manner a Participant’s rights with respect thereto. Decisions of the Committee will be final and binding on all parties who have an interest in the Plan.</w:t>
      </w:r>
    </w:p>
    <w:p>
      <w:pPr>
        <w:spacing w:after="0" w:line="135" w:lineRule="exact"/>
        <w:rPr>
          <w:sz w:val="20"/>
          <w:szCs w:val="20"/>
          <w:color w:val="auto"/>
        </w:rPr>
      </w:pPr>
    </w:p>
    <w:p>
      <w:pPr>
        <w:ind w:right="36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Power and Authority of the Board of Directors</w:t>
      </w:r>
      <w:r>
        <w:rPr>
          <w:rFonts w:ascii="Times New Roman" w:cs="Times New Roman" w:eastAsia="Times New Roman" w:hAnsi="Times New Roman"/>
          <w:sz w:val="22"/>
          <w:szCs w:val="22"/>
          <w:color w:val="auto"/>
        </w:rPr>
        <w:t>. Notwithstanding anything to the contrary contained herein, the Board of Directors may, at any time and from time to time, without any further action of the Committee, exercise the powers and duties of the Committee under the Plan.</w:t>
      </w:r>
    </w:p>
    <w:p>
      <w:pPr>
        <w:spacing w:after="0" w:line="152" w:lineRule="exact"/>
        <w:rPr>
          <w:sz w:val="20"/>
          <w:szCs w:val="20"/>
          <w:color w:val="auto"/>
        </w:rPr>
      </w:pPr>
    </w:p>
    <w:p>
      <w:pPr>
        <w:ind w:right="42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Stock to be Sold</w:t>
      </w:r>
      <w:r>
        <w:rPr>
          <w:rFonts w:ascii="Times New Roman" w:cs="Times New Roman" w:eastAsia="Times New Roman" w:hAnsi="Times New Roman"/>
          <w:sz w:val="22"/>
          <w:szCs w:val="22"/>
          <w:color w:val="auto"/>
        </w:rPr>
        <w:t>. The Common Stock to be sold under the Plan shall be shares acquired in the open market by the Plan Administration Agent.</w:t>
      </w:r>
    </w:p>
    <w:p>
      <w:pPr>
        <w:spacing w:after="0" w:line="150"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22"/>
          <w:szCs w:val="22"/>
          <w:color w:val="auto"/>
        </w:rPr>
        <w:t>Section 9.05.</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Notices to the Committee should be addressed as follows:</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Apogee Enterprises,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4400 West 78th Street, Suite 520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Minneapolis, MN 55435</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ESPP</w:t>
      </w:r>
    </w:p>
    <w:p>
      <w:pPr>
        <w:spacing w:after="0" w:line="2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5"/>
          <w:szCs w:val="25"/>
          <w:color w:val="auto"/>
        </w:rPr>
        <w:t>ARTICLE X</w:t>
      </w:r>
    </w:p>
    <w:p>
      <w:pPr>
        <w:ind w:left="2440"/>
        <w:spacing w:after="0"/>
        <w:rPr>
          <w:sz w:val="20"/>
          <w:szCs w:val="20"/>
          <w:color w:val="auto"/>
        </w:rPr>
      </w:pPr>
      <w:r>
        <w:rPr>
          <w:rFonts w:ascii="Times New Roman" w:cs="Times New Roman" w:eastAsia="Times New Roman" w:hAnsi="Times New Roman"/>
          <w:sz w:val="25"/>
          <w:szCs w:val="25"/>
          <w:color w:val="auto"/>
        </w:rPr>
        <w:t>ADJUSTMENT FOR CHANGES IN STOCK OR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1544955</wp:posOffset>
            </wp:positionH>
            <wp:positionV relativeFrom="paragraph">
              <wp:posOffset>-31115</wp:posOffset>
            </wp:positionV>
            <wp:extent cx="40519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4051935" cy="8890"/>
                    </a:xfrm>
                    <a:prstGeom prst="rect">
                      <a:avLst/>
                    </a:prstGeom>
                    <a:noFill/>
                  </pic:spPr>
                </pic:pic>
              </a:graphicData>
            </a:graphic>
          </wp:anchor>
        </w:drawing>
      </w:r>
    </w:p>
    <w:p>
      <w:pPr>
        <w:spacing w:after="0" w:line="146" w:lineRule="exact"/>
        <w:rPr>
          <w:sz w:val="20"/>
          <w:szCs w:val="20"/>
          <w:color w:val="auto"/>
        </w:rPr>
      </w:pPr>
    </w:p>
    <w:p>
      <w:pPr>
        <w:ind w:right="20"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Stock Dividend or Reclassification</w:t>
      </w:r>
      <w:r>
        <w:rPr>
          <w:rFonts w:ascii="Times New Roman" w:cs="Times New Roman" w:eastAsia="Times New Roman" w:hAnsi="Times New Roman"/>
          <w:sz w:val="22"/>
          <w:szCs w:val="22"/>
          <w:color w:val="auto"/>
        </w:rPr>
        <w:t>. If the outstanding shares of Common Stock are increased, decreased, changed into or exchanged for a different number or kind of securities of the Company, or shares of a different par value or without par value, through reorganization, recapitalization, reclassification, stock dividend, stock split, amendment to the Company’s Articles of Incorporation, reverse stock split or otherwise, an appropriate adjustment shall be made in the maximum number and kind of securities to be purchased under the Plan with a corresponding adjustment in the purchase price to be paid therefor.</w:t>
      </w:r>
    </w:p>
    <w:p>
      <w:pPr>
        <w:spacing w:after="0" w:line="152" w:lineRule="exact"/>
        <w:rPr>
          <w:sz w:val="20"/>
          <w:szCs w:val="20"/>
          <w:color w:val="auto"/>
        </w:rPr>
      </w:pPr>
    </w:p>
    <w:p>
      <w:pPr>
        <w:ind w:right="500" w:firstLine="1296"/>
        <w:spacing w:after="0" w:line="236" w:lineRule="auto"/>
        <w:rPr>
          <w:sz w:val="20"/>
          <w:szCs w:val="20"/>
          <w:color w:val="auto"/>
        </w:rPr>
      </w:pPr>
      <w:r>
        <w:rPr>
          <w:rFonts w:ascii="Times New Roman" w:cs="Times New Roman" w:eastAsia="Times New Roman" w:hAnsi="Times New Roman"/>
          <w:sz w:val="21"/>
          <w:szCs w:val="21"/>
          <w:color w:val="auto"/>
        </w:rPr>
        <w:t xml:space="preserve">Section 10.02. </w:t>
      </w:r>
      <w:r>
        <w:rPr>
          <w:rFonts w:ascii="Times New Roman" w:cs="Times New Roman" w:eastAsia="Times New Roman" w:hAnsi="Times New Roman"/>
          <w:sz w:val="21"/>
          <w:szCs w:val="21"/>
          <w:u w:val="single" w:color="auto"/>
          <w:color w:val="auto"/>
        </w:rPr>
        <w:t>Merger or Consolidation</w:t>
      </w:r>
      <w:r>
        <w:rPr>
          <w:rFonts w:ascii="Times New Roman" w:cs="Times New Roman" w:eastAsia="Times New Roman" w:hAnsi="Times New Roman"/>
          <w:sz w:val="21"/>
          <w:szCs w:val="21"/>
          <w:color w:val="auto"/>
        </w:rPr>
        <w:t>. If the Company is merged into or consolidated with one or more corporations during the term of the Plan, appropriate adjustments will be made to give effect thereto on an equitable basis in terms of issuance of shares of the corporation surviving the merger or of the consolidated corporation, as the case may be.</w:t>
      </w:r>
    </w:p>
    <w:p>
      <w:pPr>
        <w:spacing w:after="0" w:line="24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5"/>
          <w:szCs w:val="25"/>
          <w:color w:val="auto"/>
        </w:rPr>
        <w:t>ARTICLE XI</w:t>
      </w:r>
    </w:p>
    <w:p>
      <w:pPr>
        <w:ind w:left="4560"/>
        <w:spacing w:after="0"/>
        <w:rPr>
          <w:sz w:val="20"/>
          <w:szCs w:val="20"/>
          <w:color w:val="auto"/>
        </w:rPr>
      </w:pPr>
      <w:r>
        <w:rPr>
          <w:rFonts w:ascii="Times New Roman" w:cs="Times New Roman" w:eastAsia="Times New Roman" w:hAnsi="Times New Roman"/>
          <w:sz w:val="25"/>
          <w:szCs w:val="25"/>
          <w:u w:val="single" w:color="auto"/>
          <w:color w:val="auto"/>
        </w:rPr>
        <w:t>APPLICABLE LAW</w:t>
      </w:r>
    </w:p>
    <w:p>
      <w:pPr>
        <w:spacing w:after="0" w:line="180" w:lineRule="exact"/>
        <w:rPr>
          <w:sz w:val="20"/>
          <w:szCs w:val="20"/>
          <w:color w:val="auto"/>
        </w:rPr>
      </w:pPr>
    </w:p>
    <w:p>
      <w:pPr>
        <w:jc w:val="both"/>
        <w:ind w:firstLine="298"/>
        <w:spacing w:after="0" w:line="263" w:lineRule="auto"/>
        <w:rPr>
          <w:sz w:val="20"/>
          <w:szCs w:val="20"/>
          <w:color w:val="auto"/>
        </w:rPr>
      </w:pPr>
      <w:r>
        <w:rPr>
          <w:rFonts w:ascii="Times New Roman" w:cs="Times New Roman" w:eastAsia="Times New Roman" w:hAnsi="Times New Roman"/>
          <w:sz w:val="22"/>
          <w:szCs w:val="22"/>
          <w:color w:val="auto"/>
        </w:rPr>
        <w:t>The internal law, and not the law of conflicts, of the State of Minnesota shall govern all questions concerning the validity, construction and effect of the Plan, any rules or regulations relating to the Plan and the rights to purchase Common Stock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4922-8858-4505\5</w:t>
      </w:r>
    </w:p>
    <w:p>
      <w:pPr>
        <w:sectPr>
          <w:pgSz w:w="11900" w:h="16838" w:orient="portrait"/>
          <w:cols w:equalWidth="0" w:num="1">
            <w:col w:w="11240"/>
          </w:cols>
          <w:pgMar w:left="320" w:top="139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20" w:hanging="652"/>
        <w:spacing w:after="0" w:line="266" w:lineRule="auto"/>
        <w:tabs>
          <w:tab w:leader="none" w:pos="195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5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hanging="652"/>
        <w:spacing w:after="0" w:line="266" w:lineRule="auto"/>
        <w:tabs>
          <w:tab w:leader="none" w:pos="19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120" w:hanging="652"/>
        <w:spacing w:after="0" w:line="266" w:lineRule="auto"/>
        <w:tabs>
          <w:tab w:leader="none" w:pos="195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140" w:hanging="652"/>
        <w:spacing w:after="0" w:line="282" w:lineRule="auto"/>
        <w:tabs>
          <w:tab w:leader="none" w:pos="19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Date: July 2, 2025</w:t>
      </w:r>
    </w:p>
    <w:p>
      <w:pPr>
        <w:spacing w:after="0" w:line="7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43180</wp:posOffset>
            </wp:positionV>
            <wp:extent cx="27863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8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Ty R. Silberhorn</w:t>
      </w:r>
    </w:p>
    <w:p>
      <w:pPr>
        <w:spacing w:after="0" w:line="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91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Osberg, certify that:</w:t>
      </w:r>
    </w:p>
    <w:p>
      <w:pPr>
        <w:spacing w:after="0" w:line="117"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20" w:hanging="652"/>
        <w:spacing w:after="0" w:line="266" w:lineRule="auto"/>
        <w:tabs>
          <w:tab w:leader="none" w:pos="22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300" w:hanging="652"/>
        <w:spacing w:after="0" w:line="266" w:lineRule="auto"/>
        <w:tabs>
          <w:tab w:leader="none" w:pos="227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60" w:hanging="652"/>
        <w:spacing w:after="0" w:line="282" w:lineRule="auto"/>
        <w:tabs>
          <w:tab w:leader="none" w:pos="22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Date: July 2, 2025</w:t>
      </w:r>
    </w:p>
    <w:p>
      <w:pPr>
        <w:spacing w:after="0" w:line="33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30861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Matthew J. Osberg</w:t>
      </w:r>
    </w:p>
    <w:p>
      <w:pPr>
        <w:ind w:left="64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May 31, 2025 as filed with the Securities and Exchange Commission (the “Report”), I, Ty R. Silberhorn, President and Chief Executive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 R. Silberhorn</w:t>
      </w: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2, 2025</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May 31, 2025 as filed with the Securities and Exchange Commission (the “Report”), I, Matthew J. Osberg, Executive Vice President and Chief Financial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4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J. Osberg</w:t>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2,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4"/>
    </w:lvl>
  </w:abstractNum>
  <w:abstractNum w:abstractNumId="5">
    <w:nsid w:val="2D1D5AE9"/>
    <w:multiLevelType w:val="hybridMultilevel"/>
    <w:lvl w:ilvl="0">
      <w:lvlJc w:val="left"/>
      <w:lvlText w:val="%1."/>
      <w:numFmt w:val="decimal"/>
      <w:start w:val="6"/>
    </w:lvl>
  </w:abstractNum>
  <w:abstractNum w:abstractNumId="6">
    <w:nsid w:val="6763845E"/>
    <w:multiLevelType w:val="hybridMultilevel"/>
    <w:lvl w:ilvl="0">
      <w:lvlJc w:val="left"/>
      <w:lvlText w:val="%1."/>
      <w:numFmt w:val="decimal"/>
      <w:start w:val="7"/>
    </w:lvl>
  </w:abstractNum>
  <w:abstractNum w:abstractNumId="7">
    <w:nsid w:val="75A2A8D4"/>
    <w:multiLevelType w:val="hybridMultilevel"/>
    <w:lvl w:ilvl="0">
      <w:lvlJc w:val="left"/>
      <w:lvlText w:val="%1."/>
      <w:numFmt w:val="decimal"/>
      <w:start w:val="8"/>
    </w:lvl>
  </w:abstractNum>
  <w:abstractNum w:abstractNumId="8">
    <w:nsid w:val="8EDBDAB"/>
    <w:multiLevelType w:val="hybridMultilevel"/>
    <w:lvl w:ilvl="0">
      <w:lvlJc w:val="left"/>
      <w:lvlText w:val="%1."/>
      <w:numFmt w:val="decimal"/>
      <w:start w:val="9"/>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lvl w:ilvl="1">
      <w:lvlJc w:val="left"/>
      <w:lvlText w:val="(%2)"/>
      <w:numFmt w:val="decimal"/>
      <w:start w:val="1"/>
    </w:lvl>
  </w:abstractNum>
  <w:abstractNum w:abstractNumId="14">
    <w:nsid w:val="71F32454"/>
    <w:multiLevelType w:val="hybridMultilevel"/>
    <w:lvl w:ilvl="0">
      <w:lvlJc w:val="left"/>
      <w:lvlText w:val="%1."/>
      <w:numFmt w:val="decimal"/>
      <w:start w:val="13"/>
    </w:lvl>
    <w:lvl w:ilvl="1">
      <w:lvlJc w:val="left"/>
      <w:lvlText w:val="%2"/>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2"/>
    </w:lvl>
    <w:lvl w:ilvl="1">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3"/>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8"/>
    </w:lvl>
  </w:abstractNum>
  <w:abstractNum w:abstractNumId="35">
    <w:nsid w:val="5C482A97"/>
    <w:multiLevelType w:val="hybridMultilevel"/>
    <w:lvl w:ilvl="0">
      <w:lvlJc w:val="left"/>
      <w:lvlText w:val="(%1)"/>
      <w:numFmt w:val="lowerLetter"/>
      <w:start w:val="12"/>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49" Type="http://schemas.openxmlformats.org/officeDocument/2006/relationships/hyperlink" Target="https://www.sec.gov/Archives/edgar/data/6845/000000684524000238/ex21husky-membershipintere.htm" TargetMode="External"/><Relationship Id="rId50" Type="http://schemas.openxmlformats.org/officeDocument/2006/relationships/hyperlink" Target="https://www.sec.gov/Archives/edgar/data/6845/000119312504079352/dex31.htm" TargetMode="External"/><Relationship Id="rId51" Type="http://schemas.openxmlformats.org/officeDocument/2006/relationships/hyperlink" Target="https://www.sec.gov/Archives/edgar/data/6845/000119312520008887/d874518dex31.htm" TargetMode="External"/><Relationship Id="rId52" Type="http://schemas.openxmlformats.org/officeDocument/2006/relationships/hyperlink" Target="https://www.sec.gov/Archives/edgar/data/0000006845/000000684521000020/apog-ex33arbylawsfinalapr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2025-07-02T10:22:31Z</dcterms:created>
  <dcterms:modified xsi:type="dcterms:W3CDTF">2025-07-02T10:22:31Z</dcterms:modified>
</cp:coreProperties>
</file>