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382270</wp:posOffset>
            </wp:positionH>
            <wp:positionV relativeFrom="page">
              <wp:posOffset>594360</wp:posOffset>
            </wp:positionV>
            <wp:extent cx="6791325" cy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1325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382270</wp:posOffset>
            </wp:positionH>
            <wp:positionV relativeFrom="page">
              <wp:posOffset>520065</wp:posOffset>
            </wp:positionV>
            <wp:extent cx="6791325" cy="6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1325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ind w:left="4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Washington, D.C. 20549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SCHEDULE 14A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Proxy Statement Pursuant to Section 14(a) of the</w:t>
      </w: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Securities Exchange Act of 1934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4"/>
          <w:szCs w:val="14"/>
          <w:color w:val="auto"/>
        </w:rPr>
        <w:t>☒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Filed by a Party other than the Registrant </w:t>
      </w:r>
      <w:r>
        <w:rPr>
          <w:rFonts w:ascii="MS PGothic" w:cs="MS PGothic" w:eastAsia="MS PGothic" w:hAnsi="MS PGothic"/>
          <w:sz w:val="14"/>
          <w:szCs w:val="14"/>
          <w:color w:val="auto"/>
        </w:rPr>
        <w:t>☐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Check the appropriate box: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880" w:hanging="861"/>
        <w:spacing w:after="0"/>
        <w:tabs>
          <w:tab w:leader="none" w:pos="8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Preliminary Proxy Statement</w:t>
      </w:r>
    </w:p>
    <w:p>
      <w:pPr>
        <w:spacing w:after="0" w:line="83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880" w:hanging="861"/>
        <w:spacing w:after="0"/>
        <w:tabs>
          <w:tab w:leader="none" w:pos="8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Confidential, for Use of the Commission Only (as permitted by Rule 14a-6(e)(2))</w:t>
      </w:r>
    </w:p>
    <w:p>
      <w:pPr>
        <w:spacing w:after="0" w:line="83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880" w:hanging="861"/>
        <w:spacing w:after="0"/>
        <w:tabs>
          <w:tab w:leader="none" w:pos="8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Definitive Proxy Statement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880" w:hanging="861"/>
        <w:spacing w:after="0"/>
        <w:tabs>
          <w:tab w:leader="none" w:pos="88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Definitive Additional Materials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880" w:hanging="861"/>
        <w:spacing w:after="0"/>
        <w:tabs>
          <w:tab w:leader="none" w:pos="88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Soliciting Material Pursuant to § 240.14a-12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4"/>
          <w:szCs w:val="34"/>
          <w:b w:val="1"/>
          <w:bCs w:val="1"/>
          <w:color w:val="auto"/>
        </w:rPr>
        <w:t>Apogee Enterprises, Inc.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(Name of Registrant as Specified In Its Charter)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ind w:left="3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(Name of Person(s) Filing Proxy Statement if other than the Registrant)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Payment of Filing Fee (Check the appropriate box):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ind w:left="600" w:hanging="581"/>
        <w:spacing w:after="0"/>
        <w:tabs>
          <w:tab w:leader="none" w:pos="6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No fee required.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600" w:hanging="581"/>
        <w:spacing w:after="0"/>
        <w:tabs>
          <w:tab w:leader="none" w:pos="6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Fee paid previously with preliminary materials.</w:t>
      </w:r>
    </w:p>
    <w:p>
      <w:pPr>
        <w:spacing w:after="0" w:line="83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600" w:hanging="581"/>
        <w:spacing w:after="0"/>
        <w:tabs>
          <w:tab w:leader="none" w:pos="6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621030</wp:posOffset>
            </wp:positionV>
            <wp:extent cx="7161530" cy="6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1530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574040</wp:posOffset>
            </wp:positionV>
            <wp:extent cx="7161530" cy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1530" cy="6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1156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304800</wp:posOffset>
            </wp:positionV>
            <wp:extent cx="7105650" cy="9327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2025-05-13T11:12:49Z</dcterms:created>
  <dcterms:modified xsi:type="dcterms:W3CDTF">2025-05-13T11:12:49Z</dcterms:modified>
</cp:coreProperties>
</file>