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500" w:hanging="474"/>
        <w:spacing w:after="0" w:line="195" w:lineRule="auto"/>
        <w:tabs>
          <w:tab w:leader="none" w:pos="50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May 28, 2022</w:t>
      </w:r>
    </w:p>
    <w:p>
      <w:pPr>
        <w:ind w:left="480" w:hanging="454"/>
        <w:spacing w:after="0" w:line="206" w:lineRule="auto"/>
        <w:tabs>
          <w:tab w:leader="none" w:pos="48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5" w:lineRule="exact"/>
        <w:rPr>
          <w:sz w:val="24"/>
          <w:szCs w:val="24"/>
          <w:color w:val="auto"/>
        </w:rPr>
      </w:pPr>
    </w:p>
    <w:p>
      <w:pPr>
        <w:ind w:left="398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0-6365</w:t>
      </w:r>
    </w:p>
    <w:p>
      <w:pPr>
        <w:spacing w:after="0" w:line="5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APOGEE ENTERPRISES,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7" w:lineRule="exact"/>
        <w:rPr>
          <w:sz w:val="24"/>
          <w:szCs w:val="24"/>
          <w:color w:val="auto"/>
        </w:rPr>
      </w:pPr>
    </w:p>
    <w:p>
      <w:pPr>
        <w:ind w:left="1860"/>
        <w:spacing w:after="0"/>
        <w:tabs>
          <w:tab w:leader="none" w:pos="8820" w:val="left"/>
        </w:tabs>
        <w:rPr>
          <w:sz w:val="20"/>
          <w:szCs w:val="20"/>
          <w:color w:val="auto"/>
        </w:rPr>
      </w:pP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7"/>
          <w:szCs w:val="17"/>
          <w:b w:val="1"/>
          <w:bCs w:val="1"/>
          <w:color w:val="auto"/>
        </w:rPr>
        <w:t>41-0919654</w:t>
      </w:r>
    </w:p>
    <w:p>
      <w:pPr>
        <w:spacing w:after="0" w:line="37" w:lineRule="exact"/>
        <w:rPr>
          <w:sz w:val="24"/>
          <w:szCs w:val="24"/>
          <w:color w:val="auto"/>
        </w:rPr>
      </w:pPr>
    </w:p>
    <w:p>
      <w:pPr>
        <w:ind w:left="540"/>
        <w:spacing w:after="0"/>
        <w:tabs>
          <w:tab w:leader="none" w:pos="820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92" w:lineRule="exact"/>
        <w:rPr>
          <w:sz w:val="24"/>
          <w:szCs w:val="24"/>
          <w:color w:val="auto"/>
        </w:rPr>
      </w:pPr>
    </w:p>
    <w:p>
      <w:pPr>
        <w:ind w:left="1080"/>
        <w:spacing w:after="0"/>
        <w:tabs>
          <w:tab w:leader="none" w:pos="4700" w:val="left"/>
          <w:tab w:leader="none" w:pos="6120" w:val="left"/>
          <w:tab w:leader="none" w:pos="9020" w:val="left"/>
        </w:tabs>
        <w:rPr>
          <w:sz w:val="20"/>
          <w:szCs w:val="20"/>
          <w:color w:val="auto"/>
        </w:rPr>
      </w:pPr>
      <w:r>
        <w:rPr>
          <w:rFonts w:ascii="Times New Roman" w:cs="Times New Roman" w:eastAsia="Times New Roman" w:hAnsi="Times New Roman"/>
          <w:sz w:val="17"/>
          <w:szCs w:val="17"/>
          <w:b w:val="1"/>
          <w:bCs w:val="1"/>
          <w:color w:val="auto"/>
        </w:rPr>
        <w:t>4400 West 78th Street, Suite 520</w:t>
      </w:r>
      <w:r>
        <w:rPr>
          <w:sz w:val="20"/>
          <w:szCs w:val="20"/>
          <w:color w:val="auto"/>
        </w:rPr>
        <w:tab/>
      </w:r>
      <w:r>
        <w:rPr>
          <w:rFonts w:ascii="Times New Roman" w:cs="Times New Roman" w:eastAsia="Times New Roman" w:hAnsi="Times New Roman"/>
          <w:sz w:val="17"/>
          <w:szCs w:val="17"/>
          <w:b w:val="1"/>
          <w:bCs w:val="1"/>
          <w:color w:val="auto"/>
        </w:rPr>
        <w:t>Minneapolis</w:t>
      </w:r>
      <w:r>
        <w:rPr>
          <w:sz w:val="20"/>
          <w:szCs w:val="20"/>
          <w:color w:val="auto"/>
        </w:rPr>
        <w:tab/>
      </w: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6"/>
          <w:szCs w:val="16"/>
          <w:b w:val="1"/>
          <w:bCs w:val="1"/>
          <w:color w:val="auto"/>
        </w:rPr>
        <w:t>55435</w:t>
      </w:r>
    </w:p>
    <w:p>
      <w:pPr>
        <w:spacing w:after="0" w:line="37" w:lineRule="exact"/>
        <w:rPr>
          <w:sz w:val="24"/>
          <w:szCs w:val="24"/>
          <w:color w:val="auto"/>
        </w:rPr>
      </w:pPr>
    </w:p>
    <w:p>
      <w:pPr>
        <w:ind w:left="1100"/>
        <w:spacing w:after="0"/>
        <w:tabs>
          <w:tab w:leader="none" w:pos="8920"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4"/>
          <w:szCs w:val="14"/>
          <w:color w:val="auto"/>
        </w:rPr>
        <w:t>(Zip Code)</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(952) 835-1874</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1460"/>
        <w:spacing w:after="0"/>
        <w:tabs>
          <w:tab w:leader="none" w:pos="4860" w:val="left"/>
          <w:tab w:leader="none" w:pos="73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500"/>
        <w:spacing w:after="0"/>
        <w:tabs>
          <w:tab w:leader="none" w:pos="5320" w:val="left"/>
          <w:tab w:leader="none" w:pos="7920" w:val="left"/>
        </w:tabs>
        <w:rPr>
          <w:sz w:val="20"/>
          <w:szCs w:val="20"/>
          <w:color w:val="auto"/>
        </w:rPr>
      </w:pPr>
      <w:r>
        <w:rPr>
          <w:rFonts w:ascii="Times New Roman" w:cs="Times New Roman" w:eastAsia="Times New Roman" w:hAnsi="Times New Roman"/>
          <w:sz w:val="18"/>
          <w:szCs w:val="18"/>
          <w:color w:val="auto"/>
        </w:rPr>
        <w:t>Common stock, par value $0.33 1/3 per share</w:t>
      </w:r>
      <w:r>
        <w:rPr>
          <w:sz w:val="20"/>
          <w:szCs w:val="20"/>
          <w:color w:val="auto"/>
        </w:rPr>
        <w:tab/>
      </w:r>
      <w:r>
        <w:rPr>
          <w:rFonts w:ascii="Times New Roman" w:cs="Times New Roman" w:eastAsia="Times New Roman" w:hAnsi="Times New Roman"/>
          <w:sz w:val="18"/>
          <w:szCs w:val="18"/>
          <w:color w:val="auto"/>
        </w:rPr>
        <w:t>APOG</w:t>
      </w:r>
      <w:r>
        <w:rPr>
          <w:sz w:val="20"/>
          <w:szCs w:val="20"/>
          <w:color w:val="auto"/>
        </w:rPr>
        <w:tab/>
      </w:r>
      <w:r>
        <w:rPr>
          <w:rFonts w:ascii="Times New Roman" w:cs="Times New Roman" w:eastAsia="Times New Roman" w:hAnsi="Times New Roman"/>
          <w:sz w:val="17"/>
          <w:szCs w:val="17"/>
          <w:color w:val="auto"/>
        </w:rPr>
        <w:t>The Nasdaq Stock Market LLC</w:t>
      </w:r>
    </w:p>
    <w:p>
      <w:pPr>
        <w:spacing w:after="0" w:line="99"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w:t>
      </w:r>
    </w:p>
    <w:p>
      <w:pPr>
        <w:spacing w:after="0" w:line="116" w:lineRule="exact"/>
        <w:rPr>
          <w:sz w:val="24"/>
          <w:szCs w:val="24"/>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w:t>
      </w:r>
    </w:p>
    <w:p>
      <w:pPr>
        <w:spacing w:after="0" w:line="10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08" w:right="339" w:bottom="1440" w:gutter="0" w:footer="0" w:header="0"/>
        </w:sectPr>
      </w:pPr>
    </w:p>
    <w:p>
      <w:pPr>
        <w:spacing w:after="0" w:line="175"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60"/>
              <w:spacing w:after="0"/>
              <w:rPr>
                <w:sz w:val="20"/>
                <w:szCs w:val="20"/>
                <w:color w:val="auto"/>
              </w:rPr>
            </w:pPr>
            <w:r>
              <w:rPr>
                <w:rFonts w:ascii="Arial" w:cs="Arial" w:eastAsia="Arial" w:hAnsi="Arial"/>
                <w:sz w:val="18"/>
                <w:szCs w:val="18"/>
                <w:color w:val="auto"/>
              </w:rPr>
              <w:t>x</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8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460"/>
              <w:spacing w:after="0"/>
              <w:rPr>
                <w:sz w:val="20"/>
                <w:szCs w:val="20"/>
                <w:color w:val="auto"/>
              </w:rPr>
            </w:pPr>
            <w:r>
              <w:rPr>
                <w:rFonts w:ascii="Arial" w:cs="Arial" w:eastAsia="Arial" w:hAnsi="Arial"/>
                <w:sz w:val="18"/>
                <w:szCs w:val="18"/>
                <w:color w:val="auto"/>
              </w:rPr>
              <w:t>o</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295"/>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r>
    </w:tbl>
    <w:p>
      <w:pPr>
        <w:ind w:left="20"/>
        <w:spacing w:after="0" w:line="233"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48" w:lineRule="exact"/>
        <w:rPr>
          <w:sz w:val="24"/>
          <w:szCs w:val="24"/>
          <w:color w:val="auto"/>
        </w:rPr>
      </w:pPr>
    </w:p>
    <w:p>
      <w:pPr>
        <w:jc w:val="center"/>
        <w:ind w:right="52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080" w:space="480"/>
            <w:col w:w="680"/>
          </w:cols>
          <w:pgMar w:left="320" w:top="1208" w:right="339" w:bottom="1440" w:gutter="0" w:footer="0" w:header="0"/>
          <w:type w:val="continuous"/>
        </w:sectPr>
      </w:pPr>
    </w:p>
    <w:bookmarkStart w:id="1" w:name="page2"/>
    <w:bookmarkEnd w:id="1"/>
    <w:p>
      <w:pPr>
        <w:ind w:right="699"/>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As of June 27, 2022, 22,156,827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751205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112395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78105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97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APOGEE ENTERPRISES, INC. AND SUBSIDIARIES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440" w:type="dxa"/>
            <w:vAlign w:val="bottom"/>
            <w:gridSpan w:val="6"/>
          </w:tcPr>
          <w:p>
            <w:pPr>
              <w:ind w:left="2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4760" w:type="dxa"/>
            <w:vAlign w:val="bottom"/>
            <w:gridSpan w:val="10"/>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000" w:type="dxa"/>
            <w:vAlign w:val="bottom"/>
            <w:gridSpan w:val="7"/>
          </w:tcPr>
          <w:p>
            <w:pPr>
              <w:spacing w:after="0"/>
              <w:rPr>
                <w:sz w:val="22"/>
                <w:szCs w:val="22"/>
                <w:color w:val="auto"/>
              </w:rPr>
            </w:pP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Results of Operations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Earnings</w:t>
            </w:r>
          </w:p>
        </w:tc>
        <w:tc>
          <w:tcPr>
            <w:tcW w:w="2620" w:type="dxa"/>
            <w:vAlign w:val="bottom"/>
            <w:gridSpan w:val="2"/>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2940" w:type="dxa"/>
            <w:vAlign w:val="bottom"/>
            <w:gridSpan w:val="3"/>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320" w:type="dxa"/>
            <w:vAlign w:val="bottom"/>
            <w:tcBorders>
              <w:top w:val="single" w:sz="8" w:color="0000FF"/>
            </w:tcBorders>
            <w:gridSpan w:val="2"/>
          </w:tcPr>
          <w:p>
            <w:pPr>
              <w:spacing w:after="0"/>
              <w:rPr>
                <w:sz w:val="22"/>
                <w:szCs w:val="22"/>
                <w:color w:val="auto"/>
              </w:rPr>
            </w:pPr>
          </w:p>
        </w:tc>
        <w:tc>
          <w:tcPr>
            <w:tcW w:w="4700" w:type="dxa"/>
            <w:vAlign w:val="bottom"/>
            <w:gridSpan w:val="9"/>
          </w:tcPr>
          <w:p>
            <w:pPr>
              <w:spacing w:after="0"/>
              <w:rPr>
                <w:sz w:val="22"/>
                <w:szCs w:val="22"/>
                <w:color w:val="auto"/>
              </w:rPr>
            </w:pP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Pr>
          <w:p>
            <w:pPr>
              <w:spacing w:after="0"/>
              <w:rPr>
                <w:sz w:val="22"/>
                <w:szCs w:val="22"/>
                <w:color w:val="auto"/>
              </w:rPr>
            </w:pPr>
          </w:p>
        </w:tc>
        <w:tc>
          <w:tcPr>
            <w:tcW w:w="514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3740" w:type="dxa"/>
            <w:vAlign w:val="bottom"/>
            <w:gridSpan w:val="13"/>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22"/>
                <w:szCs w:val="22"/>
                <w:color w:val="auto"/>
              </w:rPr>
            </w:pP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Times New Roman" w:cs="Times New Roman" w:eastAsia="Times New Roman" w:hAnsi="Times New Roman"/>
                <w:sz w:val="17"/>
                <w:szCs w:val="17"/>
                <w:color w:val="auto"/>
                <w:w w:val="70"/>
              </w:rPr>
              <w:t>3</w:t>
            </w:r>
          </w:p>
        </w:tc>
        <w:tc>
          <w:tcPr>
            <w:tcW w:w="2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6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90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stock data)</w:t>
            </w:r>
          </w:p>
        </w:tc>
        <w:tc>
          <w:tcPr>
            <w:tcW w:w="20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May 28, 2022</w:t>
            </w: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February 26, 2022</w:t>
            </w:r>
          </w:p>
        </w:tc>
        <w:tc>
          <w:tcPr>
            <w:tcW w:w="0" w:type="dxa"/>
            <w:vAlign w:val="bottom"/>
          </w:tcPr>
          <w:p>
            <w:pPr>
              <w:spacing w:after="0"/>
              <w:rPr>
                <w:sz w:val="1"/>
                <w:szCs w:val="1"/>
                <w:color w:val="auto"/>
              </w:rPr>
            </w:pPr>
          </w:p>
        </w:tc>
      </w:tr>
      <w:tr>
        <w:trPr>
          <w:trHeight w:val="226"/>
        </w:trPr>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top w:val="single" w:sz="8" w:color="auto"/>
            </w:tcBorders>
            <w:shd w:val="clear" w:color="auto" w:fill="CCEEFF"/>
          </w:tcPr>
          <w:p>
            <w:pPr>
              <w:spacing w:after="0"/>
              <w:rPr>
                <w:sz w:val="19"/>
                <w:szCs w:val="19"/>
                <w:color w:val="auto"/>
              </w:rPr>
            </w:pPr>
          </w:p>
        </w:tc>
        <w:tc>
          <w:tcPr>
            <w:tcW w:w="62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0" w:type="dxa"/>
            <w:vAlign w:val="bottom"/>
          </w:tcPr>
          <w:p>
            <w:pPr>
              <w:spacing w:after="0"/>
              <w:rPr>
                <w:sz w:val="1"/>
                <w:szCs w:val="1"/>
                <w:color w:val="auto"/>
              </w:rPr>
            </w:pPr>
          </w:p>
        </w:tc>
      </w:tr>
      <w:tr>
        <w:trPr>
          <w:trHeight w:val="229"/>
        </w:trPr>
        <w:tc>
          <w:tcPr>
            <w:tcW w:w="81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168,592</w:t>
            </w:r>
          </w:p>
        </w:tc>
        <w:tc>
          <w:tcPr>
            <w:tcW w:w="0" w:type="dxa"/>
            <w:vAlign w:val="bottom"/>
          </w:tcPr>
          <w:p>
            <w:pPr>
              <w:spacing w:after="0"/>
              <w:rPr>
                <w:sz w:val="1"/>
                <w:szCs w:val="1"/>
                <w:color w:val="auto"/>
              </w:rPr>
            </w:pPr>
          </w:p>
        </w:tc>
      </w:tr>
      <w:tr>
        <w:trPr>
          <w:trHeight w:val="230"/>
        </w:trPr>
        <w:tc>
          <w:tcPr>
            <w:tcW w:w="81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80,494</w:t>
            </w:r>
          </w:p>
        </w:tc>
        <w:tc>
          <w:tcPr>
            <w:tcW w:w="0" w:type="dxa"/>
            <w:vAlign w:val="bottom"/>
          </w:tcPr>
          <w:p>
            <w:pPr>
              <w:spacing w:after="0"/>
              <w:rPr>
                <w:sz w:val="1"/>
                <w:szCs w:val="1"/>
                <w:color w:val="auto"/>
              </w:rPr>
            </w:pPr>
          </w:p>
        </w:tc>
      </w:tr>
      <w:tr>
        <w:trPr>
          <w:trHeight w:val="229"/>
        </w:trPr>
        <w:tc>
          <w:tcPr>
            <w:tcW w:w="81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and earnings on contracts in excess of billings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30,403</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4"/>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20,820</w:t>
            </w: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7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371,161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337,892</w:t>
            </w:r>
          </w:p>
        </w:tc>
        <w:tc>
          <w:tcPr>
            <w:tcW w:w="0" w:type="dxa"/>
            <w:vAlign w:val="bottom"/>
          </w:tcPr>
          <w:p>
            <w:pPr>
              <w:spacing w:after="0"/>
              <w:rPr>
                <w:sz w:val="1"/>
                <w:szCs w:val="1"/>
                <w:color w:val="auto"/>
              </w:rPr>
            </w:pPr>
          </w:p>
        </w:tc>
      </w:tr>
      <w:tr>
        <w:trPr>
          <w:trHeight w:val="223"/>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249,995</w:t>
            </w:r>
          </w:p>
        </w:tc>
        <w:tc>
          <w:tcPr>
            <w:tcW w:w="0" w:type="dxa"/>
            <w:vAlign w:val="bottom"/>
          </w:tcPr>
          <w:p>
            <w:pPr>
              <w:spacing w:after="0"/>
              <w:rPr>
                <w:sz w:val="1"/>
                <w:szCs w:val="1"/>
                <w:color w:val="auto"/>
              </w:rPr>
            </w:pPr>
          </w:p>
        </w:tc>
      </w:tr>
      <w:tr>
        <w:trPr>
          <w:trHeight w:val="229"/>
        </w:trPr>
        <w:tc>
          <w:tcPr>
            <w:tcW w:w="8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47,912</w:t>
            </w:r>
          </w:p>
        </w:tc>
        <w:tc>
          <w:tcPr>
            <w:tcW w:w="0" w:type="dxa"/>
            <w:vAlign w:val="bottom"/>
          </w:tcPr>
          <w:p>
            <w:pPr>
              <w:spacing w:after="0"/>
              <w:rPr>
                <w:sz w:val="1"/>
                <w:szCs w:val="1"/>
                <w:color w:val="auto"/>
              </w:rPr>
            </w:pPr>
          </w:p>
        </w:tc>
      </w:tr>
      <w:tr>
        <w:trPr>
          <w:trHeight w:val="229"/>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130,102</w:t>
            </w:r>
          </w:p>
        </w:tc>
        <w:tc>
          <w:tcPr>
            <w:tcW w:w="0" w:type="dxa"/>
            <w:vAlign w:val="bottom"/>
          </w:tcPr>
          <w:p>
            <w:pPr>
              <w:spacing w:after="0"/>
              <w:rPr>
                <w:sz w:val="1"/>
                <w:szCs w:val="1"/>
                <w:color w:val="auto"/>
              </w:rPr>
            </w:pPr>
          </w:p>
        </w:tc>
      </w:tr>
      <w:tr>
        <w:trPr>
          <w:trHeight w:val="230"/>
        </w:trPr>
        <w:tc>
          <w:tcPr>
            <w:tcW w:w="8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72,481</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49,481</w:t>
            </w:r>
          </w:p>
        </w:tc>
        <w:tc>
          <w:tcPr>
            <w:tcW w:w="0" w:type="dxa"/>
            <w:vAlign w:val="bottom"/>
          </w:tcPr>
          <w:p>
            <w:pPr>
              <w:spacing w:after="0"/>
              <w:rPr>
                <w:sz w:val="1"/>
                <w:szCs w:val="1"/>
                <w:color w:val="auto"/>
              </w:rPr>
            </w:pPr>
          </w:p>
        </w:tc>
      </w:tr>
      <w:tr>
        <w:trPr>
          <w:trHeight w:val="248"/>
        </w:trPr>
        <w:tc>
          <w:tcPr>
            <w:tcW w:w="62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887,863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88,908</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92,104</w:t>
            </w:r>
          </w:p>
        </w:tc>
        <w:tc>
          <w:tcPr>
            <w:tcW w:w="0" w:type="dxa"/>
            <w:vAlign w:val="bottom"/>
          </w:tcPr>
          <w:p>
            <w:pPr>
              <w:spacing w:after="0"/>
              <w:rPr>
                <w:sz w:val="1"/>
                <w:szCs w:val="1"/>
                <w:color w:val="auto"/>
              </w:rPr>
            </w:pPr>
          </w:p>
        </w:tc>
      </w:tr>
      <w:tr>
        <w:trPr>
          <w:trHeight w:val="230"/>
        </w:trPr>
        <w:tc>
          <w:tcPr>
            <w:tcW w:w="81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50,977</w:t>
            </w:r>
          </w:p>
        </w:tc>
        <w:tc>
          <w:tcPr>
            <w:tcW w:w="0" w:type="dxa"/>
            <w:vAlign w:val="bottom"/>
          </w:tcPr>
          <w:p>
            <w:pPr>
              <w:spacing w:after="0"/>
              <w:rPr>
                <w:sz w:val="1"/>
                <w:szCs w:val="1"/>
                <w:color w:val="auto"/>
              </w:rPr>
            </w:pPr>
          </w:p>
        </w:tc>
      </w:tr>
      <w:tr>
        <w:trPr>
          <w:trHeight w:val="230"/>
        </w:trPr>
        <w:tc>
          <w:tcPr>
            <w:tcW w:w="81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Billings in excess of costs and earnings on uncompleted contracts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0" w:type="dxa"/>
            <w:vAlign w:val="bottom"/>
          </w:tcPr>
          <w:p>
            <w:pPr>
              <w:spacing w:after="0"/>
              <w:rPr>
                <w:sz w:val="1"/>
                <w:szCs w:val="1"/>
                <w:color w:val="auto"/>
              </w:rPr>
            </w:pPr>
          </w:p>
        </w:tc>
      </w:tr>
      <w:tr>
        <w:trPr>
          <w:trHeight w:val="230"/>
        </w:trPr>
        <w:tc>
          <w:tcPr>
            <w:tcW w:w="81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0" w:type="dxa"/>
            <w:vAlign w:val="bottom"/>
          </w:tcPr>
          <w:p>
            <w:pPr>
              <w:spacing w:after="0"/>
              <w:rPr>
                <w:sz w:val="1"/>
                <w:szCs w:val="1"/>
                <w:color w:val="auto"/>
              </w:rPr>
            </w:pPr>
          </w:p>
        </w:tc>
      </w:tr>
      <w:tr>
        <w:trPr>
          <w:trHeight w:val="229"/>
        </w:trPr>
        <w:tc>
          <w:tcPr>
            <w:tcW w:w="81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Current portion long-term debt</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81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67,462</w:t>
            </w:r>
          </w:p>
        </w:tc>
        <w:tc>
          <w:tcPr>
            <w:tcW w:w="0" w:type="dxa"/>
            <w:vAlign w:val="bottom"/>
          </w:tcPr>
          <w:p>
            <w:pPr>
              <w:spacing w:after="0"/>
              <w:rPr>
                <w:sz w:val="1"/>
                <w:szCs w:val="1"/>
                <w:color w:val="auto"/>
              </w:rPr>
            </w:pPr>
          </w:p>
        </w:tc>
      </w:tr>
      <w:tr>
        <w:trPr>
          <w:trHeight w:val="223"/>
        </w:trPr>
        <w:tc>
          <w:tcPr>
            <w:tcW w:w="6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207,065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232,946</w:t>
            </w:r>
          </w:p>
        </w:tc>
        <w:tc>
          <w:tcPr>
            <w:tcW w:w="0" w:type="dxa"/>
            <w:vAlign w:val="bottom"/>
          </w:tcPr>
          <w:p>
            <w:pPr>
              <w:spacing w:after="0"/>
              <w:rPr>
                <w:sz w:val="1"/>
                <w:szCs w:val="1"/>
                <w:color w:val="auto"/>
              </w:rPr>
            </w:pPr>
          </w:p>
        </w:tc>
      </w:tr>
      <w:tr>
        <w:trPr>
          <w:trHeight w:val="223"/>
        </w:trPr>
        <w:tc>
          <w:tcPr>
            <w:tcW w:w="8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162,000</w:t>
            </w:r>
          </w:p>
        </w:tc>
        <w:tc>
          <w:tcPr>
            <w:tcW w:w="0" w:type="dxa"/>
            <w:vAlign w:val="bottom"/>
          </w:tcPr>
          <w:p>
            <w:pPr>
              <w:spacing w:after="0"/>
              <w:rPr>
                <w:sz w:val="1"/>
                <w:szCs w:val="1"/>
                <w:color w:val="auto"/>
              </w:rPr>
            </w:pPr>
          </w:p>
        </w:tc>
      </w:tr>
      <w:tr>
        <w:trPr>
          <w:trHeight w:val="230"/>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39,591</w:t>
            </w:r>
          </w:p>
        </w:tc>
        <w:tc>
          <w:tcPr>
            <w:tcW w:w="0" w:type="dxa"/>
            <w:vAlign w:val="bottom"/>
          </w:tcPr>
          <w:p>
            <w:pPr>
              <w:spacing w:after="0"/>
              <w:rPr>
                <w:sz w:val="1"/>
                <w:szCs w:val="1"/>
                <w:color w:val="auto"/>
              </w:rPr>
            </w:pPr>
          </w:p>
        </w:tc>
      </w:tr>
      <w:tr>
        <w:trPr>
          <w:trHeight w:val="230"/>
        </w:trPr>
        <w:tc>
          <w:tcPr>
            <w:tcW w:w="8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self-insurance reserves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0" w:type="dxa"/>
            <w:vAlign w:val="bottom"/>
          </w:tcPr>
          <w:p>
            <w:pPr>
              <w:spacing w:after="0"/>
              <w:rPr>
                <w:sz w:val="1"/>
                <w:szCs w:val="1"/>
                <w:color w:val="auto"/>
              </w:rPr>
            </w:pPr>
          </w:p>
        </w:tc>
      </w:tr>
      <w:tr>
        <w:trPr>
          <w:trHeight w:val="230"/>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44,583</w:t>
            </w:r>
          </w:p>
        </w:tc>
        <w:tc>
          <w:tcPr>
            <w:tcW w:w="0" w:type="dxa"/>
            <w:vAlign w:val="bottom"/>
          </w:tcPr>
          <w:p>
            <w:pPr>
              <w:spacing w:after="0"/>
              <w:rPr>
                <w:sz w:val="1"/>
                <w:szCs w:val="1"/>
                <w:color w:val="auto"/>
              </w:rPr>
            </w:pPr>
          </w:p>
        </w:tc>
      </w:tr>
      <w:tr>
        <w:trPr>
          <w:trHeight w:val="229"/>
        </w:trPr>
        <w:tc>
          <w:tcPr>
            <w:tcW w:w="8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8)</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gridSpan w:val="4"/>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of $0.33-1/3 par value; authorized 50,000,000 shares; issued and outstanding</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22,200,680 and 23,701,491 respectively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0" w:type="dxa"/>
            <w:vAlign w:val="bottom"/>
          </w:tcPr>
          <w:p>
            <w:pPr>
              <w:spacing w:after="0"/>
              <w:rPr>
                <w:sz w:val="1"/>
                <w:szCs w:val="1"/>
                <w:color w:val="auto"/>
              </w:rPr>
            </w:pPr>
          </w:p>
        </w:tc>
      </w:tr>
      <w:tr>
        <w:trPr>
          <w:trHeight w:val="229"/>
        </w:trPr>
        <w:tc>
          <w:tcPr>
            <w:tcW w:w="81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149,713</w:t>
            </w:r>
          </w:p>
        </w:tc>
        <w:tc>
          <w:tcPr>
            <w:tcW w:w="0" w:type="dxa"/>
            <w:vAlign w:val="bottom"/>
          </w:tcPr>
          <w:p>
            <w:pPr>
              <w:spacing w:after="0"/>
              <w:rPr>
                <w:sz w:val="1"/>
                <w:szCs w:val="1"/>
                <w:color w:val="auto"/>
              </w:rPr>
            </w:pPr>
          </w:p>
        </w:tc>
      </w:tr>
      <w:tr>
        <w:trPr>
          <w:trHeight w:val="230"/>
        </w:trPr>
        <w:tc>
          <w:tcPr>
            <w:tcW w:w="81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4"/>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(26,240)</w:t>
            </w: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7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327,290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386,199</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906,950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887,863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May 28, 2022</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May 29, 2021</w:t>
            </w:r>
          </w:p>
        </w:tc>
      </w:tr>
      <w:tr>
        <w:trPr>
          <w:trHeight w:val="225"/>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326,006</w:t>
            </w: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258,296</w:t>
            </w:r>
          </w:p>
        </w:tc>
      </w:tr>
      <w:tr>
        <w:trPr>
          <w:trHeight w:val="223"/>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67,710</w:t>
            </w: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51,668</w:t>
            </w:r>
          </w:p>
        </w:tc>
      </w:tr>
      <w:tr>
        <w:trPr>
          <w:trHeight w:val="223"/>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16,042</w:t>
            </w:r>
          </w:p>
        </w:tc>
      </w:tr>
      <w:tr>
        <w:trPr>
          <w:trHeight w:val="22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w:t>
            </w: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r>
      <w:tr>
        <w:trPr>
          <w:trHeight w:val="223"/>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10,817</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2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25,402</w:t>
            </w:r>
          </w:p>
        </w:tc>
      </w:tr>
      <w:tr>
        <w:trPr>
          <w:trHeight w:val="234"/>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25,822</w:t>
            </w: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COMPREHENSIVE EARNINGS </w:t>
      </w:r>
      <w:r>
        <w:rPr>
          <w:rFonts w:ascii="Times New Roman" w:cs="Times New Roman" w:eastAsia="Times New Roman" w:hAnsi="Times New Roman"/>
          <w:sz w:val="18"/>
          <w:szCs w:val="18"/>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May 28, 2022</w:t>
            </w:r>
          </w:p>
        </w:tc>
        <w:tc>
          <w:tcPr>
            <w:tcW w:w="200" w:type="dxa"/>
            <w:vAlign w:val="bottom"/>
          </w:tcPr>
          <w:p>
            <w:pPr>
              <w:spacing w:after="0"/>
              <w:rPr>
                <w:sz w:val="18"/>
                <w:szCs w:val="18"/>
                <w:color w:val="auto"/>
              </w:rPr>
            </w:pPr>
          </w:p>
        </w:tc>
        <w:tc>
          <w:tcPr>
            <w:tcW w:w="13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May 29, 2021</w:t>
            </w:r>
          </w:p>
        </w:tc>
      </w:tr>
      <w:tr>
        <w:trPr>
          <w:trHeight w:val="225"/>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w:t>
            </w: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gain on marketable securities, net of $(74) and $0 of tax (benefit) expense, respectively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08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(loss) gain on derivative instruments, net of $(1,317) and $211 of tax (benefit) expense,</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8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w:t>
            </w:r>
          </w:p>
        </w:tc>
      </w:tr>
      <w:tr>
        <w:trPr>
          <w:trHeight w:val="223"/>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6,572</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earnings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May 28, 2022</w:t>
            </w:r>
          </w:p>
        </w:tc>
        <w:tc>
          <w:tcPr>
            <w:tcW w:w="2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May 29, 2021</w:t>
            </w:r>
          </w:p>
        </w:tc>
        <w:tc>
          <w:tcPr>
            <w:tcW w:w="0" w:type="dxa"/>
            <w:vAlign w:val="bottom"/>
          </w:tcPr>
          <w:p>
            <w:pPr>
              <w:spacing w:after="0"/>
              <w:rPr>
                <w:sz w:val="1"/>
                <w:szCs w:val="1"/>
                <w:color w:val="auto"/>
              </w:rPr>
            </w:pPr>
          </w:p>
        </w:tc>
      </w:tr>
      <w:tr>
        <w:trPr>
          <w:trHeight w:val="225"/>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(used) provided by operating activities: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12,980</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0" w:type="dxa"/>
            <w:vAlign w:val="bottom"/>
          </w:tcPr>
          <w:p>
            <w:pPr>
              <w:spacing w:after="0"/>
              <w:rPr>
                <w:sz w:val="1"/>
                <w:szCs w:val="1"/>
                <w:color w:val="auto"/>
              </w:rPr>
            </w:pPr>
          </w:p>
        </w:tc>
      </w:tr>
      <w:tr>
        <w:trPr>
          <w:trHeight w:val="23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29"/>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New Markets Tax Credit transaction, net of deferred costs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 of New Markets Tax Credit transaction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and earnings on contracts in excess of billings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29"/>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(22,449)</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Billings in excess of costs and earnings on uncompleted contracts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0" w:type="dxa"/>
            <w:vAlign w:val="bottom"/>
          </w:tcPr>
          <w:p>
            <w:pPr>
              <w:spacing w:after="0"/>
              <w:rPr>
                <w:sz w:val="1"/>
                <w:szCs w:val="1"/>
                <w:color w:val="auto"/>
              </w:rPr>
            </w:pPr>
          </w:p>
        </w:tc>
      </w:tr>
      <w:tr>
        <w:trPr>
          <w:trHeight w:val="229"/>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Refundable and accrued income taxes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provided by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0" w:type="dxa"/>
            <w:vAlign w:val="bottom"/>
          </w:tcPr>
          <w:p>
            <w:pPr>
              <w:spacing w:after="0"/>
              <w:rPr>
                <w:sz w:val="1"/>
                <w:szCs w:val="1"/>
                <w:color w:val="auto"/>
              </w:rPr>
            </w:pP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0" w:type="dxa"/>
            <w:vAlign w:val="bottom"/>
          </w:tcPr>
          <w:p>
            <w:pPr>
              <w:spacing w:after="0"/>
              <w:rPr>
                <w:sz w:val="1"/>
                <w:szCs w:val="1"/>
                <w:color w:val="auto"/>
              </w:rPr>
            </w:pPr>
          </w:p>
        </w:tc>
      </w:tr>
      <w:tr>
        <w:trPr>
          <w:trHeight w:val="21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on debt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0" w:type="dxa"/>
            <w:vAlign w:val="bottom"/>
            <w:gridSpan w:val="3"/>
            <w:vMerge w:val="continue"/>
          </w:tcPr>
          <w:p>
            <w:pPr>
              <w:spacing w:after="0"/>
              <w:rPr>
                <w:sz w:val="11"/>
                <w:szCs w:val="11"/>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4060" w:type="dxa"/>
            <w:vAlign w:val="bottom"/>
            <w:gridSpan w:val="2"/>
            <w:vMerge w:val="continue"/>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40" w:type="dxa"/>
            <w:vAlign w:val="bottom"/>
          </w:tcPr>
          <w:p>
            <w:pPr>
              <w:spacing w:after="0"/>
              <w:rPr>
                <w:sz w:val="15"/>
                <w:szCs w:val="15"/>
                <w:color w:val="auto"/>
              </w:rPr>
            </w:pPr>
          </w:p>
        </w:tc>
        <w:tc>
          <w:tcPr>
            <w:tcW w:w="100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26, 2022</w:t>
            </w: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23,701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7,901</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149,713</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254,825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(26,240)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386,199</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22,731</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 net of $74 tax benefit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loss on derivative instruments, net of $1,317 tax benefit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(74,312)</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0" w:type="dxa"/>
            <w:vAlign w:val="bottom"/>
          </w:tcPr>
          <w:p>
            <w:pPr>
              <w:spacing w:after="0"/>
              <w:rPr>
                <w:sz w:val="1"/>
                <w:szCs w:val="1"/>
                <w:color w:val="auto"/>
              </w:rPr>
            </w:pPr>
          </w:p>
        </w:tc>
      </w:tr>
      <w:tr>
        <w:trPr>
          <w:trHeight w:val="18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0" w:type="dxa"/>
            <w:vAlign w:val="bottom"/>
          </w:tcPr>
          <w:p>
            <w:pPr>
              <w:spacing w:after="0"/>
              <w:rPr>
                <w:sz w:val="1"/>
                <w:szCs w:val="1"/>
                <w:color w:val="auto"/>
              </w:rPr>
            </w:pPr>
          </w:p>
        </w:tc>
      </w:tr>
      <w:tr>
        <w:trPr>
          <w:trHeight w:val="214"/>
        </w:trPr>
        <w:tc>
          <w:tcPr>
            <w:tcW w:w="4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May 28,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140,785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208,205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(29,100)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327,290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0" w:type="dxa"/>
            <w:vAlign w:val="bottom"/>
            <w:gridSpan w:val="3"/>
            <w:vMerge w:val="continue"/>
          </w:tcPr>
          <w:p>
            <w:pPr>
              <w:spacing w:after="0"/>
              <w:rPr>
                <w:sz w:val="11"/>
                <w:szCs w:val="11"/>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4060" w:type="dxa"/>
            <w:vAlign w:val="bottom"/>
            <w:gridSpan w:val="2"/>
            <w:vMerge w:val="continue"/>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40" w:type="dxa"/>
            <w:vAlign w:val="bottom"/>
          </w:tcPr>
          <w:p>
            <w:pPr>
              <w:spacing w:after="0"/>
              <w:rPr>
                <w:sz w:val="15"/>
                <w:szCs w:val="15"/>
                <w:color w:val="auto"/>
              </w:rPr>
            </w:pPr>
          </w:p>
        </w:tc>
        <w:tc>
          <w:tcPr>
            <w:tcW w:w="100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27, 2021</w:t>
            </w: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25,714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8,571</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154,958</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357,243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(28,027)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492,745</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 net of $0 tax expense</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 instruments, net of $211tax expense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(12,625)</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0" w:type="dxa"/>
            <w:vAlign w:val="bottom"/>
          </w:tcPr>
          <w:p>
            <w:pPr>
              <w:spacing w:after="0"/>
              <w:rPr>
                <w:sz w:val="1"/>
                <w:szCs w:val="1"/>
                <w:color w:val="auto"/>
              </w:rPr>
            </w:pPr>
          </w:p>
        </w:tc>
      </w:tr>
      <w:tr>
        <w:trPr>
          <w:trHeight w:val="18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May 29, 2021</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25,606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8,535</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158,341</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352,130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(21,455)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497,551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February 26, 2022. We use the same accounting policies in preparing quarterly and annual financial statements. All adjustments necessary for a fair presentation of quarterly and year to date operating results are reflected herein and are of a normal, recurring nature. The results of operations for the three-month period ended May 28, 2022 are not necessarily indicative of the results to be expected for the full year.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beginning of the first quarter of fiscal 2023, we began management of the Sotawall and Harmon businesses under the Architectural Services segment in order to create a single, unified offering for larger custom curtainwall projects. The comparative fiscal 2022 segment results for the Architectural Framing Systems and Architectural Services segments have been recast to reflect the move of the Sotawall business into the Architectural Services segment from the Architectural Framing Systems segment, effective at the start of the first quarter of fiscal 2023.</w:t>
      </w:r>
    </w:p>
    <w:p>
      <w:pPr>
        <w:spacing w:after="0" w:line="20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total revenue by timing of recognition (see Note 12 for disclosure of revenue by segment):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08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220" w:type="dxa"/>
            <w:vAlign w:val="bottom"/>
          </w:tcPr>
          <w:p>
            <w:pPr>
              <w:spacing w:after="0"/>
              <w:rPr>
                <w:sz w:val="16"/>
                <w:szCs w:val="16"/>
                <w:color w:val="auto"/>
              </w:rPr>
            </w:pPr>
          </w:p>
        </w:tc>
        <w:tc>
          <w:tcPr>
            <w:tcW w:w="13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May 29, 2021</w:t>
            </w: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at shipment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140,283</w:t>
            </w: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195,471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185,723</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326,006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 Retainage on construction contracts represents amounts withheld by our customers on long-term projects until the project reaches a level of completion where amounts are released to us from the customer.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140" w:type="dxa"/>
            <w:vAlign w:val="bottom"/>
          </w:tcPr>
          <w:p>
            <w:pPr>
              <w:spacing w:after="0"/>
              <w:rPr>
                <w:sz w:val="18"/>
                <w:szCs w:val="18"/>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February 26, 2022</w:t>
            </w:r>
          </w:p>
        </w:tc>
        <w:tc>
          <w:tcPr>
            <w:tcW w:w="0" w:type="dxa"/>
            <w:vAlign w:val="bottom"/>
          </w:tcPr>
          <w:p>
            <w:pPr>
              <w:spacing w:after="0"/>
              <w:rPr>
                <w:sz w:val="1"/>
                <w:szCs w:val="1"/>
                <w:color w:val="auto"/>
              </w:rPr>
            </w:pPr>
          </w:p>
        </w:tc>
      </w:tr>
      <w:tr>
        <w:trPr>
          <w:trHeight w:val="230"/>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129,085</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contracts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retainage</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28,782</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170,724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193,741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168,592</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0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140" w:type="dxa"/>
            <w:vAlign w:val="bottom"/>
          </w:tcPr>
          <w:p>
            <w:pPr>
              <w:spacing w:after="0"/>
              <w:rPr>
                <w:sz w:val="24"/>
                <w:szCs w:val="24"/>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February 26, 2022</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allowance, net of recoveries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changes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Result of foreign currency effects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808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 to us from the customer.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140" w:type="dxa"/>
            <w:vAlign w:val="bottom"/>
          </w:tcPr>
          <w:p>
            <w:pPr>
              <w:spacing w:after="0"/>
              <w:rPr>
                <w:sz w:val="18"/>
                <w:szCs w:val="18"/>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February 26, 2022</w:t>
            </w:r>
          </w:p>
        </w:tc>
      </w:tr>
      <w:tr>
        <w:trPr>
          <w:trHeight w:val="230"/>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59,185</w:t>
            </w:r>
          </w:p>
        </w:tc>
      </w:tr>
      <w:tr>
        <w:trPr>
          <w:trHeight w:val="23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11,373</w:t>
            </w:r>
          </w:p>
        </w:tc>
      </w:tr>
    </w:tbl>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contract assets and contract liabilities were mainly due to timing of project activity within our businesses that operate under long-term contracts.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contract-related disclosures</w:t>
            </w: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220" w:type="dxa"/>
            <w:vAlign w:val="bottom"/>
          </w:tcPr>
          <w:p>
            <w:pPr>
              <w:spacing w:after="0"/>
              <w:rPr>
                <w:sz w:val="16"/>
                <w:szCs w:val="16"/>
                <w:color w:val="auto"/>
              </w:rPr>
            </w:pP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May 29, 2021</w:t>
            </w: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contract liabilities from prior year-end</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w:t>
            </w:r>
          </w:p>
        </w:tc>
      </w:tr>
      <w:tr>
        <w:trPr>
          <w:trHeight w:val="23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prior satisfaction of performance obligations</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have an expected duration of longer than a year, with performance obligations extending over that time frame. Generally, these contracts are found in our businesses that typically operate with long-term contracts, which recognize revenue over time. As of May 28, 2022, the transaction price associated with unsatisfied performance obligations was approximately $810.6 million. The performance obligations are expected to be satisfied, and the corresponding revenue to be recognized, over the following estimated time periods:</w:t>
      </w:r>
    </w:p>
    <w:p>
      <w:pPr>
        <w:sectPr>
          <w:pgSz w:w="11900" w:h="16838" w:orient="portrait"/>
          <w:cols w:equalWidth="0" w:num="1">
            <w:col w:w="11240"/>
          </w:cols>
          <w:pgMar w:left="320" w:top="121" w:right="339" w:bottom="1440" w:gutter="0" w:footer="0" w:header="0"/>
        </w:sectPr>
      </w:pP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Within one year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Within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Beyond two years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Supplemental Balance Sheet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Work-in-process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Finished goods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inventories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May 28, 2022</w:t>
      </w:r>
    </w:p>
    <w:p>
      <w:pPr>
        <w:spacing w:after="0" w:line="61" w:lineRule="exact"/>
        <w:rPr>
          <w:sz w:val="20"/>
          <w:szCs w:val="20"/>
          <w:color w:val="auto"/>
        </w:rPr>
      </w:pPr>
    </w:p>
    <w:p>
      <w:pPr>
        <w:ind w:left="1660"/>
        <w:spacing w:after="0"/>
        <w:tabs>
          <w:tab w:leader="none" w:pos="2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505,055</w:t>
      </w:r>
    </w:p>
    <w:p>
      <w:pPr>
        <w:spacing w:after="0" w:line="2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247,752</w:t>
      </w:r>
    </w:p>
    <w:p>
      <w:pPr>
        <w:spacing w:after="0" w:line="2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57,786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14605</wp:posOffset>
            </wp:positionV>
            <wp:extent cx="9683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1" w:lineRule="exact"/>
        <w:rPr>
          <w:sz w:val="20"/>
          <w:szCs w:val="20"/>
          <w:color w:val="auto"/>
        </w:rPr>
      </w:pPr>
    </w:p>
    <w:p>
      <w:pPr>
        <w:ind w:left="1660"/>
        <w:spacing w:after="0"/>
        <w:tabs>
          <w:tab w:leader="none" w:pos="2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810,593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17145</wp:posOffset>
            </wp:positionV>
            <wp:extent cx="9683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43180</wp:posOffset>
            </wp:positionV>
            <wp:extent cx="9683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140" w:type="dxa"/>
            <w:vAlign w:val="bottom"/>
          </w:tcPr>
          <w:p>
            <w:pPr>
              <w:spacing w:after="0"/>
              <w:rPr>
                <w:sz w:val="16"/>
                <w:szCs w:val="16"/>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February 26, 2022</w:t>
            </w:r>
          </w:p>
        </w:tc>
      </w:tr>
      <w:tr>
        <w:trPr>
          <w:trHeight w:val="23"/>
        </w:trPr>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42,541</w:t>
            </w:r>
          </w:p>
        </w:tc>
      </w:tr>
      <w:tr>
        <w:trPr>
          <w:trHeight w:val="230"/>
        </w:trPr>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18,144</w:t>
            </w:r>
          </w:p>
        </w:tc>
      </w:tr>
      <w:tr>
        <w:trPr>
          <w:trHeight w:val="234"/>
        </w:trPr>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19,809</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98,517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80,494</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848"/>
        </w:trPr>
        <w:tc>
          <w:tcPr>
            <w:tcW w:w="24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140" w:type="dxa"/>
            <w:vAlign w:val="bottom"/>
          </w:tcPr>
          <w:p>
            <w:pPr>
              <w:spacing w:after="0"/>
              <w:rPr>
                <w:sz w:val="24"/>
                <w:szCs w:val="24"/>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February 26, 2022</w:t>
            </w:r>
          </w:p>
        </w:tc>
      </w:tr>
    </w:tbl>
    <w:p>
      <w:pPr>
        <w:spacing w:after="0" w:line="7" w:lineRule="exact"/>
        <w:rPr>
          <w:sz w:val="20"/>
          <w:szCs w:val="20"/>
          <w:color w:val="auto"/>
        </w:rPr>
      </w:pPr>
    </w:p>
    <w:p>
      <w:pPr>
        <w:sectPr>
          <w:pgSz w:w="11900" w:h="16838" w:orient="portrait"/>
          <w:cols w:equalWidth="0" w:num="2">
            <w:col w:w="7360" w:space="720"/>
            <w:col w:w="31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2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and other taxes</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w:t>
            </w: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 reserves</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29,032</w:t>
            </w: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61,262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67,462</w:t>
            </w:r>
          </w:p>
        </w:tc>
      </w:tr>
      <w:tr>
        <w:trPr>
          <w:trHeight w:val="20"/>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140" w:type="dxa"/>
            <w:vAlign w:val="bottom"/>
          </w:tcPr>
          <w:p>
            <w:pPr>
              <w:spacing w:after="0"/>
              <w:rPr>
                <w:sz w:val="18"/>
                <w:szCs w:val="18"/>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February 26, 2022</w:t>
            </w:r>
          </w:p>
        </w:tc>
      </w:tr>
      <w:tr>
        <w:trPr>
          <w:trHeight w:val="230"/>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benefit from New Markets Tax Credit transactions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w:t>
            </w: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Retirement plan obligations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w:t>
            </w: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w:t>
            </w: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52,940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44,583</w:t>
            </w:r>
          </w:p>
        </w:tc>
      </w:tr>
      <w:tr>
        <w:trPr>
          <w:trHeight w:val="20"/>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Through our wholly-owned insurance subsidiary, Prism Assurance, Ltd. (Prism), we hold the following available-for-sale marketable securities, made up of municipal and corporate bonds: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3"/>
                <w:szCs w:val="13"/>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28, 2022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0" w:type="dxa"/>
            <w:vAlign w:val="bottom"/>
          </w:tcPr>
          <w:p>
            <w:pPr>
              <w:spacing w:after="0"/>
              <w:rPr>
                <w:sz w:val="1"/>
                <w:szCs w:val="1"/>
                <w:color w:val="auto"/>
              </w:rPr>
            </w:pPr>
          </w:p>
        </w:tc>
      </w:tr>
      <w:tr>
        <w:trPr>
          <w:trHeight w:val="23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26, 2022</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values of these bonds at May 28, 2022, by contractual maturity, are shown below. Expected maturities may differ from contractual maturities, as borrowers may have the right to call or prepay obligations with or without penalty.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8"/>
                <w:szCs w:val="18"/>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0"/>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w:t>
            </w: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10 years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11,303</w:t>
            </w:r>
          </w:p>
        </w:tc>
      </w:tr>
      <w:tr>
        <w:trPr>
          <w:trHeight w:val="20"/>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interest rate swaps, foreign exchange forward contracts, commodity swaps and forward purchase contracts to manage risks generally associated with foreign exchange rate,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2020, we entered into an interest rate swap to hedge exposure to variability in cash flows from interest payments on our floating-rate revolving credit facility and term loan. As of May 28, 2022, the interest rate swap contract had a notional value of $30.0 million.</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periodically enter into forward purchase contracts and/or fixed/floating swaps to manage the risk associated with fluctuations in aluminum prices and fluctuations in foreign exchange rates (primarily related to the Canadian dollar). These contracts generally have an original maturity date of less than one year. As of May 28, 2022, we held foreign exchange forward contracts and aluminum fixed/floating swaps with U.S. dollar notional values of $5.2 million and $13.2 million, respectively.</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derivative instruments are recorded within our consolidated balance sheets within other current assets and liabilities. Gains or losses associated with these instruments are recorded as a component of accumulated other comprehensive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May 28, 2022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currency forward/option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Aluminum hedging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26, 2022</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hedging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compensation</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forward/option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market funds and commercial paper</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of money market funds was determined based on quoted prices for identical assets in active markets. Commercial paper was measured at fair value using inputs based on quoted prices for similar securities in active markets. These assets are included within cash and cash equivalents on our consolidated balance sheets.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and corporate bonds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Municipal and corporate bonds were measured at fair value based on market prices from recent trades of similar securities and are classified within our consolidated balance sheets as other current or other non-current assets based on maturity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surrender value of life insurance and deferred compensation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Contracts insuring the lives of certain employees who are eligible to participate in certain non-qualified pension and deferred compensation plans are held in trust. Cash surrender value of the contracts is based on performance measurement funds that shadow the deferral investment allocations made by participants in certain deferred compensation plans. Changes in cash surrender value are recorded in other expense. The deferred compensation liability balances are valued based on amounts allocated by participants to the underlying performance measurement funds.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interest rate swap is measured at fair value using other observable market inputs, based off of benchmark interest rates. Forward foreign exchange and fixed/floating aluminum contracts are measured at fair value using other observable market inputs, such as quotations on forward foreign exchange points, foreign currency exchange rates, and forward purchase aluminum prices. Derivative positions are primarily valued using standard calculations and models that use as their basis readily observable market parameters. Industry standard data providers are our primary source for forward and spot rate information for both interest and currency rates and aluminum prices.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measure certain financial instruments at fair value on a nonrecurring basis including goodwill, intangible assets, property and equipment and right-of-use lease assets. These assets were initially measured and recognized at amounts equal to the fair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value determined as of the date of acquisition or purchase subject to changes in value only for foreign currency translation. Periodically, these assets are tested for impairment, by comparing their respective carrying values to the estimated fair value of the reporting unit or asset group in which they reside. In the event any of these assets were to become impaired, we would recognize an impairment expense equal to the amount by which the carrying value of the reporting unit, impaired asset or asset group exceeds its estimated fair value. Fair value measurements of reporting units are estimated using an income approach involving discounted cash flow models that contain certain Level 3 inputs requiring significant management judgment, including projections of economic conditions, customer demand and changes in competition, revenue growth rates, gross profit margins, operating margins, capital expenditures, working capital requirements, terminal growth rates and discount rates. Fair value measurements of the reporting units associated with our goodwill balances and our indefinite-lived intangible assets are estimated at least annually in the fourth quarter of each fiscal year for purposes of impairment testing if a quantitative analysis is performed.</w:t>
      </w:r>
    </w:p>
    <w:p>
      <w:pPr>
        <w:spacing w:after="0" w:line="21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Goodwill represents the excess of the cost over the value of net tangible and identified intangible assets of acquired businesses. We evaluate goodwill for impairment annually as of the first day of our fiscal fourth quarter, or more frequently if events or changes in circumstances indicate that the carrying value of goodwill may not be recoverable.</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At the beginning of the first quarter of fiscal 2023, we began management of the Sotawall and Harmon businesses under the Architectural Services segment in order to create a single, unified offering for larger custom curtainwall projects. In connection with the transition, leadership of our Sotawall and Harmon businesses have been combined to form the Architectural Services reporting unit. We evaluated goodwill on a qualitative basis prior to and subsequent to this change for these reporting units and concluded no adjustment to the carrying value of goodwill was necessary as a result of this change. Concurrent with this change in composition of the operating segments effective at the start of our first quarter of fiscal 2023, goodwill was reallocated to the affected reporting units within each operating segment, using a relative fair value approach as outlined in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In addition, for all reporting units, no qualitative indicators of impairment were identified during the first quarter, and therefore, no interim quantitative goodwill impairment evaluation was performed.</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carrying amount of goodwill attributable to each reporting segment including the amount of goodwill that has been reallocated from the Architectural Framing Systems segment to the Architectural Services segment using the relative fair value approach as of the start of fiscal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Framing</w:t>
            </w: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Architectural Services</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24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Large-Scale</w:t>
            </w:r>
          </w:p>
        </w:tc>
        <w:tc>
          <w:tcPr>
            <w:tcW w:w="340" w:type="dxa"/>
            <w:vAlign w:val="bottom"/>
          </w:tcPr>
          <w:p>
            <w:pPr>
              <w:spacing w:after="0"/>
              <w:rPr>
                <w:sz w:val="13"/>
                <w:szCs w:val="13"/>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8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5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Optical</w:t>
            </w: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27, 2021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93,099</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130,098</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26, 2022</w:t>
            </w: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93,181</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130,102</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Reallocation among reporting units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May 28, 2022</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91,095</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130,251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 w:right="220" w:firstLine="6"/>
        <w:spacing w:after="0" w:line="224" w:lineRule="auto"/>
        <w:tabs>
          <w:tab w:leader="none" w:pos="165"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reallocation of goodwill as a result of transitioning Sotawall from the Architectural Framing Systems segment to the Architectural Services segment as of the start of the first quarter of fiscal 2023.</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Based on the impairment analysis performed in the fourth quarter of fiscal 2022, the fair value of each of our trade names and trademarks exceeded the carrying amount. However, due to triggering events identified in the fourth quarter of fiscal 2022, resulting from the finalization of our plans for integrating the Sotawall business into the Architectural Services segment, beginning in fiscal 2023, we determined that the carrying value of the Sotawall trade name exceeded fair value by $12.7 million. We determined that Sotawall had an immaterial fair value, resulting in the trade name being fully impaired as of fiscal 2022 year-end. We recognized this amount as impairment expense in the fourth quarter ended February 26,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Long-lived assets or asset groups, including intangible assets subject to amortization and property and equipment, are reviewed for impairment whenever events or changes in circumstances indicate that the carrying value of those assets may not be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recoverable. We use undiscounted cash flows to determine whether impairment exists and measure any impairment loss using discounted cash flows to determine the fair value of long-lived assets. Due to triggering events identified during the fourth quarter of fiscal 2022, as a result of finalization of our plans for integrating the Sotawall business into the Architectural Services segment, beginning in fiscal 2023, we determined that the finite-lived intangible assets were impaired as of February 26, 2022. As such, we recognized a long-lived asset impairment charge of $36.7 million in finite-lived intangible assets in the fourth quarter of fiscal year 2022, within the Architectural Framing Systems segment.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of other intangible assets and related accumulated amortization was: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 Expense</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40" w:type="dxa"/>
            <w:vAlign w:val="bottom"/>
          </w:tcPr>
          <w:p>
            <w:pPr>
              <w:spacing w:after="0"/>
              <w:rPr>
                <w:sz w:val="12"/>
                <w:szCs w:val="12"/>
                <w:color w:val="auto"/>
              </w:rPr>
            </w:pPr>
          </w:p>
        </w:tc>
        <w:tc>
          <w:tcPr>
            <w:tcW w:w="102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May 28, 2022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41,345</w:t>
            </w:r>
          </w:p>
        </w:tc>
        <w:tc>
          <w:tcPr>
            <w:tcW w:w="0" w:type="dxa"/>
            <w:vAlign w:val="bottom"/>
          </w:tcPr>
          <w:p>
            <w:pPr>
              <w:spacing w:after="0"/>
              <w:rPr>
                <w:sz w:val="1"/>
                <w:szCs w:val="1"/>
                <w:color w:val="auto"/>
              </w:rPr>
            </w:pPr>
          </w:p>
        </w:tc>
      </w:tr>
      <w:tr>
        <w:trPr>
          <w:trHeight w:val="229"/>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44,296</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27,123</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155,282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(84,162)</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71,419</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February 26, 2022</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42,268</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45,352</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204,631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on definite-lived intangible assets was $1.1 million and $2.0 million for the three-month periods ended May 28, 2022 and May 29, 2021, respectively. Amortization expense of other identifiable intangible assets is included in selling, general and administrative expenses. At May 28, 2022, the estimated future amortization expense for definite-lived intangible assets was: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Remainder of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2027</w:t>
            </w:r>
          </w:p>
        </w:tc>
      </w:tr>
      <w:tr>
        <w:trPr>
          <w:trHeight w:val="230"/>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r>
    </w:tbl>
    <w:p>
      <w:pPr>
        <w:spacing w:after="0" w:line="30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May 28, 2022, we had a committed revolving credit facility with maximum borrowings of up to $235 million with a maturity of June 2024. As of May 28, 2022, outstanding borrowings under our revolving credit facility were $99.0 million, while there were no outstanding borrowings under the revolving credit facility as of February 26, 2022. At May 28, 2022 and February 26, 2022, we also had a $150 million term loan with a maturity date of June 2024.</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revolving credit facility and term loan contain two financial covenants that require us to stay below a maximum debt-to-EBITDA ratio and maintain a minimum ratio of EBITDA-to-interest expense. Both ratios are computed quarterly, with EBITDA calculated on a rolling four-quarter basis. At May 28, 2022, we were in compliance with both financial covenants. Additionally, at May 28, 2022, we had a total of $16.4 million of ongoing letters of credit related to industrial revenue bonds, construction contracts and insurance collateral that expire in fiscal years 2023 to 2032 and reduce borrowing capacity under the revolving credit facility.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May 28, 2022, debt included $12.0 million of industrial revenue bonds that mature in fiscal years 2036 through 2043. In March 2022, a $1.0 million industrial revenue bond matured and was repaid. The fair value of all industrial revenue bonds approximated carrying value at May 28, 2022, due to the variable interest rates on these instruments. Our credit facility, term loan and industrial revenue bonds would be classified as Level 2 within the fair value hierarchy described in Note 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maintain two Canadian committed, revolving credit facilities totaling $25.0 million (USD). As of May 28, 2022 and February 26, 2022, there were no borrowings outstanding under the facilities.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payments were $1.1 million for each of the three-months ended May 28, 2022 and May 29, 2021,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certain of the buildings and equipment used in our operations. We determine if an arrangement contains a lease at inception. Currently, all of our lease arrangements are classified as operating leases. We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Lease expense is recognized on a straight-line basis over the lease term. Our leases have remaining lease terms of one to ten years, some of which include renewal options that can extend the lease for up to an additional ten years at our sole discretion. We have made an accounting policy election not to record leases with an original term of 12 months or less on our consolidated balance sheet; such leases are expensed on a straight-line basis over the lease term.</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 lease components (e.g., common-area maintenance costs) as a single lease component. Our lease agreements do not contain any material residual value guarantees or material restrictive covenants. We are not a lessor in any transactions.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16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0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80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5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15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May 29,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supplemental information related to leases was as follows:</w:t>
      </w: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weighted-average data)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w:t>
            </w:r>
          </w:p>
        </w:tc>
      </w:tr>
      <w:tr>
        <w:trPr>
          <w:trHeight w:val="230"/>
        </w:trPr>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4"/>
        </w:trPr>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3"/>
        </w:trPr>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w:t>
            </w:r>
          </w:p>
        </w:tc>
      </w:tr>
      <w:tr>
        <w:trPr>
          <w:trHeight w:val="20"/>
        </w:trPr>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834"/>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4"/>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180" w:type="dxa"/>
            <w:vAlign w:val="bottom"/>
          </w:tcPr>
          <w:p>
            <w:pPr>
              <w:spacing w:after="0"/>
              <w:rPr>
                <w:sz w:val="15"/>
                <w:szCs w:val="15"/>
                <w:color w:val="auto"/>
              </w:rPr>
            </w:pPr>
          </w:p>
        </w:tc>
        <w:tc>
          <w:tcPr>
            <w:tcW w:w="13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May 29, 2021</w:t>
            </w:r>
          </w:p>
        </w:tc>
      </w:tr>
    </w:tbl>
    <w:p>
      <w:pPr>
        <w:spacing w:after="0" w:line="1" w:lineRule="exact"/>
        <w:rPr>
          <w:sz w:val="20"/>
          <w:szCs w:val="20"/>
          <w:color w:val="auto"/>
        </w:rPr>
      </w:pPr>
    </w:p>
    <w:p>
      <w:pPr>
        <w:sectPr>
          <w:pgSz w:w="11900" w:h="16838" w:orient="portrait"/>
          <w:cols w:equalWidth="0" w:num="2">
            <w:col w:w="7060" w:space="720"/>
            <w:col w:w="34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7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3,537</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3,602</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465</w:t>
            </w: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5.2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years</w:t>
            </w:r>
          </w:p>
        </w:tc>
      </w:tr>
      <w:tr>
        <w:trPr>
          <w:trHeight w:val="23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549"/>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maturities of lease liabilities are as follows:</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4"/>
        </w:trPr>
        <w:tc>
          <w:tcPr>
            <w:tcW w:w="7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May 28, 2022</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2023</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w:t>
            </w: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11,280</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2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51,944</w:t>
            </w: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22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49,156</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 commitments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predominantly in our Architectural Services and Architectural Framing Systems segments, we are required to provide surety or performance bonds that commit payments to our customers for any non-performance. At May 28, 2022, $1.2 billion of these types of bonds were outstanding, of which $409.3 million is in our backlog. These bonds do not have stated expiration dates. We have never been required to make payments under surety or performance bonds with respect to our existing businesses.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project-related contingencies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4"/>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0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240" w:type="dxa"/>
            <w:vAlign w:val="bottom"/>
          </w:tcPr>
          <w:p>
            <w:pPr>
              <w:spacing w:after="0"/>
              <w:rPr>
                <w:sz w:val="16"/>
                <w:szCs w:val="16"/>
                <w:color w:val="auto"/>
              </w:rPr>
            </w:pPr>
          </w:p>
        </w:tc>
        <w:tc>
          <w:tcPr>
            <w:tcW w:w="13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May 29, 2021</w:t>
            </w: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w:t>
            </w:r>
          </w:p>
        </w:tc>
      </w:tr>
      <w:tr>
        <w:trPr>
          <w:trHeight w:val="22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accruals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r>
      <w:tr>
        <w:trPr>
          <w:trHeight w:val="22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paid</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r>
      <w:tr>
        <w:trPr>
          <w:trHeight w:val="223"/>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14,547</w:t>
            </w:r>
          </w:p>
        </w:tc>
      </w:tr>
      <w:tr>
        <w:trPr>
          <w:trHeight w:val="20"/>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May 28, 2022, we had $16.4 million of ongoing letters of credit, all of which have been issued under our committed revolving credit facility, as discussed in Note 6. We also have a $6.9 million letter of credit which has been issued outside our committed revolving credit facility, with no impact on our borrowing capacity and debt covenants.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for raw material commitments and capital expenditures totaled $196.5 million as of May 28,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Markets Tax Credit (NMTC) transactions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three outstanding NMTC arrangements which help to support operational expansion. Proceeds received from investors on these transactions are included within other non-current liabilities in our consolidated balance sheets. The NMTC arrangements are subject to 100 percent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non-current assets in our consolidated balance sheets. These costs will be recognized in conjunction with the recognition of the related proceeds on each arrangement. During the construction phase or for working capital purposes for each project, we are required to hold cash dedicated to fund each capital project which is classified as restricted cash in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2023, one NMTC transaction was terminated, and a new NMTC transaction was established as a replacement. As a result of these transactions, $19.5 million in previous proceeds received were repaid and $19.5 million was contributed back to the Company as part of the newly established NMTC transaction. This NMTC transaction will be held for the remainder of the original seven-year term.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our outstanding NMTC transactions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Inception date</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Termination date</w:t>
            </w:r>
          </w:p>
        </w:tc>
        <w:tc>
          <w:tcPr>
            <w:tcW w:w="20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Deferred Benefit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Deferred costs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Net benefit</w:t>
            </w:r>
          </w:p>
        </w:tc>
      </w:tr>
      <w:tr>
        <w:trPr>
          <w:trHeight w:val="226"/>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2016</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2018</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2022</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1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 included in the results of operations was $1.6 million for the three-month period ended May 28, 2022 and $1.7 million for the three-month period ended May 29, 2021.</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SARs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and SAR activity for the current three-month period is summarized as follows: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Stock Options and SARs</w:t>
            </w:r>
          </w:p>
        </w:tc>
        <w:tc>
          <w:tcPr>
            <w:tcW w:w="29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4"/>
        </w:trPr>
        <w:tc>
          <w:tcPr>
            <w:tcW w:w="3300" w:type="dxa"/>
            <w:vAlign w:val="bottom"/>
            <w:vMerge w:val="continue"/>
          </w:tcPr>
          <w:p>
            <w:pPr>
              <w:spacing w:after="0"/>
              <w:rPr>
                <w:sz w:val="16"/>
                <w:szCs w:val="16"/>
                <w:color w:val="auto"/>
              </w:rPr>
            </w:pPr>
          </w:p>
        </w:tc>
        <w:tc>
          <w:tcPr>
            <w:tcW w:w="2980" w:type="dxa"/>
            <w:vAlign w:val="bottom"/>
            <w:vMerge w:val="continue"/>
          </w:tcPr>
          <w:p>
            <w:pPr>
              <w:spacing w:after="0"/>
              <w:rPr>
                <w:sz w:val="16"/>
                <w:szCs w:val="16"/>
                <w:color w:val="auto"/>
              </w:rPr>
            </w:pPr>
          </w:p>
        </w:tc>
        <w:tc>
          <w:tcPr>
            <w:tcW w:w="13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8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162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6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Life</w:t>
            </w:r>
          </w:p>
        </w:tc>
        <w:tc>
          <w:tcPr>
            <w:tcW w:w="13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2">
            <w:col w:w="7680" w:space="380"/>
            <w:col w:w="31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370,800</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2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370,800</w:t>
            </w:r>
          </w:p>
        </w:tc>
        <w:tc>
          <w:tcPr>
            <w:tcW w:w="7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Pr>
          <w:p>
            <w:pPr>
              <w:spacing w:after="0"/>
              <w:rPr>
                <w:sz w:val="19"/>
                <w:szCs w:val="19"/>
                <w:color w:val="auto"/>
              </w:rPr>
            </w:pPr>
          </w:p>
        </w:tc>
        <w:tc>
          <w:tcPr>
            <w:tcW w:w="16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8.1 years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4,694,328</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24"/>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expected to vest at end of period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370,800</w:t>
            </w:r>
          </w:p>
        </w:tc>
        <w:tc>
          <w:tcPr>
            <w:tcW w:w="7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8.1 years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4,694,328</w:t>
            </w:r>
          </w:p>
        </w:tc>
      </w:tr>
    </w:tbl>
    <w:p>
      <w:pPr>
        <w:spacing w:after="0" w:line="3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 awards were issued or exercised during the three-months ended May 28, 2022. For the three-months ended May 29, 2021, cash proceeds from the exercise of stock options was $4.1 million and the aggregate intrinsic value of securities exercised (the amount by which the stock price on the date of exercise exceeded the stock price of the award on the date of grant) was $2.7 million.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Program</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2022, the Compensation Committee of the Board of Directors implemented an executive compensation program for certain key employees. In the each of the first quarters of fiscal 2023 and fiscal 2022, we issued performance shares in the form of nonvested share unit awards, which give the recipient the right to receive shares earned at the vesting date. The number of share units issued at grant is equal to the target number of performance shares and allows for the right to receive an additional number of shares dependent on achieving a defined performance goal of return on invested capital and being employed at the end of the performance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share awards and units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share activity, including performance share units, for the current three-month period is summarized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shares and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 and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7"/>
        </w:trPr>
        <w:tc>
          <w:tcPr>
            <w:tcW w:w="8080" w:type="dxa"/>
            <w:vAlign w:val="bottom"/>
            <w:gridSpan w:val="2"/>
            <w:vMerge w:val="continue"/>
          </w:tcPr>
          <w:p>
            <w:pPr>
              <w:spacing w:after="0"/>
              <w:rPr>
                <w:sz w:val="17"/>
                <w:szCs w:val="17"/>
                <w:color w:val="auto"/>
              </w:rPr>
            </w:pPr>
          </w:p>
        </w:tc>
        <w:tc>
          <w:tcPr>
            <w:tcW w:w="15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6"/>
        </w:trPr>
        <w:tc>
          <w:tcPr>
            <w:tcW w:w="798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Nonvested at February 26, 2022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Nonvested at May 28, 2022</w:t>
            </w:r>
            <w:r>
              <w:rPr>
                <w:rFonts w:ascii="Times New Roman" w:cs="Times New Roman" w:eastAsia="Times New Roman" w:hAnsi="Times New Roman"/>
                <w:sz w:val="23"/>
                <w:szCs w:val="23"/>
                <w:color w:val="auto"/>
                <w:vertAlign w:val="superscript"/>
              </w:rPr>
              <w:t>(1) (2)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555,638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860" w:hanging="204"/>
        <w:spacing w:after="0"/>
        <w:tabs>
          <w:tab w:leader="none" w:pos="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total of 50,825 nonvested share units granted and outstanding at target level for the fiscal 2022-2024 performance period.</w:t>
      </w:r>
    </w:p>
    <w:p>
      <w:pPr>
        <w:spacing w:after="0" w:line="27" w:lineRule="exact"/>
        <w:rPr>
          <w:rFonts w:ascii="Times New Roman" w:cs="Times New Roman" w:eastAsia="Times New Roman" w:hAnsi="Times New Roman"/>
          <w:sz w:val="14"/>
          <w:szCs w:val="14"/>
          <w:color w:val="auto"/>
        </w:rPr>
      </w:pPr>
    </w:p>
    <w:p>
      <w:pPr>
        <w:ind w:left="860" w:hanging="204"/>
        <w:spacing w:after="0"/>
        <w:tabs>
          <w:tab w:leader="none" w:pos="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total of 38,564 nonvested share units granted and outstanding at target level for the fiscal 2023-2025 performance period.</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May 28, 2022, there was $14.8 million of total unrecognized compensation cost related to nonvested share and nonvested share unit awards, which is expected to be recognized over a weighted average period of approximately 29 months. The total fair value of shares vested during the three months ended May 28, 2022 was $2.0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2019, or state and local income tax examinations for years prior to fiscal 2013. The Company is not currently under U.S. federal examination for years subsequent to fiscal year 2018, and there is very limited audit activity of the Company’s income tax returns in U.S. state jurisdictions or international jurisdictions.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liability for unrecognized tax benefits was $3.4 million at May 28, 2022, compared to $3.3 million at February 26, 2022. Penalties and interest related to unrecognized tax benefits are recorded in income tax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share amounts used in the computation of basic and diluted earnings per share: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3"/>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080" w:type="dxa"/>
            <w:vAlign w:val="bottom"/>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15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May 29, 2021</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 weighted average common shares outstanding</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25,402</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effect of nonvested share grants and assumed exercise of stock options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 – weighted average common shares and potential common shares outstanding</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Stock awards excluded from the calculation of earnings per share because the effect was anti-dilutive (award</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80" w:type="dxa"/>
            <w:vAlign w:val="bottom"/>
            <w:gridSpan w:val="2"/>
            <w:vMerge w:val="continue"/>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8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price greater than average market price of the shares)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Business Segment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four reporting segments:</w:t>
      </w:r>
    </w:p>
    <w:p>
      <w:pPr>
        <w:spacing w:after="0" w:line="27" w:lineRule="exact"/>
        <w:rPr>
          <w:sz w:val="20"/>
          <w:szCs w:val="20"/>
          <w:color w:val="auto"/>
        </w:rPr>
      </w:pPr>
    </w:p>
    <w:p>
      <w:pPr>
        <w:ind w:left="660" w:right="20" w:hanging="328"/>
        <w:spacing w:after="0" w:line="24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Framing Systems</w:t>
      </w:r>
      <w:r>
        <w:rPr>
          <w:rFonts w:ascii="Times New Roman" w:cs="Times New Roman" w:eastAsia="Times New Roman" w:hAnsi="Times New Roman"/>
          <w:sz w:val="18"/>
          <w:szCs w:val="18"/>
          <w:color w:val="auto"/>
        </w:rPr>
        <w:t xml:space="preserve"> segment designs, engineers, fabricates and finishes aluminum window, curtainwall, storefront and entrance systems for the exterior of buildings.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w:t>
      </w:r>
      <w:r>
        <w:rPr>
          <w:rFonts w:ascii="Times New Roman" w:cs="Times New Roman" w:eastAsia="Times New Roman" w:hAnsi="Times New Roman"/>
          <w:sz w:val="18"/>
          <w:szCs w:val="18"/>
          <w:color w:val="auto"/>
        </w:rPr>
        <w:t xml:space="preserve"> segment integrates technical services, project management, and field installation services to design, engineer, fabricate, and install building glass and curtainwall systems.</w:t>
      </w: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w:t>
      </w:r>
      <w:r>
        <w:rPr>
          <w:rFonts w:ascii="Times New Roman" w:cs="Times New Roman" w:eastAsia="Times New Roman" w:hAnsi="Times New Roman"/>
          <w:sz w:val="18"/>
          <w:szCs w:val="18"/>
          <w:color w:val="auto"/>
        </w:rPr>
        <w:t xml:space="preserve"> segment coats and fabricates, high-performance glass used in custom window and wall systems on commercial buildings.</w:t>
      </w: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Large-Scale Optical (LSO)</w:t>
      </w:r>
      <w:r>
        <w:rPr>
          <w:rFonts w:ascii="Times New Roman" w:cs="Times New Roman" w:eastAsia="Times New Roman" w:hAnsi="Times New Roman"/>
          <w:sz w:val="18"/>
          <w:szCs w:val="18"/>
          <w:color w:val="auto"/>
        </w:rPr>
        <w:t xml:space="preserve"> segment manufactures high-performance glass and acrylic products for custom framing, museum, and technical glass markets.</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the beginning of the first quarter of fiscal 2023, we began management of the Sotawall and Harmon businesses under the Architectural Services segment in order to create a single, unified offering for larger custom curtainwall projects. The fiscal 2022 segment results were recast for comparability.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08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220" w:type="dxa"/>
            <w:vAlign w:val="bottom"/>
          </w:tcPr>
          <w:p>
            <w:pPr>
              <w:spacing w:after="0"/>
              <w:rPr>
                <w:sz w:val="16"/>
                <w:szCs w:val="16"/>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May 29, 2021</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163,292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136,768</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90,732</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83,031</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24,228</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326,006</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0" w:type="dxa"/>
            <w:vAlign w:val="bottom"/>
          </w:tcPr>
          <w:p>
            <w:pPr>
              <w:spacing w:after="0"/>
              <w:rPr>
                <w:sz w:val="1"/>
                <w:szCs w:val="1"/>
                <w:color w:val="auto"/>
              </w:rPr>
            </w:pPr>
          </w:p>
        </w:tc>
      </w:tr>
      <w:tr>
        <w:trPr>
          <w:trHeight w:val="223"/>
        </w:trPr>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August 11, 2021, we announced plans to realign and simplify our business structure. During the three-month period ended May 28, 2022, we completed the execution of these plans with the sale of the remaining manufacturing assets at our Architectural Glass location, in Dallas, Texas, for $4.1 million. The remaining assets had a carrying value of $3.4 million, and we recognized a gain on the sale of approximately $0.6 million, net of associated transaction costs, which is included as a reduction of cost of sales within our consolidated statements of operations.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restructuring related accrual balances included within accrued payroll and related costs and other current liabilities in the consolidated balance sheets. All balances are expected to be paid within the current fiscal year.</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Architectural Framing</w:t>
            </w: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 &amp; Other</w:t>
            </w:r>
          </w:p>
        </w:tc>
        <w:tc>
          <w:tcPr>
            <w:tcW w:w="38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27, 2021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r>
      <w:tr>
        <w:trPr>
          <w:trHeight w:val="23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2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23"/>
        </w:trPr>
        <w:tc>
          <w:tcPr>
            <w:tcW w:w="4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26, 2022</w:t>
            </w:r>
          </w:p>
        </w:tc>
        <w:tc>
          <w:tcPr>
            <w:tcW w:w="5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2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May 28, 2022</w:t>
            </w: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evaluated subsequent events for potential recognition and disclosure through the date of this filing. Subsequent to the end of the quarter, the Board of Directors increased the share repurchase authorization by an additional 1,000,000 shares.</w:t>
      </w:r>
    </w:p>
    <w:p>
      <w:pPr>
        <w:spacing w:after="0" w:line="21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This Quarterly Report on Form 10-Q, including the section, Management’s Discussion and Analysis of Financial Condition and Results of Operations,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Reform Act of 1995.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Information about factors that could materially affect our results can be found in the “Risk Factors” section of our Annual Report on Form 10-K for the year ended February 26, 2022 and in subsequent filings with the U.S. Securities and Exchange Commission, including this Quarterly Report on Form 10-Q.</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a leader in the design and development of value-added glass and metal products and services. Our four reporting segments are: Architectural Framing Systems, Architectural Glass, Architectural Services and Large-Scale Optical (LSO).</w:t>
      </w:r>
    </w:p>
    <w:p>
      <w:pPr>
        <w:spacing w:after="0" w:line="2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fiscal 2022, we conducted a strategic review of our business and the markets we serve in order to establish a new enterprise strategy with three key elements, as discussed below:</w:t>
      </w: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Become the economic leader in our target markets. </w:t>
      </w:r>
      <w:r>
        <w:rPr>
          <w:rFonts w:ascii="Times New Roman" w:cs="Times New Roman" w:eastAsia="Times New Roman" w:hAnsi="Times New Roman"/>
          <w:sz w:val="18"/>
          <w:szCs w:val="18"/>
          <w:color w:val="auto"/>
        </w:rPr>
        <w:t>We will achieve this by developing a deep understanding of our target markets and aligning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businesses with clear go-to-market strategies to drive value for our customers through differentiated product and service offerings. We will also build a relentless focus on operational execution, driving productivity improvements, and maintaining a competitive cost structure, so that we may bring more value to our customers and improve our own profitability.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Actively manage our portfolio to drive higher margins and returns. </w:t>
      </w:r>
      <w:r>
        <w:rPr>
          <w:rFonts w:ascii="Times New Roman" w:cs="Times New Roman" w:eastAsia="Times New Roman" w:hAnsi="Times New Roman"/>
          <w:sz w:val="18"/>
          <w:szCs w:val="18"/>
          <w:color w:val="auto"/>
        </w:rPr>
        <w:t>We intend to shift our business mix toward higher operating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offerings and improve our return on invested capital performance. We will accomplish this by allocating resources to grow our top performing businesses, actively addressing underperforming businesses, and investing to add new differentiated product and service offerings to accelerate our growth.</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our core capabilities. </w:t>
      </w:r>
      <w:r>
        <w:rPr>
          <w:rFonts w:ascii="Times New Roman" w:cs="Times New Roman" w:eastAsia="Times New Roman" w:hAnsi="Times New Roman"/>
          <w:sz w:val="18"/>
          <w:szCs w:val="18"/>
          <w:color w:val="auto"/>
        </w:rPr>
        <w:t>We are shifting from our historical, decentralized operating model, to one with center-led functional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enables us to leverage the scale of the enterprise to better support the needs of the business. We are establishing a Company-wide operating system with common tools and processes that are based on the foundation of Lean and Continuous Improvement. This will be supported by a robust talent management program and a commitment to strong governance to ensure compliance and drive sustainable performance.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beginning of the first quarter of fiscal 2023, we began management of the Sotawall and Harmon businesses under the Architectural Services segment in order to create a single, unified offering for larger custom curtainwall projects. The comparative fiscal 2022 segment results for the Architectural Framing Systems and Architectural Services segments have been recast to reflect the move of the Sotawall business into the Architectural Services segment from the Architectural Framing Systems segment, effective at the start of the first quarter of fiscal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Company’s Form 10-K for the year ended February 26, 2022 and the consolidated financial statements, including the notes to consolidated financial statements, included therein.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First Quarter of Fiscal 2023 Compared to First Quarter of Fiscal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Consolidated net sales increased 9.4 percent, or $30.6 million, for the three-month period ended May 28, 2022, compared to the same period in the prior year, primarily driven by growth in the Architectural Framing Systems and Architectural Services segments.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relationship between various components of operations, as a percentage of net sales,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400" w:type="dxa"/>
            <w:vAlign w:val="bottom"/>
            <w:gridSpan w:val="3"/>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4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7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16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May 29,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79.2</w:t>
            </w:r>
          </w:p>
        </w:tc>
      </w:tr>
      <w:tr>
        <w:trPr>
          <w:trHeight w:val="223"/>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Gross profit as a percent of sales (gross margin) was 24.0 percent for the three-month period ended May 28, 2022, compared to 20.8 percent for the three-month period ended May 29, 2021. Gross margin increased in the current year three-month period compared to the prior year period, primarily driven by inflation-related pricing actions in the Architectural Framing Systems segment, partially offset by negative performance impacts of certain projects within the Architectural Services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SG&amp;A expenses as a percent of sales were 14.7 percent for the three-month period ended May 28, 2022, compared to 15.8 percent for the prior year three-month period. SG&amp;A decreased as a percent of sales compared to the same period in the prior year primarily due to the benefits realized from previously completed restructuring actions.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income tax rate in the first quarter of fiscal 2023 was 26.0 percent, compared to 25.3 percent in the same period last year.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Framing Systems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tcPr>
          <w:p>
            <w:pPr>
              <w:spacing w:after="0"/>
              <w:rPr>
                <w:sz w:val="16"/>
                <w:szCs w:val="16"/>
                <w:color w:val="auto"/>
              </w:rPr>
            </w:pPr>
          </w:p>
        </w:tc>
      </w:tr>
      <w:tr>
        <w:trPr>
          <w:trHeight w:val="23"/>
        </w:trPr>
        <w:tc>
          <w:tcPr>
            <w:tcW w:w="61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14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May 29, 2021</w:t>
            </w:r>
          </w:p>
        </w:tc>
        <w:tc>
          <w:tcPr>
            <w:tcW w:w="16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163,292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136,768</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2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23,665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8,371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182.7 %</w:t>
            </w:r>
          </w:p>
        </w:tc>
      </w:tr>
      <w:tr>
        <w:trPr>
          <w:trHeight w:val="23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bl>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Architectural Framing Systems net sales increased $26.5 million, or 19.4 percent, for the three-month period ended May 28, 2022, compared to the prior year period, primarily driven by inflation-related pricing actions.</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Operating margin increased 840 basis points for the three-month period of the current year, compared to the same period in the prior year, reflecting improved pricing and the benefits from previously completed restructuring and cost actions, which further strengthened our competitive position and offset the impact of cost inflation. Architectural Framing Systems’ operating income also benefited from the timing of inventory flows and the volatility of aluminum prices, as it sold products this quarter using aluminum that was purchased in previous periods at lower costs.</w:t>
      </w:r>
    </w:p>
    <w:p>
      <w:pPr>
        <w:spacing w:after="0" w:line="2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of May 28, 2022, segment backlog was approximately $310 million, compared to approximately $281 million at the end of the prior quarter. Backlog represents the dollar amount of signed contracts or firm orders, generally as a result of a competitive bidding process, which may be expected to be recognized as revenue in the future. Backlog is not a term defined under U.S. GAAP and is not a measure of contract profitability. We view backlog as one indicator of future revenues, particularly in our longer-lead time businesses. In addition to backlog, we have a substantial amount of projects with short lead times that book-and-bill within the same reporting period and are not included in backlog. We have strong visibility beyond backlog, as projects awarded, verbal commitments and bidding activities are not included in backlog.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Services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tcPr>
          <w:p>
            <w:pPr>
              <w:spacing w:after="0"/>
              <w:rPr>
                <w:sz w:val="16"/>
                <w:szCs w:val="16"/>
                <w:color w:val="auto"/>
              </w:rPr>
            </w:pPr>
          </w:p>
        </w:tc>
      </w:tr>
      <w:tr>
        <w:trPr>
          <w:trHeight w:val="23"/>
        </w:trPr>
        <w:tc>
          <w:tcPr>
            <w:tcW w:w="61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29, 2021</w:t>
            </w:r>
          </w:p>
        </w:tc>
        <w:tc>
          <w:tcPr>
            <w:tcW w:w="16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103,388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90,732</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3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Architectural Services net sales increased $12.7 million, or 13.9 percent, for the three-month period ended May 28, 2022, compared to the same period in the prior year, driven by increased volume from executing projects in backlog.</w:t>
      </w:r>
    </w:p>
    <w:p>
      <w:pPr>
        <w:spacing w:after="0" w:line="18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Operating margin decreased 190 basis points in the three-month period of the current year, compared to the same period in the prior year, primarily reflecting performance write downs on a discrete number of projects, increased costs for investments to support future growth, and a less favorable project mix, partially offset by the higher volume.</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28, 2022, segment backlog was approximately $681 million, compared to approximately $665 million at the end of the prior quarter. Segment backlog at the end of the first quarter of fiscal 2022 was approximately $722 million. Backlog, a non-GAAP financial measure, is described within the Architectural Framing Systems discussion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Glass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tcPr>
          <w:p>
            <w:pPr>
              <w:spacing w:after="0"/>
              <w:rPr>
                <w:sz w:val="16"/>
                <w:szCs w:val="16"/>
                <w:color w:val="auto"/>
              </w:rPr>
            </w:pPr>
          </w:p>
        </w:tc>
      </w:tr>
      <w:tr>
        <w:trPr>
          <w:trHeight w:val="23"/>
        </w:trPr>
        <w:tc>
          <w:tcPr>
            <w:tcW w:w="61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29, 2021</w:t>
            </w:r>
          </w:p>
        </w:tc>
        <w:tc>
          <w:tcPr>
            <w:tcW w:w="16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76,265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83,031</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142.9 %</w:t>
            </w:r>
          </w:p>
        </w:tc>
      </w:tr>
      <w:tr>
        <w:trPr>
          <w:trHeight w:val="229"/>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bl>
    <w:p>
      <w:pPr>
        <w:spacing w:after="0" w:line="3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decreased $6.8 million, or 8.1 percent, for the three-month period ended May 28, 2022, compared to the same period in the prior year, primarily reflecting lower volume.</w:t>
      </w:r>
    </w:p>
    <w:p>
      <w:pPr>
        <w:spacing w:after="0" w:line="202" w:lineRule="exact"/>
        <w:rPr>
          <w:sz w:val="20"/>
          <w:szCs w:val="20"/>
          <w:color w:val="auto"/>
        </w:rPr>
      </w:pPr>
    </w:p>
    <w:p>
      <w:pPr>
        <w:ind w:right="400"/>
        <w:spacing w:after="0"/>
        <w:rPr>
          <w:sz w:val="20"/>
          <w:szCs w:val="20"/>
          <w:color w:val="auto"/>
        </w:rPr>
      </w:pPr>
      <w:r>
        <w:rPr>
          <w:rFonts w:ascii="Times New Roman" w:cs="Times New Roman" w:eastAsia="Times New Roman" w:hAnsi="Times New Roman"/>
          <w:sz w:val="18"/>
          <w:szCs w:val="18"/>
          <w:color w:val="auto"/>
        </w:rPr>
        <w:t>Operating margin increased 420 basis points in the three-month period of the current year, compared to the same period in the prior year, driven by productivity gains, the positive impact of restructuring actions completed last year, and improved pricing, which offset the impact of cost inflation and lower volume driven by the strategic shift from lower margin work, including the closure of the Velocity business and lower project awards in non-residential construction during the downturn.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Large-Scale Optical (LSO)</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tcPr>
          <w:p>
            <w:pPr>
              <w:spacing w:after="0"/>
              <w:rPr>
                <w:sz w:val="16"/>
                <w:szCs w:val="16"/>
                <w:color w:val="auto"/>
              </w:rPr>
            </w:pPr>
          </w:p>
        </w:tc>
      </w:tr>
      <w:tr>
        <w:trPr>
          <w:trHeight w:val="23"/>
        </w:trPr>
        <w:tc>
          <w:tcPr>
            <w:tcW w:w="61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29, 2021</w:t>
            </w:r>
          </w:p>
        </w:tc>
        <w:tc>
          <w:tcPr>
            <w:tcW w:w="16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25,162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24,228</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6,498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3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LSO net sales increased $0.9 million or 3.9 percent, for the three-month period ended May 28, 2022, compared to the same period in the prior year, driven by improved pricing and a more favorable sales mix.</w:t>
      </w:r>
    </w:p>
    <w:p>
      <w:pPr>
        <w:spacing w:after="0" w:line="176"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Operating margin increased 170 basis points in the three-month period of the current year, compared to the same period in the prior year, primarily reflecting improved productivity and pricing, partially offset by cost inflation.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79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1"/>
        </w:trPr>
        <w:tc>
          <w:tcPr>
            <w:tcW w:w="8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cash flow data</w:t>
            </w: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800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28, 2022</w:t>
            </w:r>
          </w:p>
        </w:tc>
        <w:tc>
          <w:tcPr>
            <w:tcW w:w="240" w:type="dxa"/>
            <w:vAlign w:val="bottom"/>
          </w:tcPr>
          <w:p>
            <w:pPr>
              <w:spacing w:after="0"/>
              <w:rPr>
                <w:sz w:val="16"/>
                <w:szCs w:val="16"/>
                <w:color w:val="auto"/>
              </w:rPr>
            </w:pPr>
          </w:p>
        </w:tc>
        <w:tc>
          <w:tcPr>
            <w:tcW w:w="13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May 29, 2021</w:t>
            </w:r>
          </w:p>
        </w:tc>
      </w:tr>
      <w:tr>
        <w:trPr>
          <w:trHeight w:val="229"/>
        </w:trPr>
        <w:tc>
          <w:tcPr>
            <w:tcW w:w="7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30"/>
        </w:trPr>
        <w:tc>
          <w:tcPr>
            <w:tcW w:w="80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Net cash (used) provided by 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w:t>
            </w:r>
          </w:p>
        </w:tc>
      </w:tr>
      <w:tr>
        <w:trPr>
          <w:trHeight w:val="229"/>
        </w:trPr>
        <w:tc>
          <w:tcPr>
            <w:tcW w:w="8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0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30"/>
        </w:trPr>
        <w:tc>
          <w:tcPr>
            <w:tcW w:w="80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8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w:t>
            </w:r>
          </w:p>
        </w:tc>
      </w:tr>
      <w:tr>
        <w:trPr>
          <w:trHeight w:val="234"/>
        </w:trPr>
        <w:tc>
          <w:tcPr>
            <w:tcW w:w="80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r>
    </w:tbl>
    <w:p>
      <w:pPr>
        <w:spacing w:after="0" w:line="2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used by operating activities was $30.5 million for the first three months of fiscal 2023, compared to $6.8 million of net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by operating activities in the prior year period, reflecting increased working capital related to revenue growth.</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by investing activities was $0.9 million for the first three months of fiscal 2023, driven primarily by capital expenditures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$5.1 million, partially offset by proceeds received from sales of property, plant and equipment of $4.1 million. In the first three months of the prior year, net cash used by investing activities was $4.1 million, primarily driven by capital expenditures of $4.7 million.</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was $17.6 million for the first three months of fiscal 2023, compared to net cash used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activities of $14.3 million in the prior year period. The current year period was primarily driven by net debt borrowings of $99.0 million partially offset by share repurchases totaling $74.3 million, compared to $12.6 million in the prior year period.</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paid dividends totaling $4.8 million ($0.2200 per share) in the first three months of fiscal 2023, compared to $5.0 million ($0.2000 per share) in the comparable prior year period. During the first three months of fiscal 2023, we repurchased 1,571,139 shares under our authorized share repurchase program, for a total cost of $74.3 million. In the first three months of fiscal 2022, we repurchased 341,000 shares under the share repurchase program, for a total cost of $12.2 million. Since the inception of the share repurchase program in 2004, we have purchased a total of 10,996,601 shares, at a total cost of $381.6 million. As of May 28, 2022, we had remaining authority to repurchase an additional 253,399 shares under this program. We will continue to evaluate making future share repurchases, considering our cash flow, debt levels and market conditions, in the context of all our capital allocation options, with the goal of maximizing long-term value for our shareholders.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Liquidity Considerations. </w:t>
      </w:r>
      <w:r>
        <w:rPr>
          <w:rFonts w:ascii="Times New Roman" w:cs="Times New Roman" w:eastAsia="Times New Roman" w:hAnsi="Times New Roman"/>
          <w:sz w:val="18"/>
          <w:szCs w:val="18"/>
          <w:color w:val="auto"/>
        </w:rPr>
        <w:t>We periodically evaluate our liquidity requirements, capital needs and availability of resources in view of inventory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levels, expansion plans, and other working capital needs.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May 28, 2022, we had a committed revolving credit facility with maximum borrowings of up to $235 million and a $150 million term loan, both with a maturity of June 2024. As of May 28, 2022, outstanding borrowings under our revolving credit facility were $99.0 million, while there were no outstanding borrowings under the revolving credit facility as of February 26, 2022. We are required to make periodic interest payments on our outstanding indebtedness, and future interest payments will be determined based on the amount of outstanding borrowings and prevailing interest rates during that time.</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revolving credit facility and term loan contain two financial covenants that require us to stay below a maximum debt-to-EBITDA ratio and maintain a minimum ratio of interest expense-to-EBITDA. Both ratios are computed quarterly, with EBITDA calculated on a rolling four-quarter basis. At May 28, 2022, we were in compliance with both financial covenants.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acquire the use of certain assets through operating leases, such as property, manufacturing equipment, vehicles and other equipment. Future payments for such leases, excluding leases with initial terms of one year or less, were $51.9 million at May 28, 2022, with $10.2 million payable during the remainder of fiscal 2023.</w:t>
      </w:r>
    </w:p>
    <w:p>
      <w:pPr>
        <w:spacing w:after="0" w:line="2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May 28, 2022, we had $196.5 million of open purchase obligations, of which payments totaling $169.7 million are expected to become due within the next 12 months. These purchase obligations primarily relate to raw material commitments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capital expenditures, and are not expected to impact future liquidity as amounts should be recovered through customer billings.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$0.7 million to our defined-benefit pension plans in fiscal 2023, which will equal or exceed our minimum funding requirements.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28, 2022, we had reserves of $3.4 million for unrecognized tax benefits. We are unable to reasonably estimate in which future periods the remaining unrecognized tax benefits will ultimately be settled.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in the ordinary course of business, to provide surety or performance bonds that commit payments to our customers for any non-performance. At May 28, 2022, $1.2 billion of these types of bonds were outstanding, of which $409.3 million is in our backlog. These bonds do not have stated expiration dates. We have never been required to make payments under surety or performance bonds with respect to our existing businesses.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calendar year 2020, we took advantage of the option to defer remittance of the employer portion of Social Security tax as provided in the Coronavirus Aid, Relief, and Economic Security Act. This deferral allowed us to retain cash during calendar year 2020 that would have otherwise been remitted to the federal government. Our first installment of these deferred social security taxes, totaling approximately $6.8 million, was paid in the fourth quarter of fiscal 2022, and our second installment of approximately $6.8 million is expected to be paid in the fourth quarter of fiscal 2023.</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Due to our ability to generate strong cash from operations and our borrowing capability under our committed revolving credit facility, we believe that our sources of liquidity will be adequate to meet our short-term and long-term liquidity and capital expenditure needs. In addition, we believe we have the ability to obtain both short-term and long-term debt to meet our financing needs for the foreseeable future. We also believe we will be able to operate our business so as to continue to be in compliance with our existing debt covenants over the next fiscal year.</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Based on our first-quarter results and impact of the share repurchase leading to lower share count in our outlook, we have raised our guidance for full-year adjusted earnings to a range of $3.50 to $3.90 per diluted* share, up from the previously announced range of $2.90 to $3.30. The company continues to expect full-year capital expenditures of $35 million to $40 million.</w:t>
      </w:r>
    </w:p>
    <w:p>
      <w:pPr>
        <w:spacing w:after="0" w:line="212" w:lineRule="exact"/>
        <w:rPr>
          <w:sz w:val="20"/>
          <w:szCs w:val="20"/>
          <w:color w:val="auto"/>
        </w:rPr>
      </w:pPr>
    </w:p>
    <w:p>
      <w:pPr>
        <w:jc w:val="both"/>
        <w:ind w:firstLine="8"/>
        <w:spacing w:after="0" w:line="238" w:lineRule="auto"/>
        <w:tabs>
          <w:tab w:leader="none" w:pos="1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non-GAAP guidance on adjusted earnings per diluted share (“Adjusted EPS”) to GAAP guidance is not available on a forward-looking basis without unreasonable effort due to the uncertainty of the magnitude and timing of future adjustments. These adjustments may include the impact of such items as impairment charges, restructuring costs, acquired project-related charges, and gains or losses from significant asset sales. Accordingly, the company is unable to provide a reconciliation of Adjusted EPS to the most directly comparable GAAP financial measure or address the probable significance of the unavailable information, which could be material to the company's future financial results computed in accordance with GAAP.</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 material changes have occurred in the disclosure with respect to our related party transactions set forth in our Annual Report on Form 10-K for the fiscal year ended February 26,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our Annual Report on Form 10-K for the fiscal year ended February 26, 2022, except as noted below.</w:t>
      </w:r>
    </w:p>
    <w:p>
      <w:pPr>
        <w:spacing w:after="0" w:line="205" w:lineRule="exact"/>
        <w:rPr>
          <w:sz w:val="20"/>
          <w:szCs w:val="20"/>
          <w:color w:val="auto"/>
        </w:rPr>
      </w:pPr>
    </w:p>
    <w:p>
      <w:pPr>
        <w:ind w:right="52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Impairment of goodwill, indefinite-lived intangible assets and long-lived assets </w:t>
      </w:r>
      <w:r>
        <w:rPr>
          <w:rFonts w:ascii="Times New Roman" w:cs="Times New Roman" w:eastAsia="Times New Roman" w:hAnsi="Times New Roman"/>
          <w:sz w:val="18"/>
          <w:szCs w:val="18"/>
          <w:i w:val="1"/>
          <w:iCs w:val="1"/>
          <w:color w:val="auto"/>
        </w:rPr>
        <w:t>Goodwill</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At the beginning of the first quarter of fiscal 2023, we began management of the Sotawall and Harmon businesses under the Architectural Services segment in order to create a single, unified offering for larger custom curtainwall projects. In connection with the transition, leadership of our Sotawall and Harmon businesses have been combined to form the Architectural Services reporting unit. We evaluated goodwill on a qualitative basis prior to and subsequent to this change for these reporting units and concluded no adjustment to the carrying value of goodwill was necessary as a result of this change. Concurrent with this change in composition of the operating segments effective at the start of our first quarter of fiscal 2023, goodwill was reallocated to the affected reporting units within each operating segment, using a relative fair value approach as outlined in ASC 350, </w:t>
      </w:r>
      <w:r>
        <w:rPr>
          <w:rFonts w:ascii="Times New Roman" w:cs="Times New Roman" w:eastAsia="Times New Roman" w:hAnsi="Times New Roman"/>
          <w:sz w:val="18"/>
          <w:szCs w:val="18"/>
          <w:i w:val="1"/>
          <w:iCs w:val="1"/>
          <w:color w:val="auto"/>
        </w:rPr>
        <w:t>Intangibles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firstLine="8"/>
        <w:spacing w:after="0" w:line="268" w:lineRule="auto"/>
        <w:tabs>
          <w:tab w:leader="none" w:pos="109"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Goodwill and Other. </w:t>
      </w:r>
      <w:r>
        <w:rPr>
          <w:rFonts w:ascii="Times New Roman" w:cs="Times New Roman" w:eastAsia="Times New Roman" w:hAnsi="Times New Roman"/>
          <w:sz w:val="18"/>
          <w:szCs w:val="18"/>
          <w:color w:val="auto"/>
        </w:rPr>
        <w:t>In addition, for all reporting units, no qualitative indicators of impairment were identified during the first quarter, and therefore,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quantitative goodwill impairment evaluation was performed.</w:t>
      </w:r>
    </w:p>
    <w:p>
      <w:pPr>
        <w:spacing w:after="0" w:line="19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Refer to the Company’s Annual Report on Form 10-K for the fiscal year ended February 26, 2022 for a discussion of the Company’s market risk. There have been no material changes in market risk since February 26, 2022.</w:t>
      </w:r>
    </w:p>
    <w:p>
      <w:pPr>
        <w:spacing w:after="0" w:line="19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left="1300" w:hanging="644"/>
        <w:spacing w:after="0" w:line="254" w:lineRule="auto"/>
        <w:tabs>
          <w:tab w:leader="none" w:pos="129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 There was no change in the Company’s internal control over financial reporting that occurred during the fiscal quarter ended May 28, 2022, that has materially affected, or is reasonably likely to materially affect, the Company’s internal control over financial reporting.</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or additions to our risk factors discussed in our Annual Report on Form 10-K for the fiscal year ended February 26, 2022.</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first quarter of fiscal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8"/>
        </w:trPr>
        <w:tc>
          <w:tcPr>
            <w:tcW w:w="4400" w:type="dxa"/>
            <w:vAlign w:val="bottom"/>
            <w:gridSpan w:val="2"/>
            <w:vMerge w:val="continue"/>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 (a)</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0" w:type="dxa"/>
            <w:vAlign w:val="bottom"/>
          </w:tcPr>
          <w:p>
            <w:pPr>
              <w:spacing w:after="0"/>
              <w:rPr>
                <w:sz w:val="1"/>
                <w:szCs w:val="1"/>
                <w:color w:val="auto"/>
              </w:rPr>
            </w:pPr>
          </w:p>
        </w:tc>
      </w:tr>
      <w:tr>
        <w:trPr>
          <w:trHeight w:val="228"/>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27, 2022 to March 26, 2022</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553,539</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1,270,999</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27, 2022 to April 23, 2022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253,399</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24, 2022 to May 28,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253,399</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1,601,223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1,571,139</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253,399</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60" w:hanging="652"/>
        <w:spacing w:after="0" w:line="302" w:lineRule="auto"/>
        <w:tabs>
          <w:tab w:leader="none" w:pos="65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in this column represent the total number of shares that were repurchased by us pursuant to our publicly announced repurchase program, plus the shares surrendered to us by plan participants to satisfy withholding tax obligations related to share-based compensation.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left="660" w:hanging="652"/>
        <w:spacing w:after="0" w:line="281" w:lineRule="auto"/>
        <w:tabs>
          <w:tab w:leader="none" w:pos="6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and October 7, 2021; and by 2,000,000 shares, announced on October 3, 2018 and January 14, 2022. The repurchase program does not have an expiration date.</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19"/>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7"/>
            <w:shd w:val="clear" w:color="auto" w:fill="CCEEFF"/>
          </w:tcPr>
          <w:p>
            <w:pPr>
              <w:ind w:left="20"/>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Restated Articles of Incorporation. (Incorporated by reference to Exhibit 3.1 to Registrant's Annual Report on Form 10-K for the</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tcBorders>
            <w:shd w:val="clear" w:color="auto" w:fill="CCEEFF"/>
          </w:tcPr>
          <w:p>
            <w:pPr>
              <w:spacing w:after="0"/>
              <w:rPr>
                <w:sz w:val="16"/>
                <w:szCs w:val="16"/>
                <w:color w:val="auto"/>
              </w:rPr>
            </w:pPr>
          </w:p>
        </w:tc>
        <w:tc>
          <w:tcPr>
            <w:tcW w:w="2280" w:type="dxa"/>
            <w:vAlign w:val="bottom"/>
            <w:tcBorders>
              <w:top w:val="single" w:sz="8" w:color="0000FF"/>
              <w:bottom w:val="single" w:sz="8" w:color="0000FF"/>
            </w:tcBorders>
            <w:gridSpan w:val="3"/>
            <w:shd w:val="clear" w:color="auto" w:fill="CCEEFF"/>
          </w:tcPr>
          <w:p>
            <w:pPr>
              <w:ind w:left="20"/>
              <w:spacing w:after="0" w:line="169" w:lineRule="exact"/>
              <w:rPr>
                <w:rFonts w:ascii="Times New Roman" w:cs="Times New Roman" w:eastAsia="Times New Roman" w:hAnsi="Times New Roman"/>
                <w:sz w:val="18"/>
                <w:szCs w:val="18"/>
                <w:color w:val="0000FF"/>
                <w:w w:val="98"/>
              </w:rPr>
            </w:pPr>
            <w:hyperlink r:id="rId47">
              <w:r>
                <w:rPr>
                  <w:rFonts w:ascii="Times New Roman" w:cs="Times New Roman" w:eastAsia="Times New Roman" w:hAnsi="Times New Roman"/>
                  <w:sz w:val="18"/>
                  <w:szCs w:val="18"/>
                  <w:color w:val="0000FF"/>
                  <w:w w:val="98"/>
                </w:rPr>
                <w:t>year-ended February 28, 2004.)</w:t>
              </w:r>
            </w:hyperlink>
          </w:p>
        </w:tc>
        <w:tc>
          <w:tcPr>
            <w:tcW w:w="732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780" w:type="dxa"/>
            <w:vAlign w:val="bottom"/>
            <w:gridSpan w:val="17"/>
          </w:tcPr>
          <w:p>
            <w:pPr>
              <w:ind w:left="20"/>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Articles of Amendment to Restated Articles of Incorporation. (Incorporated by reference to Exhibit 3.1 to Registrant's Current</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80" w:type="dxa"/>
            <w:vAlign w:val="bottom"/>
            <w:tcBorders>
              <w:top w:val="single" w:sz="8" w:color="0000FF"/>
            </w:tcBorders>
            <w:gridSpan w:val="13"/>
          </w:tcPr>
          <w:p>
            <w:pPr>
              <w:ind w:left="20"/>
              <w:spacing w:after="0" w:line="16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Report on Form 8-K filed on January 16,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7"/>
            <w:shd w:val="clear" w:color="auto" w:fill="CCEEFF"/>
          </w:tcPr>
          <w:p>
            <w:pPr>
              <w:ind w:left="20"/>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Amended and Restated Bylaws of Apogee Enterprises, Inc. (Incorporated by reference to Exhibit 3.3 to the Registrant’s Quarterly</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9640" w:type="dxa"/>
            <w:vAlign w:val="bottom"/>
            <w:tcBorders>
              <w:top w:val="single" w:sz="8" w:color="0000FF"/>
            </w:tcBorders>
            <w:gridSpan w:val="11"/>
            <w:shd w:val="clear" w:color="auto" w:fill="CCEEFF"/>
          </w:tcPr>
          <w:p>
            <w:pPr>
              <w:ind w:left="20"/>
              <w:spacing w:after="0" w:line="16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Report on Form 10-Q for the quarter-ended May 29, 2021).</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780" w:type="dxa"/>
            <w:vAlign w:val="bottom"/>
            <w:gridSpan w:val="17"/>
          </w:tcPr>
          <w:p>
            <w:pPr>
              <w:ind w:left="2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Form of Restricted Stock Agreement (incorporated by reference to Exhibit 10.1 to the Company’s Current Report on Form 8-K filed</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740" w:type="dxa"/>
            <w:vAlign w:val="bottom"/>
            <w:tcBorders>
              <w:top w:val="single" w:sz="8" w:color="0000FF"/>
            </w:tcBorders>
            <w:gridSpan w:val="16"/>
          </w:tcPr>
          <w:p>
            <w:pPr>
              <w:ind w:left="20"/>
              <w:spacing w:after="0" w:line="16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on April 26, 2021).</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7"/>
            <w:shd w:val="clear" w:color="auto" w:fill="CCEEFF"/>
          </w:tcPr>
          <w:p>
            <w:pPr>
              <w:ind w:left="20"/>
              <w:spacing w:after="0" w:line="18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Form of Performance Award Agreement (incorporated by reference to Exhibit 10.2 to the Company’s Current Report on Form 8-K</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9720" w:type="dxa"/>
            <w:vAlign w:val="bottom"/>
            <w:tcBorders>
              <w:top w:val="single" w:sz="8" w:color="0000FF"/>
            </w:tcBorders>
            <w:gridSpan w:val="15"/>
            <w:shd w:val="clear" w:color="auto" w:fill="CCEEFF"/>
          </w:tcPr>
          <w:p>
            <w:pPr>
              <w:ind w:left="20"/>
              <w:spacing w:after="0" w:line="16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filed on April 26, 2021).</w:t>
              </w:r>
            </w:hyperlink>
          </w:p>
        </w:tc>
        <w:tc>
          <w:tcPr>
            <w:tcW w:w="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780" w:type="dxa"/>
            <w:vAlign w:val="bottom"/>
            <w:gridSpan w:val="17"/>
          </w:tcPr>
          <w:p>
            <w:pPr>
              <w:ind w:left="20"/>
              <w:spacing w:after="0" w:line="18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Form of Executive Short-Term Incentive Plan Memorandum (incorporated by reference to Exhibit 10.3 to the Company’s Current</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780" w:type="dxa"/>
            <w:vAlign w:val="bottom"/>
            <w:tcBorders>
              <w:top w:val="single" w:sz="8" w:color="0000FF"/>
            </w:tcBorders>
            <w:gridSpan w:val="17"/>
          </w:tcPr>
          <w:p>
            <w:pPr>
              <w:ind w:left="20"/>
              <w:spacing w:after="0" w:line="16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Report on Form 8-K filed on April 26, 2021).</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7"/>
            <w:shd w:val="clear" w:color="auto" w:fill="CCEEFF"/>
          </w:tcPr>
          <w:p>
            <w:pPr>
              <w:ind w:left="20"/>
              <w:spacing w:after="0" w:line="18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Executive Short-Term Incentive Plan Terms and Conditions (incorporated by reference to Exhibit 10.4 to the Company’s Current</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9620" w:type="dxa"/>
            <w:vAlign w:val="bottom"/>
            <w:tcBorders>
              <w:top w:val="single" w:sz="8" w:color="0000FF"/>
            </w:tcBorders>
            <w:gridSpan w:val="10"/>
            <w:shd w:val="clear" w:color="auto" w:fill="CCEEFF"/>
          </w:tcPr>
          <w:p>
            <w:pPr>
              <w:ind w:left="20"/>
              <w:spacing w:after="0" w:line="16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Report on Form 8-K filed on April 26, 2021).</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right w:val="single" w:sz="8" w:color="CCEEFF"/>
            </w:tcBorders>
            <w:gridSpan w:val="3"/>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40" w:type="dxa"/>
            <w:vAlign w:val="bottom"/>
          </w:tcPr>
          <w:p>
            <w:pPr>
              <w:spacing w:after="0"/>
              <w:rPr>
                <w:sz w:val="16"/>
                <w:szCs w:val="16"/>
                <w:color w:val="auto"/>
              </w:rPr>
            </w:pPr>
          </w:p>
        </w:tc>
        <w:tc>
          <w:tcPr>
            <w:tcW w:w="9780" w:type="dxa"/>
            <w:vAlign w:val="bottom"/>
            <w:gridSpan w:val="17"/>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under the Securities Exchange Act of 1934.</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00" w:type="dxa"/>
            <w:vAlign w:val="bottom"/>
            <w:tcBorders>
              <w:bottom w:val="single" w:sz="8" w:color="0000FF"/>
            </w:tcBorders>
            <w:gridSpan w:val="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under the Securities Exchange Act of 1934.</w:t>
            </w:r>
          </w:p>
        </w:tc>
        <w:tc>
          <w:tcPr>
            <w:tcW w:w="1780" w:type="dxa"/>
            <w:vAlign w:val="bottom"/>
            <w:tcBorders>
              <w:bottom w:val="single" w:sz="8" w:color="CCEEFF"/>
              <w:right w:val="single" w:sz="8" w:color="CCEEFF"/>
            </w:tcBorders>
            <w:gridSpan w:val="10"/>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740" w:type="dxa"/>
            <w:vAlign w:val="bottom"/>
          </w:tcPr>
          <w:p>
            <w:pPr>
              <w:spacing w:after="0"/>
              <w:rPr>
                <w:sz w:val="16"/>
                <w:szCs w:val="16"/>
                <w:color w:val="auto"/>
              </w:rPr>
            </w:pPr>
          </w:p>
        </w:tc>
        <w:tc>
          <w:tcPr>
            <w:tcW w:w="9780" w:type="dxa"/>
            <w:vAlign w:val="bottom"/>
            <w:gridSpan w:val="17"/>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60" w:type="dxa"/>
            <w:vAlign w:val="bottom"/>
            <w:tcBorders>
              <w:top w:val="single" w:sz="8" w:color="0000FF"/>
            </w:tcBorders>
            <w:gridSpan w:val="12"/>
          </w:tcPr>
          <w:p>
            <w:pPr>
              <w:ind w:left="20"/>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4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74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0000FF"/>
              <w:bottom w:val="single" w:sz="8" w:color="0000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30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80" w:type="dxa"/>
            <w:vAlign w:val="bottom"/>
            <w:tcBorders>
              <w:top w:val="single" w:sz="8" w:color="CCEEFF"/>
              <w:bottom w:val="single" w:sz="8" w:color="CCEEFF"/>
              <w:right w:val="single" w:sz="8" w:color="CCEEFF"/>
            </w:tcBorders>
            <w:gridSpan w:val="3"/>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780" w:type="dxa"/>
            <w:vAlign w:val="bottom"/>
            <w:gridSpan w:val="17"/>
          </w:tcPr>
          <w:p>
            <w:pPr>
              <w:ind w:left="20"/>
              <w:spacing w:after="0" w:line="198" w:lineRule="exact"/>
              <w:rPr>
                <w:sz w:val="20"/>
                <w:szCs w:val="20"/>
                <w:color w:val="auto"/>
              </w:rPr>
            </w:pPr>
            <w:r>
              <w:rPr>
                <w:rFonts w:ascii="Times New Roman" w:cs="Times New Roman" w:eastAsia="Times New Roman" w:hAnsi="Times New Roman"/>
                <w:sz w:val="18"/>
                <w:szCs w:val="18"/>
                <w:color w:val="auto"/>
              </w:rPr>
              <w:t>The following materials from Apogee Enterprises, Inc.’s Quarterly Report on Form 10-Q for the quarter ended May 28, 2022,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20" w:type="dxa"/>
            <w:vAlign w:val="bottom"/>
            <w:gridSpan w:val="18"/>
          </w:tcPr>
          <w:p>
            <w:pPr>
              <w:ind w:left="20"/>
              <w:spacing w:after="0" w:line="202" w:lineRule="exact"/>
              <w:rPr>
                <w:sz w:val="20"/>
                <w:szCs w:val="20"/>
                <w:color w:val="auto"/>
              </w:rPr>
            </w:pPr>
            <w:r>
              <w:rPr>
                <w:rFonts w:ascii="Times New Roman" w:cs="Times New Roman" w:eastAsia="Times New Roman" w:hAnsi="Times New Roman"/>
                <w:sz w:val="18"/>
                <w:szCs w:val="18"/>
                <w:color w:val="auto"/>
              </w:rPr>
              <w:t>formatted in iXBRL (Inline Extensible Business Reporting Language): (i) the Consolidated Balance Sheets as of May 28, 2022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20" w:type="dxa"/>
            <w:vAlign w:val="bottom"/>
            <w:gridSpan w:val="18"/>
          </w:tcPr>
          <w:p>
            <w:pPr>
              <w:ind w:left="20"/>
              <w:spacing w:after="0" w:line="202" w:lineRule="exact"/>
              <w:rPr>
                <w:sz w:val="20"/>
                <w:szCs w:val="20"/>
                <w:color w:val="auto"/>
              </w:rPr>
            </w:pPr>
            <w:r>
              <w:rPr>
                <w:rFonts w:ascii="Times New Roman" w:cs="Times New Roman" w:eastAsia="Times New Roman" w:hAnsi="Times New Roman"/>
                <w:sz w:val="18"/>
                <w:szCs w:val="18"/>
                <w:color w:val="auto"/>
              </w:rPr>
              <w:t>February 26, 2022, (ii) the Consolidated Results of Operations for the three-months ended May 28, 2022 and May 29, 2021, (iii)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20" w:type="dxa"/>
            <w:vAlign w:val="bottom"/>
            <w:gridSpan w:val="18"/>
          </w:tcPr>
          <w:p>
            <w:pPr>
              <w:ind w:left="20"/>
              <w:spacing w:after="0" w:line="202" w:lineRule="exact"/>
              <w:rPr>
                <w:sz w:val="20"/>
                <w:szCs w:val="20"/>
                <w:color w:val="auto"/>
              </w:rPr>
            </w:pPr>
            <w:r>
              <w:rPr>
                <w:rFonts w:ascii="Times New Roman" w:cs="Times New Roman" w:eastAsia="Times New Roman" w:hAnsi="Times New Roman"/>
                <w:sz w:val="18"/>
                <w:szCs w:val="18"/>
                <w:color w:val="auto"/>
              </w:rPr>
              <w:t>Consolidated Statements of Comprehensive Earnings for the three-months ended May 28, 2022 and May 29, 2021, (iv)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20" w:type="dxa"/>
            <w:vAlign w:val="bottom"/>
            <w:gridSpan w:val="18"/>
          </w:tcPr>
          <w:p>
            <w:pPr>
              <w:ind w:left="20"/>
              <w:spacing w:after="0" w:line="202" w:lineRule="exact"/>
              <w:rPr>
                <w:sz w:val="20"/>
                <w:szCs w:val="20"/>
                <w:color w:val="auto"/>
              </w:rPr>
            </w:pPr>
            <w:r>
              <w:rPr>
                <w:rFonts w:ascii="Times New Roman" w:cs="Times New Roman" w:eastAsia="Times New Roman" w:hAnsi="Times New Roman"/>
                <w:sz w:val="18"/>
                <w:szCs w:val="18"/>
                <w:color w:val="auto"/>
              </w:rPr>
              <w:t>Consolidated Statements of Cash Flows for the three-months ended May 28, 2022 and May 29, 2021, (v) the Consolidated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20" w:type="dxa"/>
            <w:vAlign w:val="bottom"/>
            <w:gridSpan w:val="18"/>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Statements of Shareholders' Equity for the three-months ended May 28, 2022 and May 29, 2021, and (vi) Notes to Consolidated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0" w:type="dxa"/>
            <w:vAlign w:val="bottom"/>
          </w:tcPr>
          <w:p>
            <w:pPr>
              <w:spacing w:after="0"/>
              <w:rPr>
                <w:sz w:val="1"/>
                <w:szCs w:val="1"/>
                <w:color w:val="auto"/>
              </w:rPr>
            </w:pPr>
          </w:p>
        </w:tc>
      </w:tr>
      <w:tr>
        <w:trPr>
          <w:trHeight w:val="243"/>
        </w:trPr>
        <w:tc>
          <w:tcPr>
            <w:tcW w:w="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780" w:type="dxa"/>
            <w:vAlign w:val="bottom"/>
            <w:tcBorders>
              <w:right w:val="single" w:sz="8" w:color="CCEEFF"/>
            </w:tcBorders>
            <w:gridSpan w:val="1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78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Exhibits marked with a (#) sign are filed herewith.</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gridSpan w:val="8"/>
          </w:tcPr>
          <w:p>
            <w:pPr>
              <w:jc w:val="right"/>
              <w:ind w:right="370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93"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color w:val="auto"/>
        </w:rPr>
        <w:t>Date: July 1, 2022</w:t>
      </w:r>
      <w:r>
        <w:rPr>
          <w:sz w:val="20"/>
          <w:szCs w:val="20"/>
          <w:color w:val="auto"/>
        </w:rPr>
        <w:tab/>
      </w:r>
      <w:r>
        <w:rPr>
          <w:rFonts w:ascii="Times New Roman" w:cs="Times New Roman" w:eastAsia="Times New Roman" w:hAnsi="Times New Roman"/>
          <w:sz w:val="17"/>
          <w:szCs w:val="17"/>
          <w:color w:val="auto"/>
        </w:rPr>
        <w:t>By: /s/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360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Ty R. Silberhorn</w:t>
      </w:r>
    </w:p>
    <w:p>
      <w:pPr>
        <w:ind w:left="604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5540" w:val="left"/>
        </w:tabs>
        <w:rPr>
          <w:sz w:val="20"/>
          <w:szCs w:val="20"/>
          <w:color w:val="auto"/>
        </w:rPr>
      </w:pPr>
      <w:r>
        <w:rPr>
          <w:rFonts w:ascii="Times New Roman" w:cs="Times New Roman" w:eastAsia="Times New Roman" w:hAnsi="Times New Roman"/>
          <w:sz w:val="18"/>
          <w:szCs w:val="18"/>
          <w:color w:val="auto"/>
        </w:rPr>
        <w:t>Date: July 1, 2022</w:t>
      </w:r>
      <w:r>
        <w:rPr>
          <w:sz w:val="20"/>
          <w:szCs w:val="20"/>
          <w:color w:val="auto"/>
        </w:rPr>
        <w:tab/>
      </w:r>
      <w:r>
        <w:rPr>
          <w:rFonts w:ascii="Times New Roman" w:cs="Times New Roman" w:eastAsia="Times New Roman" w:hAnsi="Times New Roman"/>
          <w:sz w:val="18"/>
          <w:szCs w:val="18"/>
          <w:color w:val="auto"/>
        </w:rPr>
        <w:t>By: /s/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17145</wp:posOffset>
            </wp:positionV>
            <wp:extent cx="36175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Nisheet Gupta</w:t>
      </w:r>
    </w:p>
    <w:p>
      <w:pPr>
        <w:ind w:left="602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 (Principal</w:t>
      </w:r>
    </w:p>
    <w:p>
      <w:pPr>
        <w:ind w:left="6020"/>
        <w:spacing w:after="0"/>
        <w:rPr>
          <w:sz w:val="20"/>
          <w:szCs w:val="20"/>
          <w:color w:val="auto"/>
        </w:rPr>
      </w:pPr>
      <w:r>
        <w:rPr>
          <w:rFonts w:ascii="Times New Roman" w:cs="Times New Roman" w:eastAsia="Times New Roman" w:hAnsi="Times New Roman"/>
          <w:sz w:val="18"/>
          <w:szCs w:val="18"/>
          <w:color w:val="auto"/>
        </w:rPr>
        <w:t>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121" w:right="3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 R. Silberhorn, certify that:</w:t>
      </w:r>
    </w:p>
    <w:p>
      <w:pPr>
        <w:spacing w:after="0" w:line="117"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20" w:hanging="652"/>
        <w:spacing w:after="0" w:line="266" w:lineRule="auto"/>
        <w:tabs>
          <w:tab w:leader="none" w:pos="19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6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40" w:hanging="652"/>
        <w:spacing w:after="0" w:line="266" w:lineRule="auto"/>
        <w:tabs>
          <w:tab w:leader="none" w:pos="196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80" w:right="120" w:hanging="652"/>
        <w:spacing w:after="0" w:line="266" w:lineRule="auto"/>
        <w:tabs>
          <w:tab w:leader="none" w:pos="19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140" w:hanging="652"/>
        <w:spacing w:after="0" w:line="282" w:lineRule="auto"/>
        <w:tabs>
          <w:tab w:leader="none" w:pos="196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2022</w:t>
      </w:r>
    </w:p>
    <w:p>
      <w:pPr>
        <w:spacing w:after="0" w:line="7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43180</wp:posOffset>
            </wp:positionV>
            <wp:extent cx="27863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8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Ty R. Silberhorn</w:t>
      </w:r>
    </w:p>
    <w:p>
      <w:pPr>
        <w:spacing w:after="0" w:line="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914"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Nisheet Gupta, certify that:</w:t>
      </w:r>
    </w:p>
    <w:p>
      <w:pPr>
        <w:spacing w:after="0" w:line="117"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6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22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280" w:hanging="652"/>
        <w:spacing w:after="0" w:line="266" w:lineRule="auto"/>
        <w:tabs>
          <w:tab w:leader="none" w:pos="22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80" w:hanging="652"/>
        <w:spacing w:after="0" w:line="282" w:lineRule="auto"/>
        <w:tabs>
          <w:tab w:leader="none" w:pos="22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2022</w:t>
      </w:r>
    </w:p>
    <w:p>
      <w:pPr>
        <w:spacing w:after="0" w:line="3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Nisheet Gupta</w:t>
      </w:r>
    </w:p>
    <w:p>
      <w:pPr>
        <w:ind w:left="6840"/>
        <w:spacing w:after="0" w:line="219" w:lineRule="auto"/>
        <w:rPr>
          <w:sz w:val="20"/>
          <w:szCs w:val="20"/>
          <w:color w:val="auto"/>
        </w:rPr>
      </w:pPr>
      <w:r>
        <w:rPr>
          <w:rFonts w:ascii="Times New Roman" w:cs="Times New Roman" w:eastAsia="Times New Roman" w:hAnsi="Times New Roman"/>
          <w:sz w:val="18"/>
          <w:szCs w:val="18"/>
          <w:color w:val="auto"/>
        </w:rPr>
        <w:t>Executive Vice President and</w:t>
      </w: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May 28, 2022 as filed with the Securities and Exchange Commission (the “Report”), I, Ty R. Silberhorn, Chief Executive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Ty R. Silberhorn</w:t>
      </w: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 2022</w:t>
      </w:r>
    </w:p>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May 28, 2022 as filed with the Securities and Exchange Commission (the “Report”), I, Nisheet Gupta, Chief Financial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Nisheet Gupta</w:t>
      </w:r>
    </w:p>
    <w:p>
      <w:pPr>
        <w:ind w:left="20"/>
        <w:spacing w:after="0" w:line="219" w:lineRule="auto"/>
        <w:rPr>
          <w:sz w:val="20"/>
          <w:szCs w:val="20"/>
          <w:color w:val="auto"/>
        </w:rPr>
      </w:pPr>
      <w:r>
        <w:rPr>
          <w:rFonts w:ascii="Times New Roman" w:cs="Times New Roman" w:eastAsia="Times New Roman" w:hAnsi="Times New Roman"/>
          <w:sz w:val="18"/>
          <w:szCs w:val="18"/>
          <w:color w:val="auto"/>
        </w:rPr>
        <w:t>Executive Vice President and</w:t>
      </w: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47" Type="http://schemas.openxmlformats.org/officeDocument/2006/relationships/hyperlink" Target="http://www.sec.gov/Archives/edgar/data/6845/000119312504079352/dex31.htm" TargetMode="External"/><Relationship Id="rId48" Type="http://schemas.openxmlformats.org/officeDocument/2006/relationships/hyperlink" Target="http://www.sec.gov/Archives/edgar/data/6845/000119312520008887/d874518dex31.htm" TargetMode="External"/><Relationship Id="rId49" Type="http://schemas.openxmlformats.org/officeDocument/2006/relationships/hyperlink" Target="http://www.sec.gov/Archives/edgar/data/0000006845/000000684521000020/apog-ex33arbylawsfinalapri.htm" TargetMode="External"/><Relationship Id="rId50" Type="http://schemas.openxmlformats.org/officeDocument/2006/relationships/hyperlink" Target="http://www.sec.gov/Archives/edgar/data/0000006845/000119312521131593/d173939dex101.htm" TargetMode="External"/><Relationship Id="rId51" Type="http://schemas.openxmlformats.org/officeDocument/2006/relationships/hyperlink" Target="http://www.sec.gov/Archives/edgar/data/0000006845/000119312521131593/d173939dex102.htm" TargetMode="External"/><Relationship Id="rId52" Type="http://schemas.openxmlformats.org/officeDocument/2006/relationships/hyperlink" Target="http://www.sec.gov/Archives/edgar/data/0000006845/000119312521131593/d173939dex103.htm" TargetMode="External"/><Relationship Id="rId53" Type="http://schemas.openxmlformats.org/officeDocument/2006/relationships/hyperlink" Target="http://www.sec.gov/Archives/edgar/data/0000006845/000119312521131593/d173939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2022-07-01T13:14:29Z</dcterms:created>
  <dcterms:modified xsi:type="dcterms:W3CDTF">2022-07-01T13:14:29Z</dcterms:modified>
</cp:coreProperties>
</file>