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2"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46" w:lineRule="exact"/>
        <w:rPr>
          <w:sz w:val="24"/>
          <w:szCs w:val="24"/>
          <w:color w:val="auto"/>
        </w:rPr>
      </w:pPr>
    </w:p>
    <w:p>
      <w:pPr>
        <w:ind w:left="3960" w:right="2340" w:hanging="3925"/>
        <w:spacing w:after="0" w:line="234" w:lineRule="auto"/>
        <w:tabs>
          <w:tab w:leader="none" w:pos="5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November 30, 2019</w:t>
      </w:r>
    </w:p>
    <w:p>
      <w:pPr>
        <w:spacing w:after="0" w:line="63"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553" w:right="239" w:bottom="1440" w:gutter="0" w:footer="0" w:header="0"/>
        </w:sectPr>
      </w:pPr>
    </w:p>
    <w:p>
      <w:pPr>
        <w:spacing w:after="0" w:line="125"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159" w:lineRule="exact"/>
        <w:rPr>
          <w:sz w:val="24"/>
          <w:szCs w:val="24"/>
          <w:color w:val="auto"/>
        </w:rPr>
      </w:pPr>
    </w:p>
    <w:p>
      <w:pPr>
        <w:sectPr>
          <w:pgSz w:w="11900" w:h="16838" w:orient="portrait"/>
          <w:cols w:equalWidth="0" w:num="2">
            <w:col w:w="6160" w:space="540"/>
            <w:col w:w="4720"/>
          </w:cols>
          <w:pgMar w:left="240" w:top="553"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0-6365</w:t>
      </w:r>
    </w:p>
    <w:p>
      <w:pPr>
        <w:spacing w:after="0" w:line="59"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APOGEE ENTERPRISES,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_________________________________</w:t>
      </w:r>
    </w:p>
    <w:p>
      <w:pPr>
        <w:sectPr>
          <w:pgSz w:w="11900" w:h="16838" w:orient="portrait"/>
          <w:cols w:equalWidth="0" w:num="1">
            <w:col w:w="11420"/>
          </w:cols>
          <w:pgMar w:left="240" w:top="553" w:right="239" w:bottom="1440" w:gutter="0" w:footer="0" w:header="0"/>
          <w:type w:val="continuous"/>
        </w:sectPr>
      </w:pPr>
    </w:p>
    <w:p>
      <w:pPr>
        <w:spacing w:after="0" w:line="146" w:lineRule="exact"/>
        <w:rPr>
          <w:sz w:val="24"/>
          <w:szCs w:val="24"/>
          <w:color w:val="auto"/>
        </w:rPr>
      </w:pPr>
    </w:p>
    <w:p>
      <w:pPr>
        <w:ind w:left="1920"/>
        <w:spacing w:after="0"/>
        <w:rPr>
          <w:sz w:val="20"/>
          <w:szCs w:val="20"/>
          <w:color w:val="auto"/>
        </w:rPr>
      </w:pPr>
      <w:r>
        <w:rPr>
          <w:rFonts w:ascii="Arial" w:cs="Arial" w:eastAsia="Arial" w:hAnsi="Arial"/>
          <w:sz w:val="15"/>
          <w:szCs w:val="15"/>
          <w:b w:val="1"/>
          <w:bCs w:val="1"/>
          <w:color w:val="auto"/>
        </w:rPr>
        <w:t>Minnesota</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41-0919654</w:t>
      </w:r>
    </w:p>
    <w:p>
      <w:pPr>
        <w:spacing w:after="0" w:line="170" w:lineRule="exact"/>
        <w:rPr>
          <w:sz w:val="24"/>
          <w:szCs w:val="24"/>
          <w:color w:val="auto"/>
        </w:rPr>
      </w:pPr>
    </w:p>
    <w:p>
      <w:pPr>
        <w:sectPr>
          <w:pgSz w:w="11900" w:h="16838" w:orient="portrait"/>
          <w:cols w:equalWidth="0" w:num="2">
            <w:col w:w="8300" w:space="720"/>
            <w:col w:w="2400"/>
          </w:cols>
          <w:pgMar w:left="240" w:top="553" w:right="239" w:bottom="1440" w:gutter="0" w:footer="0" w:header="0"/>
          <w:type w:val="continuous"/>
        </w:sectPr>
      </w:pPr>
    </w:p>
    <w:p>
      <w:pPr>
        <w:ind w:left="58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70" w:lineRule="exact"/>
        <w:rPr>
          <w:sz w:val="24"/>
          <w:szCs w:val="24"/>
          <w:color w:val="auto"/>
        </w:rPr>
      </w:pPr>
    </w:p>
    <w:p>
      <w:pPr>
        <w:sectPr>
          <w:pgSz w:w="11900" w:h="16838" w:orient="portrait"/>
          <w:cols w:equalWidth="0" w:num="2">
            <w:col w:w="7660" w:space="720"/>
            <w:col w:w="3040"/>
          </w:cols>
          <w:pgMar w:left="240" w:top="553" w:right="239" w:bottom="1440" w:gutter="0" w:footer="0" w:header="0"/>
          <w:type w:val="continuous"/>
        </w:sectPr>
      </w:pPr>
    </w:p>
    <w:p>
      <w:pPr>
        <w:ind w:left="1120"/>
        <w:spacing w:after="0"/>
        <w:rPr>
          <w:sz w:val="20"/>
          <w:szCs w:val="20"/>
          <w:color w:val="auto"/>
        </w:rPr>
      </w:pPr>
      <w:r>
        <w:rPr>
          <w:rFonts w:ascii="Arial" w:cs="Arial" w:eastAsia="Arial" w:hAnsi="Arial"/>
          <w:sz w:val="15"/>
          <w:szCs w:val="15"/>
          <w:b w:val="1"/>
          <w:bCs w:val="1"/>
          <w:color w:val="auto"/>
        </w:rPr>
        <w:t>4400 West 78th Street, Suite 520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Minneapolis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55435</w:t>
      </w:r>
    </w:p>
    <w:p>
      <w:pPr>
        <w:spacing w:after="0" w:line="89" w:lineRule="exact"/>
        <w:rPr>
          <w:sz w:val="24"/>
          <w:szCs w:val="24"/>
          <w:color w:val="auto"/>
        </w:rPr>
      </w:pPr>
    </w:p>
    <w:p>
      <w:pPr>
        <w:sectPr>
          <w:pgSz w:w="11900" w:h="16838" w:orient="portrait"/>
          <w:cols w:equalWidth="0" w:num="4">
            <w:col w:w="4100" w:space="720"/>
            <w:col w:w="900" w:space="540"/>
            <w:col w:w="2240" w:space="720"/>
            <w:col w:w="2200"/>
          </w:cols>
          <w:pgMar w:left="240" w:top="553" w:right="239" w:bottom="1440" w:gutter="0" w:footer="0" w:header="0"/>
          <w:type w:val="continuous"/>
        </w:sectPr>
      </w:pPr>
    </w:p>
    <w:p>
      <w:pPr>
        <w:ind w:left="11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43" w:lineRule="exact"/>
        <w:rPr>
          <w:sz w:val="24"/>
          <w:szCs w:val="24"/>
          <w:color w:val="auto"/>
        </w:rPr>
      </w:pPr>
    </w:p>
    <w:p>
      <w:pPr>
        <w:sectPr>
          <w:pgSz w:w="11900" w:h="16838" w:orient="portrait"/>
          <w:cols w:equalWidth="0" w:num="2">
            <w:col w:w="8400" w:space="720"/>
            <w:col w:w="2300"/>
          </w:cols>
          <w:pgMar w:left="240" w:top="553"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 (952) 835-1874</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 Applicable</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7"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553" w:right="239" w:bottom="1440" w:gutter="0" w:footer="0" w:header="0"/>
          <w:type w:val="continuous"/>
        </w:sect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240" w:space="720"/>
            <w:col w:w="1840" w:space="720"/>
            <w:col w:w="3900"/>
          </w:cols>
          <w:pgMar w:left="240" w:top="553" w:right="2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Common stock, par value $0.33 1/3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APOG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140" w:lineRule="exact"/>
        <w:rPr>
          <w:sz w:val="24"/>
          <w:szCs w:val="24"/>
          <w:color w:val="auto"/>
        </w:rPr>
      </w:pPr>
    </w:p>
    <w:p>
      <w:pPr>
        <w:sectPr>
          <w:pgSz w:w="11900" w:h="16838" w:orient="portrait"/>
          <w:cols w:equalWidth="0" w:num="3">
            <w:col w:w="4700" w:space="720"/>
            <w:col w:w="1900" w:space="720"/>
            <w:col w:w="3380"/>
          </w:cols>
          <w:pgMar w:left="240" w:top="553" w:right="239" w:bottom="1440" w:gutter="0" w:footer="0" w:header="0"/>
          <w:type w:val="continuous"/>
        </w:sect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27"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x Yes o No</w:t>
      </w:r>
    </w:p>
    <w:p>
      <w:pPr>
        <w:spacing w:after="0" w:line="93"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53" w:right="2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500"/>
              <w:spacing w:after="0"/>
              <w:rPr>
                <w:sz w:val="20"/>
                <w:szCs w:val="20"/>
                <w:color w:val="auto"/>
              </w:rPr>
            </w:pPr>
            <w:r>
              <w:rPr>
                <w:rFonts w:ascii="Arial" w:cs="Arial" w:eastAsia="Arial" w:hAnsi="Arial"/>
                <w:sz w:val="18"/>
                <w:szCs w:val="18"/>
                <w:color w:val="auto"/>
              </w:rPr>
              <w:t>x</w:t>
            </w:r>
          </w:p>
        </w:tc>
        <w:tc>
          <w:tcPr>
            <w:tcW w:w="4280" w:type="dxa"/>
            <w:vAlign w:val="bottom"/>
          </w:tcPr>
          <w:p>
            <w:pPr>
              <w:ind w:left="2320"/>
              <w:spacing w:after="0"/>
              <w:rPr>
                <w:sz w:val="20"/>
                <w:szCs w:val="20"/>
                <w:color w:val="auto"/>
              </w:rPr>
            </w:pPr>
            <w:r>
              <w:rPr>
                <w:rFonts w:ascii="Arial" w:cs="Arial" w:eastAsia="Arial" w:hAnsi="Arial"/>
                <w:sz w:val="18"/>
                <w:szCs w:val="18"/>
                <w:color w:val="auto"/>
              </w:rPr>
              <w:t>Accelerated filer</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500"/>
              <w:spacing w:after="0"/>
              <w:rPr>
                <w:sz w:val="20"/>
                <w:szCs w:val="20"/>
                <w:color w:val="auto"/>
              </w:rPr>
            </w:pPr>
            <w:r>
              <w:rPr>
                <w:rFonts w:ascii="Arial" w:cs="Arial" w:eastAsia="Arial" w:hAnsi="Arial"/>
                <w:sz w:val="18"/>
                <w:szCs w:val="18"/>
                <w:color w:val="auto"/>
              </w:rPr>
              <w:t>o</w:t>
            </w:r>
          </w:p>
        </w:tc>
        <w:tc>
          <w:tcPr>
            <w:tcW w:w="4280" w:type="dxa"/>
            <w:vAlign w:val="bottom"/>
          </w:tcPr>
          <w:p>
            <w:pPr>
              <w:ind w:left="2320"/>
              <w:spacing w:after="0"/>
              <w:rPr>
                <w:sz w:val="20"/>
                <w:szCs w:val="20"/>
                <w:color w:val="auto"/>
              </w:rPr>
            </w:pPr>
            <w:r>
              <w:rPr>
                <w:rFonts w:ascii="Arial" w:cs="Arial" w:eastAsia="Arial" w:hAnsi="Arial"/>
                <w:sz w:val="18"/>
                <w:szCs w:val="18"/>
                <w:color w:val="auto"/>
                <w:w w:val="90"/>
              </w:rPr>
              <w:t>Smaller reporting company</w:t>
            </w:r>
          </w:p>
        </w:tc>
      </w:tr>
      <w:tr>
        <w:trPr>
          <w:trHeight w:val="412"/>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spacing w:after="0"/>
              <w:rPr>
                <w:sz w:val="24"/>
                <w:szCs w:val="24"/>
                <w:color w:val="auto"/>
              </w:rPr>
            </w:pPr>
          </w:p>
        </w:tc>
      </w:tr>
    </w:tbl>
    <w:p>
      <w:pPr>
        <w:spacing w:after="0" w:line="2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1" w:lineRule="exact"/>
        <w:rPr>
          <w:sz w:val="20"/>
          <w:szCs w:val="20"/>
          <w:color w:val="auto"/>
        </w:rPr>
      </w:pPr>
    </w:p>
    <w:p>
      <w:pPr>
        <w:ind w:right="100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x No As of January 7, 2020, 26,507,935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w:t>
      </w:r>
    </w:p>
    <w:p>
      <w:pPr>
        <w:spacing w:after="0" w:line="15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460" w:space="320"/>
            <w:col w:w="160"/>
          </w:cols>
          <w:pgMar w:left="240" w:top="584" w:right="7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APOGEE ENTERPRISES, INC. AND SUBSIDIARIES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2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rPr>
              <w:t>Page</w:t>
            </w:r>
          </w:p>
        </w:tc>
      </w:tr>
      <w:tr>
        <w:trPr>
          <w:trHeight w:val="223"/>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5"/>
          </w:tcPr>
          <w:p>
            <w:pPr>
              <w:spacing w:after="0"/>
              <w:rPr>
                <w:rFonts w:ascii="Arial" w:cs="Arial" w:eastAsia="Arial" w:hAnsi="Arial"/>
                <w:sz w:val="18"/>
                <w:szCs w:val="18"/>
                <w:b w:val="1"/>
                <w:bCs w:val="1"/>
                <w:color w:val="0000FF"/>
                <w:w w:val="92"/>
              </w:rPr>
            </w:pPr>
            <w:hyperlink w:anchor="page4">
              <w:r>
                <w:rPr>
                  <w:rFonts w:ascii="Arial" w:cs="Arial" w:eastAsia="Arial" w:hAnsi="Arial"/>
                  <w:sz w:val="18"/>
                  <w:szCs w:val="18"/>
                  <w:b w:val="1"/>
                  <w:bCs w:val="1"/>
                  <w:color w:val="0000FF"/>
                  <w:w w:val="92"/>
                </w:rPr>
                <w:t>Financial Information</w:t>
              </w:r>
            </w:hyperlink>
          </w:p>
        </w:tc>
        <w:tc>
          <w:tcPr>
            <w:tcW w:w="6180" w:type="dxa"/>
            <w:vAlign w:val="bottom"/>
            <w:gridSpan w:val="11"/>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tcBorders>
              <w:top w:val="single" w:sz="8" w:color="0000FF"/>
            </w:tcBorders>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5420" w:type="dxa"/>
            <w:vAlign w:val="bottom"/>
            <w:gridSpan w:val="8"/>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Results of Operations</w:t>
              </w:r>
            </w:hyperlink>
          </w:p>
        </w:tc>
        <w:tc>
          <w:tcPr>
            <w:tcW w:w="2220" w:type="dxa"/>
            <w:vAlign w:val="bottom"/>
            <w:gridSpan w:val="5"/>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Earnings</w:t>
              </w:r>
            </w:hyperlink>
          </w:p>
        </w:tc>
        <w:tc>
          <w:tcPr>
            <w:tcW w:w="4040" w:type="dxa"/>
            <w:vAlign w:val="bottom"/>
            <w:gridSpan w:val="3"/>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2220" w:type="dxa"/>
            <w:vAlign w:val="bottom"/>
            <w:gridSpan w:val="5"/>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Shareholders' Equity</w:t>
              </w:r>
            </w:hyperlink>
          </w:p>
        </w:tc>
        <w:tc>
          <w:tcPr>
            <w:tcW w:w="436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Consolidated Financial Statements</w:t>
              </w:r>
            </w:hyperlink>
          </w:p>
        </w:tc>
        <w:tc>
          <w:tcPr>
            <w:tcW w:w="2220" w:type="dxa"/>
            <w:vAlign w:val="bottom"/>
            <w:gridSpan w:val="5"/>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Management’s Discussion and Analysis of Financial Condition and Results of Operations</w:t>
              </w:r>
            </w:hyperlink>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Quantitative and Qualitative Disclosures About Market Risk</w:t>
              </w:r>
            </w:hyperlink>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Controls and Procedures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3"/>
              </w:rPr>
            </w:pPr>
            <w:hyperlink w:anchor="page24">
              <w:r>
                <w:rPr>
                  <w:rFonts w:ascii="Arial" w:cs="Arial" w:eastAsia="Arial" w:hAnsi="Arial"/>
                  <w:sz w:val="18"/>
                  <w:szCs w:val="18"/>
                  <w:b w:val="1"/>
                  <w:bCs w:val="1"/>
                  <w:color w:val="0000FF"/>
                  <w:w w:val="93"/>
                </w:rPr>
                <w:t>Other Information</w:t>
              </w:r>
            </w:hyperlink>
          </w:p>
        </w:tc>
        <w:tc>
          <w:tcPr>
            <w:tcW w:w="320" w:type="dxa"/>
            <w:vAlign w:val="bottom"/>
            <w:tcBorders>
              <w:top w:val="single" w:sz="8" w:color="0000FF"/>
            </w:tcBorders>
            <w:gridSpan w:val="2"/>
          </w:tcPr>
          <w:p>
            <w:pPr>
              <w:spacing w:after="0"/>
              <w:rPr>
                <w:sz w:val="24"/>
                <w:szCs w:val="24"/>
                <w:color w:val="auto"/>
              </w:rPr>
            </w:pPr>
          </w:p>
        </w:tc>
        <w:tc>
          <w:tcPr>
            <w:tcW w:w="612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Legal Proceedings</w:t>
              </w:r>
            </w:hyperlink>
          </w:p>
        </w:tc>
        <w:tc>
          <w:tcPr>
            <w:tcW w:w="2220" w:type="dxa"/>
            <w:vAlign w:val="bottom"/>
            <w:gridSpan w:val="5"/>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25">
              <w:r>
                <w:rPr>
                  <w:rFonts w:ascii="Arial" w:cs="Arial" w:eastAsia="Arial" w:hAnsi="Arial"/>
                  <w:sz w:val="18"/>
                  <w:szCs w:val="18"/>
                  <w:color w:val="0000FF"/>
                  <w:w w:val="87"/>
                </w:rPr>
                <w:t>Risk Factors</w:t>
              </w:r>
            </w:hyperlink>
          </w:p>
        </w:tc>
        <w:tc>
          <w:tcPr>
            <w:tcW w:w="420" w:type="dxa"/>
            <w:vAlign w:val="bottom"/>
          </w:tcPr>
          <w:p>
            <w:pPr>
              <w:spacing w:after="0"/>
              <w:rPr>
                <w:sz w:val="24"/>
                <w:szCs w:val="24"/>
                <w:color w:val="auto"/>
              </w:rPr>
            </w:pPr>
          </w:p>
        </w:tc>
        <w:tc>
          <w:tcPr>
            <w:tcW w:w="6560" w:type="dxa"/>
            <w:vAlign w:val="bottom"/>
            <w:gridSpan w:val="13"/>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14"/>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Unregistered Sales of Equity Securities and Use of Proceeds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40" w:type="dxa"/>
            <w:vAlign w:val="bottom"/>
            <w:gridSpan w:val="13"/>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Exhibits</w:t>
              </w:r>
            </w:hyperlink>
          </w:p>
        </w:tc>
        <w:tc>
          <w:tcPr>
            <w:tcW w:w="3740" w:type="dxa"/>
            <w:vAlign w:val="bottom"/>
            <w:gridSpan w:val="13"/>
          </w:tcPr>
          <w:p>
            <w:pPr>
              <w:spacing w:after="0"/>
              <w:rPr>
                <w:sz w:val="24"/>
                <w:szCs w:val="24"/>
                <w:color w:val="auto"/>
              </w:rPr>
            </w:pPr>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r>
      <w:tr>
        <w:trPr>
          <w:trHeight w:val="480"/>
        </w:trPr>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15"/>
          </w:tcPr>
          <w:p>
            <w:pPr>
              <w:ind w:left="4360"/>
              <w:spacing w:after="0"/>
              <w:rPr>
                <w:sz w:val="20"/>
                <w:szCs w:val="20"/>
                <w:color w:val="auto"/>
              </w:rPr>
            </w:pPr>
            <w:r>
              <w:rPr>
                <w:rFonts w:ascii="Arial" w:cs="Arial" w:eastAsia="Arial" w:hAnsi="Arial"/>
                <w:sz w:val="18"/>
                <w:szCs w:val="18"/>
                <w:color w:val="auto"/>
              </w:rPr>
              <w:t>3</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840" w:type="dxa"/>
            <w:vAlign w:val="bottom"/>
            <w:gridSpan w:val="2"/>
          </w:tcPr>
          <w:p>
            <w:pPr>
              <w:ind w:left="290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7580" w:type="dxa"/>
            <w:vAlign w:val="bottom"/>
            <w:gridSpan w:val="3"/>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CONSOLIDATED BALANCE SHEETS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2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8120" w:type="dxa"/>
            <w:vAlign w:val="bottom"/>
            <w:gridSpan w:val="4"/>
          </w:tcPr>
          <w:p>
            <w:pPr>
              <w:ind w:left="40"/>
              <w:spacing w:after="0"/>
              <w:rPr>
                <w:sz w:val="20"/>
                <w:szCs w:val="20"/>
                <w:color w:val="auto"/>
              </w:rPr>
            </w:pPr>
            <w:r>
              <w:rPr>
                <w:rFonts w:ascii="Arial" w:cs="Arial" w:eastAsia="Arial" w:hAnsi="Arial"/>
                <w:sz w:val="14"/>
                <w:szCs w:val="14"/>
                <w:i w:val="1"/>
                <w:iCs w:val="1"/>
                <w:color w:val="auto"/>
              </w:rPr>
              <w:t>In thousands, except stock data</w:t>
            </w: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30, 2019</w:t>
            </w:r>
          </w:p>
        </w:tc>
        <w:tc>
          <w:tcPr>
            <w:tcW w:w="240" w:type="dxa"/>
            <w:vAlign w:val="bottom"/>
          </w:tcPr>
          <w:p>
            <w:pPr>
              <w:spacing w:after="0"/>
              <w:rPr>
                <w:sz w:val="24"/>
                <w:szCs w:val="24"/>
                <w:color w:val="auto"/>
              </w:rPr>
            </w:pPr>
          </w:p>
        </w:tc>
        <w:tc>
          <w:tcPr>
            <w:tcW w:w="1360" w:type="dxa"/>
            <w:vAlign w:val="bottom"/>
          </w:tcPr>
          <w:p>
            <w:pPr>
              <w:jc w:val="right"/>
              <w:ind w:right="271"/>
              <w:spacing w:after="0"/>
              <w:rPr>
                <w:sz w:val="20"/>
                <w:szCs w:val="20"/>
                <w:color w:val="auto"/>
              </w:rPr>
            </w:pPr>
            <w:r>
              <w:rPr>
                <w:rFonts w:ascii="Arial" w:cs="Arial" w:eastAsia="Arial" w:hAnsi="Arial"/>
                <w:sz w:val="14"/>
                <w:szCs w:val="14"/>
                <w:b w:val="1"/>
                <w:bCs w:val="1"/>
                <w:color w:val="auto"/>
              </w:rPr>
              <w:t>March 2, 2019</w:t>
            </w:r>
          </w:p>
        </w:tc>
        <w:tc>
          <w:tcPr>
            <w:tcW w:w="0" w:type="dxa"/>
            <w:vAlign w:val="bottom"/>
          </w:tcPr>
          <w:p>
            <w:pPr>
              <w:spacing w:after="0"/>
              <w:rPr>
                <w:sz w:val="1"/>
                <w:szCs w:val="1"/>
                <w:color w:val="auto"/>
              </w:rPr>
            </w:pPr>
          </w:p>
        </w:tc>
      </w:tr>
      <w:tr>
        <w:trPr>
          <w:trHeight w:val="250"/>
        </w:trPr>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Assets</w:t>
            </w: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6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17,087</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12,154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Receivables, net of allowance for doubtful accounts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192,767</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75,791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78,344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55,095</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40,335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16,451</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396,916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371,898</w:t>
            </w:r>
          </w:p>
        </w:tc>
        <w:tc>
          <w:tcPr>
            <w:tcW w:w="0" w:type="dxa"/>
            <w:vAlign w:val="bottom"/>
          </w:tcPr>
          <w:p>
            <w:pPr>
              <w:spacing w:after="0"/>
              <w:rPr>
                <w:sz w:val="1"/>
                <w:szCs w:val="1"/>
                <w:color w:val="auto"/>
              </w:rPr>
            </w:pPr>
          </w:p>
        </w:tc>
      </w:tr>
      <w:tr>
        <w:trPr>
          <w:trHeight w:val="237"/>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326,418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315,823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185,776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185,832</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148,235</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41,587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46,380</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1,149,791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1,068,168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gridSpan w:val="2"/>
          </w:tcPr>
          <w:p>
            <w:pPr>
              <w:spacing w:after="0"/>
              <w:rPr>
                <w:sz w:val="4"/>
                <w:szCs w:val="4"/>
                <w:color w:val="auto"/>
              </w:rPr>
            </w:pPr>
          </w:p>
        </w:tc>
        <w:tc>
          <w:tcPr>
            <w:tcW w:w="6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66,557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72,219</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Accrued payroll and related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41,119</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26,366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21,478</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Current portion of debt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155,400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92,696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580" w:type="dxa"/>
            <w:vAlign w:val="bottom"/>
            <w:gridSpan w:val="3"/>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399,542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227,512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245,724</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48,509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Non-current self-insurance reserves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21,433</w:t>
            </w: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65,645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77,182</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 (Note 8)</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92"/>
              </w:rPr>
              <w:t>Common stock of $0.33-1/3 par value; authorized 50,000,000 shares; issued and outstanding 26,552,935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and 27,015,127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153,188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151,842</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367,597</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Common stock held in trust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Deferred compensation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8120" w:type="dxa"/>
            <w:vAlign w:val="bottom"/>
            <w:gridSpan w:val="4"/>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(32,127)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514,979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496,317</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580" w:type="dxa"/>
            <w:vAlign w:val="bottom"/>
            <w:gridSpan w:val="3"/>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1,149,791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1,068,168</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0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November 30,</w:t>
            </w:r>
          </w:p>
        </w:tc>
        <w:tc>
          <w:tcPr>
            <w:tcW w:w="120" w:type="dxa"/>
            <w:vAlign w:val="bottom"/>
          </w:tcPr>
          <w:p>
            <w:pPr>
              <w:spacing w:after="0"/>
              <w:rPr>
                <w:sz w:val="13"/>
                <w:szCs w:val="13"/>
                <w:color w:val="auto"/>
              </w:rPr>
            </w:pPr>
          </w:p>
        </w:tc>
        <w:tc>
          <w:tcPr>
            <w:tcW w:w="12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1"/>
              </w:rPr>
              <w:t>December 1, 2018</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November 30,</w:t>
            </w:r>
          </w:p>
        </w:tc>
        <w:tc>
          <w:tcPr>
            <w:tcW w:w="200" w:type="dxa"/>
            <w:vAlign w:val="bottom"/>
          </w:tcPr>
          <w:p>
            <w:pPr>
              <w:spacing w:after="0"/>
              <w:rPr>
                <w:sz w:val="13"/>
                <w:szCs w:val="13"/>
                <w:color w:val="auto"/>
              </w:rPr>
            </w:pPr>
          </w:p>
        </w:tc>
        <w:tc>
          <w:tcPr>
            <w:tcW w:w="116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w w:val="98"/>
              </w:rPr>
              <w:t>December 1,</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337,916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357,718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1,050,340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1,056,382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263,606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273,628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808,856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807,096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241,484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249,286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52,716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52,682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169,274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167,224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82,062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and other expense, net</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6,577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6,254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75,808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4,596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6,730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15,677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18,030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57,778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Earnings per share -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Weighted average basic shares outstanding</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26,432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27,836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26,481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28,030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28,156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28,304</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9"/>
              </w:rPr>
              <w:t>November 30, 2019</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December 1, 2018</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November 30,</w:t>
            </w:r>
          </w:p>
        </w:tc>
        <w:tc>
          <w:tcPr>
            <w:tcW w:w="200" w:type="dxa"/>
            <w:vAlign w:val="bottom"/>
          </w:tcPr>
          <w:p>
            <w:pPr>
              <w:spacing w:after="0"/>
              <w:rPr>
                <w:sz w:val="13"/>
                <w:szCs w:val="13"/>
                <w:color w:val="auto"/>
              </w:rPr>
            </w:pPr>
          </w:p>
        </w:tc>
        <w:tc>
          <w:tcPr>
            <w:tcW w:w="11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w w:val="98"/>
              </w:rPr>
              <w:t>December 1,</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49,956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57,778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earnings:</w:t>
            </w: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Unrealized (loss) gain on marketable securities, net of ($11), ($16),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$38 and ($25) of tax (benefit) expense, respectively</w:t>
            </w: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5620" w:type="dxa"/>
            <w:vAlign w:val="bottom"/>
            <w:gridSpan w:val="2"/>
          </w:tcPr>
          <w:p>
            <w:pPr>
              <w:ind w:left="380"/>
              <w:spacing w:after="0"/>
              <w:rPr>
                <w:sz w:val="20"/>
                <w:szCs w:val="20"/>
                <w:color w:val="auto"/>
              </w:rPr>
            </w:pPr>
            <w:r>
              <w:rPr>
                <w:rFonts w:ascii="Arial" w:cs="Arial" w:eastAsia="Arial" w:hAnsi="Arial"/>
                <w:sz w:val="18"/>
                <w:szCs w:val="18"/>
                <w:color w:val="auto"/>
                <w:w w:val="99"/>
              </w:rPr>
              <w:t>Unrealized gain (loss) on derivative instruments, net of $119, $10,</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540"/>
              <w:spacing w:after="0"/>
              <w:rPr>
                <w:sz w:val="20"/>
                <w:szCs w:val="20"/>
                <w:color w:val="auto"/>
              </w:rPr>
            </w:pPr>
            <w:r>
              <w:rPr>
                <w:rFonts w:ascii="Arial" w:cs="Arial" w:eastAsia="Arial" w:hAnsi="Arial"/>
                <w:sz w:val="18"/>
                <w:szCs w:val="18"/>
                <w:color w:val="auto"/>
              </w:rPr>
              <w:t>$146 and ($99) of tax expense (benefit), respectively</w:t>
            </w:r>
          </w:p>
        </w:tc>
        <w:tc>
          <w:tcPr>
            <w:tcW w:w="44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earnings</w:t>
            </w: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comprehensive earnings</w:t>
            </w: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18,244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49,991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49,843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4"/>
              </w:rPr>
              <w:t>November 30, 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4"/>
              </w:rPr>
              <w:t>December 1, 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49,956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57,778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34,681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38,378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4,724</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10,088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10,600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on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Proceeds from New Markets Tax Credit transaction, net of deferred costs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8,850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lease expense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9,291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4,398</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(54,569)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(20,072)</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4,901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14,558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Refundable and 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70,644</w:t>
            </w:r>
          </w:p>
        </w:tc>
      </w:tr>
      <w:tr>
        <w:trPr>
          <w:trHeight w:val="22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41"/>
        </w:trPr>
        <w:tc>
          <w:tcPr>
            <w:tcW w:w="8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Proceeds from sales of property, plant and equipment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12,332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Sales/maturities of marketable securities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5,813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8"/>
                <w:szCs w:val="18"/>
                <w:color w:val="auto"/>
              </w:rPr>
              <w:t>Net cash used by investing activities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(26,937)</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Borrowings on line of credit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108,000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294,500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issuance of 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Payments on line of credit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(252,500)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(278,000)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Repurchase and retirement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(13,180)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8"/>
                <w:szCs w:val="18"/>
                <w:color w:val="auto"/>
              </w:rPr>
              <w:t>Net cash used by financing activities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(21,171)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22,536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Effect of exchange rates on cash</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41,397</w:t>
            </w: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Activity</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Capital expenditures in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5,771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4"/>
                <w:szCs w:val="14"/>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b w:val="1"/>
                <w:bCs w:val="1"/>
                <w:color w:val="auto"/>
                <w:w w:val="88"/>
              </w:rPr>
              <w:t>Accumulated Other</w:t>
            </w: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Additional Paid-In</w:t>
            </w:r>
          </w:p>
        </w:tc>
        <w:tc>
          <w:tcPr>
            <w:tcW w:w="20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Comprehensive (Loss)</w:t>
            </w:r>
          </w:p>
        </w:tc>
      </w:tr>
      <w:tr>
        <w:trPr>
          <w:trHeight w:val="18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5"/>
              </w:rPr>
              <w:t>Common Stock</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8"/>
              </w:rPr>
              <w:t>Held in Trust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6"/>
              </w:rPr>
              <w:t>Obligation</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Income</w:t>
            </w:r>
          </w:p>
        </w:tc>
      </w:tr>
      <w:tr>
        <w:trPr>
          <w:trHeight w:val="25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2, 2019</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27,015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9,005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151,842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367,597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(755)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755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(32,127)</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15,443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Unrealized gain on marketable securities,</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of $47 tax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181</w:t>
            </w:r>
          </w:p>
        </w:tc>
      </w:tr>
      <w:tr>
        <w:trPr>
          <w:trHeight w:val="1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Unrealized gain on foreign currency</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hedge, net of $2 tax expense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5</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8"/>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Share repurchases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(3,051)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(16,782)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57"/>
        </w:trPr>
        <w:tc>
          <w:tcPr>
            <w:tcW w:w="25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1, 2019</w:t>
            </w:r>
          </w:p>
        </w:tc>
        <w:tc>
          <w:tcPr>
            <w:tcW w:w="1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26,530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8,843</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150,240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360,394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(767)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767</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(34,501)</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19,279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Unrealized gain on marketable securities,</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of $2 tax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w:t>
            </w:r>
          </w:p>
        </w:tc>
      </w:tr>
      <w:tr>
        <w:trPr>
          <w:trHeight w:val="1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Unrealized gain on foreign currency</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hedge, net of $25 tax expense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84</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8"/>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2,465</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1"/>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50"/>
        </w:trPr>
        <w:tc>
          <w:tcPr>
            <w:tcW w:w="254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 August 31, 2019</w:t>
            </w: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26,554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8,851</w:t>
            </w:r>
          </w:p>
        </w:tc>
        <w:tc>
          <w:tcPr>
            <w:tcW w:w="120" w:type="dxa"/>
            <w:vAlign w:val="bottom"/>
          </w:tcPr>
          <w:p>
            <w:pPr>
              <w:spacing w:after="0"/>
              <w:rPr>
                <w:sz w:val="21"/>
                <w:szCs w:val="21"/>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151,735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374,439</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(778)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778</w:t>
            </w:r>
          </w:p>
        </w:tc>
        <w:tc>
          <w:tcPr>
            <w:tcW w:w="100" w:type="dxa"/>
            <w:vAlign w:val="bottom"/>
          </w:tcPr>
          <w:p>
            <w:pPr>
              <w:spacing w:after="0"/>
              <w:rPr>
                <w:sz w:val="21"/>
                <w:szCs w:val="21"/>
                <w:color w:val="auto"/>
              </w:rPr>
            </w:pPr>
          </w:p>
        </w:tc>
        <w:tc>
          <w:tcPr>
            <w:tcW w:w="100" w:type="dxa"/>
            <w:vAlign w:val="bottom"/>
            <w:tcBorders>
              <w:top w:val="single" w:sz="8" w:color="auto"/>
            </w:tcBorders>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(31,944)</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15,234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63"/>
        </w:trPr>
        <w:tc>
          <w:tcPr>
            <w:tcW w:w="2540" w:type="dxa"/>
            <w:vAlign w:val="bottom"/>
            <w:gridSpan w:val="2"/>
          </w:tcPr>
          <w:p>
            <w:pPr>
              <w:ind w:left="40"/>
              <w:spacing w:after="0"/>
              <w:rPr>
                <w:sz w:val="20"/>
                <w:szCs w:val="20"/>
                <w:color w:val="auto"/>
              </w:rPr>
            </w:pPr>
            <w:r>
              <w:rPr>
                <w:rFonts w:ascii="Arial" w:cs="Arial" w:eastAsia="Arial" w:hAnsi="Arial"/>
                <w:sz w:val="14"/>
                <w:szCs w:val="14"/>
                <w:color w:val="auto"/>
                <w:w w:val="97"/>
              </w:rPr>
              <w:t>Unrealized loss on marketable securities,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net of $11 tax benefit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Unrealized gain on foreign currency</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hedge, net of $119 tax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387</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w w:val="98"/>
              </w:rPr>
              <w:t>Foreign currency translation adjustments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(491)</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share retirements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 November 30, 2019</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26,553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8,851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153,188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385,032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(675)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675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(32,092)</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4"/>
                <w:szCs w:val="14"/>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b w:val="1"/>
                <w:bCs w:val="1"/>
                <w:color w:val="auto"/>
                <w:w w:val="86"/>
              </w:rPr>
              <w:t>Accumulated Other</w:t>
            </w:r>
          </w:p>
        </w:tc>
      </w:t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Additional Paid-In</w:t>
            </w:r>
          </w:p>
        </w:tc>
        <w:tc>
          <w:tcPr>
            <w:tcW w:w="20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Retained</w:t>
            </w: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Comprehensive (Loss)</w:t>
            </w:r>
          </w:p>
        </w:tc>
      </w:tr>
      <w:tr>
        <w:trPr>
          <w:trHeight w:val="182"/>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5"/>
              </w:rPr>
              <w:t>Common Stock</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8"/>
              </w:rPr>
              <w:t>Held in Trust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6"/>
              </w:rPr>
              <w:t>Obligation</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Income</w:t>
            </w:r>
          </w:p>
        </w:tc>
      </w:tr>
      <w:tr>
        <w:trPr>
          <w:trHeight w:val="25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 2018</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28,158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9,386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152,763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373,259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922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(24,053)</w:t>
            </w:r>
          </w:p>
        </w:tc>
      </w:tr>
      <w:tr>
        <w:trPr>
          <w:trHeight w:val="26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Cumulative effect adjustment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2,999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Reclassification of tax effects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r>
      <w:tr>
        <w:trPr>
          <w:trHeight w:val="26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15,373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170"/>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5"/>
              </w:rPr>
              <w:t>Unrealized gain on marketable securities,</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8"/>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of $2 tax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w:t>
            </w:r>
          </w:p>
        </w:tc>
      </w:tr>
      <w:tr>
        <w:trPr>
          <w:trHeight w:val="16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Unrealized loss on foreign currency</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hedge, net of $92 tax benefit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(304)</w:t>
            </w:r>
          </w:p>
        </w:tc>
      </w:tr>
      <w:tr>
        <w:trPr>
          <w:trHeight w:val="27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7"/>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r>
      <w:tr>
        <w:trPr>
          <w:trHeight w:val="26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26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share retirements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264"/>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Cash dividends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57"/>
        </w:trPr>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2, 2018</w:t>
            </w:r>
          </w:p>
        </w:tc>
        <w:tc>
          <w:tcPr>
            <w:tcW w:w="1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28,226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9,409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154,261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386,518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831</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(25,601)</w:t>
            </w:r>
          </w:p>
        </w:tc>
      </w:tr>
      <w:tr>
        <w:trPr>
          <w:trHeight w:val="26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20,514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170"/>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6"/>
              </w:rPr>
              <w:t>Unrealized loss on marketable securities,</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8"/>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of $11 tax benefit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6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Unrealized loss on foreign currency</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hedge, net of $17 tax benefit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7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7"/>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(3,383)</w:t>
            </w:r>
          </w:p>
        </w:tc>
      </w:tr>
      <w:tr>
        <w:trPr>
          <w:trHeight w:val="26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26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Other share retirements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1"/>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250"/>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September 1, 2018</w:t>
            </w: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28,260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9,420</w:t>
            </w:r>
          </w:p>
        </w:tc>
        <w:tc>
          <w:tcPr>
            <w:tcW w:w="120" w:type="dxa"/>
            <w:vAlign w:val="bottom"/>
          </w:tcPr>
          <w:p>
            <w:pPr>
              <w:spacing w:after="0"/>
              <w:rPr>
                <w:sz w:val="21"/>
                <w:szCs w:val="21"/>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155,898</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402,619</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(842)</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842</w:t>
            </w:r>
          </w:p>
        </w:tc>
        <w:tc>
          <w:tcPr>
            <w:tcW w:w="100" w:type="dxa"/>
            <w:vAlign w:val="bottom"/>
          </w:tcPr>
          <w:p>
            <w:pPr>
              <w:spacing w:after="0"/>
              <w:rPr>
                <w:sz w:val="21"/>
                <w:szCs w:val="2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(29,081)</w:t>
            </w:r>
          </w:p>
        </w:tc>
      </w:tr>
      <w:tr>
        <w:trPr>
          <w:trHeight w:val="27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21,891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163"/>
        </w:trPr>
        <w:tc>
          <w:tcPr>
            <w:tcW w:w="2500" w:type="dxa"/>
            <w:vAlign w:val="bottom"/>
            <w:gridSpan w:val="2"/>
          </w:tcPr>
          <w:p>
            <w:pPr>
              <w:ind w:left="20"/>
              <w:spacing w:after="0"/>
              <w:rPr>
                <w:sz w:val="20"/>
                <w:szCs w:val="20"/>
                <w:color w:val="auto"/>
              </w:rPr>
            </w:pPr>
            <w:r>
              <w:rPr>
                <w:rFonts w:ascii="Arial" w:cs="Arial" w:eastAsia="Arial" w:hAnsi="Arial"/>
                <w:sz w:val="14"/>
                <w:szCs w:val="14"/>
                <w:color w:val="auto"/>
                <w:w w:val="96"/>
              </w:rPr>
              <w:t>Unrealized loss on marketable securities,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1"/>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net of $16 tax benefit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70"/>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 on foreign currency</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8"/>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hedge, net of $10 tax 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32</w:t>
            </w:r>
          </w:p>
        </w:tc>
      </w:tr>
      <w:tr>
        <w:trPr>
          <w:trHeight w:val="263"/>
        </w:trPr>
        <w:tc>
          <w:tcPr>
            <w:tcW w:w="2500" w:type="dxa"/>
            <w:vAlign w:val="bottom"/>
            <w:gridSpan w:val="2"/>
          </w:tcPr>
          <w:p>
            <w:pPr>
              <w:ind w:left="20"/>
              <w:spacing w:after="0"/>
              <w:rPr>
                <w:sz w:val="20"/>
                <w:szCs w:val="20"/>
                <w:color w:val="auto"/>
              </w:rPr>
            </w:pPr>
            <w:r>
              <w:rPr>
                <w:rFonts w:ascii="Arial" w:cs="Arial" w:eastAsia="Arial" w:hAnsi="Arial"/>
                <w:sz w:val="14"/>
                <w:szCs w:val="14"/>
                <w:color w:val="auto"/>
                <w:w w:val="97"/>
              </w:rPr>
              <w:t>Foreign currency translation adjustments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(3,622)</w:t>
            </w:r>
          </w:p>
        </w:tc>
      </w:tr>
      <w:tr>
        <w:trPr>
          <w:trHeight w:val="27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stock, net of cancellations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26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(3,436)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26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Other share retirements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w:t>
            </w:r>
          </w:p>
        </w:tc>
      </w:tr>
      <w:tr>
        <w:trPr>
          <w:trHeight w:val="271"/>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243"/>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December 1, 2018</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27,656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9,219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154,095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400,289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745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(32,729)</w:t>
            </w: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March 2, 2019. We use the same accounting policies in preparing quarterly and annual financial statements. All adjustments necessary for a fair presentation of quarterly operating results are reflected herein and are of a normal, recurring nature. The results of operations for the nine-month period ended November 30, 2019 are not necessarily indicative of the results to be expected for the full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At the beginning of fiscal 2020, we adopted the guidance in ASC 842, </w:t>
      </w:r>
      <w:r>
        <w:rPr>
          <w:rFonts w:ascii="Arial" w:cs="Arial" w:eastAsia="Arial" w:hAnsi="Arial"/>
          <w:sz w:val="18"/>
          <w:szCs w:val="18"/>
          <w:i w:val="1"/>
          <w:iCs w:val="1"/>
          <w:color w:val="auto"/>
        </w:rPr>
        <w:t>Leases</w:t>
      </w:r>
      <w:r>
        <w:rPr>
          <w:rFonts w:ascii="Arial" w:cs="Arial" w:eastAsia="Arial" w:hAnsi="Arial"/>
          <w:sz w:val="18"/>
          <w:szCs w:val="18"/>
          <w:color w:val="auto"/>
        </w:rPr>
        <w:t>, following a modified retrospective approach and elected not to restate prior periods. Adoption of the new standard resulted in recording operating lease assets and liabilities of approximately $50 million as of March 3, 2019 and did not materially impact our consolidated net earnings and cash flows. Refer to additional information in Note 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which revises guidance for the accounting for credit losses on financial instruments within its scope. The new standard introduces an approach based on expected losses, to estimate credit losses on certain types of financial instruments and modifies the impairment model for available-for-sale debt securities. This ASU is effective for our fiscal year 2021. Entities are required to apply the standard's provisions as a cumulative-effect adjustment to retained earnings as of the beginning of the first reporting period in which the guidance is adopted. We do not expect the adoption of this ASU to have a significant impact on our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evaluated subsequent events for potential recognition and disclosure through the date of this filing and determined that there were no subsequent events that required recognition or disclosure in the consolidated financial statements.</w:t>
      </w:r>
    </w:p>
    <w:p>
      <w:pPr>
        <w:spacing w:after="0" w:line="18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Receivables and Contract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total revenue by timing of recognition (see Note 13 for disclosure of revenue by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9"/>
              </w:rPr>
              <w:t>November 30,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December 1, 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November 30,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December 1, 2018</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Recognized at shipment</w:t>
            </w: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153,093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472,695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481,565</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Recognized over time</w:t>
            </w:r>
          </w:p>
        </w:tc>
        <w:tc>
          <w:tcPr>
            <w:tcW w:w="4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184,823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199,554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577,645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574,817</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337,916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357,718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1,050,340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1,056,382</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Trade and construction accounts receivable consist of amounts billed and due from customers. The amounts due are stated at their estimated net realizable value. We maintain an allowance for doubtful accounts to provide for the estimated amount of receivables that will not be collected. This allowance is based on an assessment of customer creditworthiness, historical payment experience and the age of outstanding receivables. Retainage on construction contracts represents amounts withheld by our customers on long-term projects until the project reaches a level of completion where amounts are released.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3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November 30, 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March 2, 2019</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w:t>
            </w:r>
          </w:p>
        </w:tc>
        <w:tc>
          <w:tcPr>
            <w:tcW w:w="36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141,448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145,693</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Construction contracts</w:t>
            </w:r>
          </w:p>
        </w:tc>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23,096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19,050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retainage</w:t>
            </w:r>
          </w:p>
        </w:tc>
        <w:tc>
          <w:tcPr>
            <w:tcW w:w="3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32,396</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Total receivables</w:t>
            </w: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199,831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197,139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Net receivables</w:t>
            </w:r>
          </w:p>
        </w:tc>
        <w:tc>
          <w:tcPr>
            <w:tcW w:w="346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197,976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192,767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340" w:type="dxa"/>
            <w:vAlign w:val="bottom"/>
            <w:vMerge w:val="restart"/>
          </w:tcPr>
          <w:p>
            <w:pPr>
              <w:jc w:val="right"/>
              <w:ind w:right="16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2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November 30, 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March 2, 2019</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107,571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87,491</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28,863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24,083</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contract assets was due to timing of costs incurred in advance of billings, primarily on a legacy EFCO project. The change in contract liabilities was due to timing of project activity within our businesses that operate under long-term contracts.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contract-related disclosures</w:t>
            </w:r>
          </w:p>
        </w:tc>
        <w:tc>
          <w:tcPr>
            <w:tcW w:w="4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9"/>
              </w:rPr>
              <w:t>November 30,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December 1, 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November 30,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December 1, 2018</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recognized related to contract liabilities from prior year-end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10,398</w:t>
            </w: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Revenue recognized related to prior satisfaction of performance</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obligations</w:t>
            </w:r>
          </w:p>
        </w:tc>
        <w:tc>
          <w:tcPr>
            <w:tcW w:w="44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5,298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3,798</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have an expected duration of longer than a year, with performance obligations extending over that timeframe. Generally these contracts are in our businesses with long-term contracts which recognize revenue over time. As of November 30, 2019, the transaction price associated with unsatisfied performance obligations was approximately $896.7 million. The performance obligations are expected to be satisfied, and the corresponding revenue to be recognized, over the following estimated time periods: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November 30, 2019</w:t>
            </w: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480,803</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Within two years</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344,827</w:t>
            </w: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Beyond</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71,044</w:t>
            </w:r>
          </w:p>
        </w:tc>
      </w:tr>
      <w:tr>
        <w:trPr>
          <w:trHeight w:val="257"/>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896,674</w:t>
            </w:r>
          </w:p>
        </w:tc>
      </w:tr>
      <w:tr>
        <w:trPr>
          <w:trHeight w:val="20"/>
        </w:trPr>
        <w:tc>
          <w:tcPr>
            <w:tcW w:w="9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7920" w:firstLine="8"/>
        <w:spacing w:after="0" w:line="506" w:lineRule="auto"/>
        <w:tabs>
          <w:tab w:leader="none" w:pos="3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 Inventories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November 30, 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2, 2019</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39,746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5"/>
          </w:tcPr>
          <w:p>
            <w:pPr>
              <w:ind w:left="40"/>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21"/>
                <w:szCs w:val="21"/>
                <w:color w:val="auto"/>
              </w:rPr>
            </w:pPr>
          </w:p>
        </w:tc>
        <w:tc>
          <w:tcPr>
            <w:tcW w:w="1420" w:type="dxa"/>
            <w:vAlign w:val="bottom"/>
          </w:tcPr>
          <w:p>
            <w:pPr>
              <w:ind w:left="840"/>
              <w:spacing w:after="0"/>
              <w:rPr>
                <w:sz w:val="20"/>
                <w:szCs w:val="20"/>
                <w:color w:val="auto"/>
              </w:rPr>
            </w:pPr>
            <w:r>
              <w:rPr>
                <w:rFonts w:ascii="Arial" w:cs="Arial" w:eastAsia="Arial" w:hAnsi="Arial"/>
                <w:sz w:val="18"/>
                <w:szCs w:val="18"/>
                <w:color w:val="auto"/>
              </w:rPr>
              <w:t>19,255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16,790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140" w:type="dxa"/>
            <w:vAlign w:val="bottom"/>
            <w:gridSpan w:val="5"/>
          </w:tcPr>
          <w:p>
            <w:pPr>
              <w:ind w:left="40"/>
              <w:spacing w:after="0"/>
              <w:rPr>
                <w:sz w:val="20"/>
                <w:szCs w:val="20"/>
                <w:color w:val="auto"/>
              </w:rPr>
            </w:pPr>
            <w:r>
              <w:rPr>
                <w:rFonts w:ascii="Arial" w:cs="Arial" w:eastAsia="Arial" w:hAnsi="Arial"/>
                <w:sz w:val="18"/>
                <w:szCs w:val="18"/>
                <w:color w:val="auto"/>
              </w:rPr>
              <w:t>Total inventories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75,791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78,344</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Other current assets</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14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November 30, 2019</w:t>
            </w:r>
          </w:p>
        </w:tc>
        <w:tc>
          <w:tcPr>
            <w:tcW w:w="120" w:type="dxa"/>
            <w:vAlign w:val="bottom"/>
            <w:tcBorders>
              <w:bottom w:val="single" w:sz="8" w:color="CCEEFF"/>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2,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Prepaid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11,662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Insurance receivable</w:t>
            </w:r>
          </w:p>
        </w:tc>
        <w:tc>
          <w:tcPr>
            <w:tcW w:w="140" w:type="dxa"/>
            <w:vAlign w:val="bottom"/>
          </w:tcPr>
          <w:p>
            <w:pPr>
              <w:spacing w:after="0"/>
              <w:rPr>
                <w:sz w:val="21"/>
                <w:szCs w:val="21"/>
                <w:color w:val="auto"/>
              </w:rPr>
            </w:pPr>
          </w:p>
        </w:tc>
        <w:tc>
          <w:tcPr>
            <w:tcW w:w="1420" w:type="dxa"/>
            <w:vAlign w:val="bottom"/>
          </w:tcPr>
          <w:p>
            <w:pPr>
              <w:ind w:left="820"/>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Refundable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4,278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00" w:type="dxa"/>
            <w:vAlign w:val="bottom"/>
            <w:gridSpan w:val="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420" w:type="dxa"/>
            <w:vAlign w:val="bottom"/>
          </w:tcPr>
          <w:p>
            <w:pPr>
              <w:ind w:left="920"/>
              <w:spacing w:after="0"/>
              <w:rPr>
                <w:sz w:val="20"/>
                <w:szCs w:val="20"/>
                <w:color w:val="auto"/>
              </w:rPr>
            </w:pPr>
            <w:r>
              <w:rPr>
                <w:rFonts w:ascii="Arial" w:cs="Arial" w:eastAsia="Arial" w:hAnsi="Arial"/>
                <w:sz w:val="18"/>
                <w:szCs w:val="18"/>
                <w:color w:val="auto"/>
              </w:rPr>
              <w:t>9,395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4,769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1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other 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40,335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16,451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November 30, 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2, 2019</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12,475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Accrued project losses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47,562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37,085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other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Accrued self-insurance reserves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9,297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25,573</w:t>
            </w:r>
          </w:p>
        </w:tc>
        <w:tc>
          <w:tcPr>
            <w:tcW w:w="0" w:type="dxa"/>
            <w:vAlign w:val="bottom"/>
          </w:tcPr>
          <w:p>
            <w:pPr>
              <w:spacing w:after="0"/>
              <w:rPr>
                <w:sz w:val="1"/>
                <w:szCs w:val="1"/>
                <w:color w:val="auto"/>
              </w:rPr>
            </w:pP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other current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108,481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92,696</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non-current liabilities</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1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November 30, 2019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2, 2019</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benefit from New Market Tax Credit transactions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26,458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Retirement plan obligations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plan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10,408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30,552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32,683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77,182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Through our wholly-owned insurance subsidiary, Prism Assurance, Ltd. (Prism), we hold the following available-for-sale marketable securities, made up of municipal and corporate bonds: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14"/>
                <w:szCs w:val="14"/>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Gross Unrealized Gains</w:t>
            </w:r>
          </w:p>
        </w:tc>
        <w:tc>
          <w:tcPr>
            <w:tcW w:w="100" w:type="dxa"/>
            <w:vAlign w:val="bottom"/>
            <w:vMerge w:val="restart"/>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0"/>
              </w:rPr>
              <w:t>Gross Unrealized Losses</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39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30,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11,750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11,884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March 2, 2019</w:t>
            </w:r>
          </w:p>
        </w:tc>
        <w:tc>
          <w:tcPr>
            <w:tcW w:w="2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12,481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estimated fair values of these bonds at November 30, 2019, by contractual maturity, are shown below. Expected maturities may differ from contractual maturities, as borrowers may have the right to call or prepay obligations with or without penalty.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Estimated Fair Value</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8,581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8,710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after five years through 10 years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Due after 10 years through 15 years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beyond 15 years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11,884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 August 2019, we entered into an interest rate swap to hedge exposure to variability in cash flows from interest payments on our floating-rate revolving credit facility. As of November 30, 2019, the interest rate swap contract had a notional value of $85 million.</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periodically enter into forward purchase foreign currency cash flow hedge contracts, generally with an original maturity date of less than one year, to hedge foreign currency exchange rate risk. As of November 30, 2019, we held foreign exchange</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forward contracts with a U.S. dollar notional value of $24.7 million, with the objective of reducing the exposure to fluctuations in the Canadian dollar and the Euro.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November 30, 2019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forward/option contract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Interest rate swap contract</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2, 2019</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Foreign currency forward/option contract</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market funds and commercial paper</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and corporate bonds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interest rate swap is measured at fair value using unobservable market inputs, based off of benchmark interest rates. Forward foreign exchange contracts are measured at fair value using unobservable market inputs, such as quotations on forward foreign exchange points and foreign currency exchange rates. Derivative positions are primarily valued using standard calculations and models that use as their basis readily observable market parameters. Industry standard data providers are our primary source for forward and spot rate information for both interest and currency rates.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attributable to each reporting segment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Architectural</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Architectural Glass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Architectural</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Large-Scale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Framing Systems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Optical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143,308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180,956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Goodwill adjustments for purchase accounting</w:t>
            </w:r>
          </w:p>
        </w:tc>
        <w:tc>
          <w:tcPr>
            <w:tcW w:w="160" w:type="dxa"/>
            <w:vAlign w:val="bottom"/>
          </w:tcPr>
          <w:p>
            <w:pPr>
              <w:spacing w:after="0"/>
              <w:rPr>
                <w:sz w:val="21"/>
                <w:szCs w:val="21"/>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vMerge w:val="restart"/>
          </w:tcPr>
          <w:p>
            <w:pPr>
              <w:jc w:val="right"/>
              <w:ind w:right="13"/>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March 2, 2019</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148,446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25,709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185,832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November 30,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148,493</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25,606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185,776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other intangible assets and related accumulated amortization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Impairment</w:t>
            </w:r>
          </w:p>
        </w:tc>
        <w:tc>
          <w:tcPr>
            <w:tcW w:w="2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320" w:type="dxa"/>
            <w:vAlign w:val="bottom"/>
          </w:tcPr>
          <w:p>
            <w:pPr>
              <w:spacing w:after="0"/>
              <w:rPr>
                <w:sz w:val="12"/>
                <w:szCs w:val="12"/>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November 30, 2019</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88,652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41,033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8,685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161,271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45,442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206,692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142,779</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March 2, 2019</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41,697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213,591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148,235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on definite-lived intangible assets was $5.7 million and $10.5 million for the nine-month periods ended November 30, 2019 and December 1, 2018, respectively. Amortization expense of other identifiable intangible assets is included in selling, general and administrative expenses. At November 30, 2019, the estimated future amortization expense for definite-lived intangible assets was: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Remainder of Fiscal</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Fiscal 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Fiscal 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Fiscal 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Fiscal 2024</w:t>
            </w: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7,921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7,915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7,750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7,563</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November 30, 2019, our total debt outstanding was $251.3 million, compared to $245.8 million as of March 2, 2019. During the second quarter of fiscal 2020, we amended the borrowing capacity of our prior credit facility to $235 million with a maturity of June 2024 and we established a $150 million term loan with a maturity of June 2020. Outstanding borrowings under the revolving credit facility were $80.5 million, as of November 30, 2019, and $225.0 million, as of March 2, 2019.</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revolving credit facility and term loan contains two financial covenants that require us to stay below a maximum debt-to-EBITDA ratio and maintain a minimum ratio of interest expense-to-EBITDA. Both ratios are computed quarterly, with EBITDA calculated on a rolling four-quarter basis. At November 30, 2019, we were in compliance with both financial covenants. Additionally, at November 30, 2019, we had a total of $24.7 million of ongoing letters of credit related to industrial revenue bonds,</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construction contracts and insurance collateral that expire in fiscal years 2021 to 2032 and reduce borrowing capacity under the revolving credit facility.</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November 30, 2019, debt included $20.4 million of industrial revenue bonds that mature in fiscal years 2021 through 2043 and $0.4 million of long-term debt in Canada. The fair value of the industrial revenue bonds approximated carrying value at November 30, 2019, due to the variable interest rates on these instruments. All debt would be classified as Level 2 within the fair value hierarchy described in Note 4.</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also maintain two Canadian demand credit facilities totaling $12.0 million Canadian dollars. As of November 30, 2019 and March 2, 2019, no borrowings were outstanding under the facilities. Borrowings under these facilities are made available at the sole discretion of the lenders and are payable on demand.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were $7.3 million and $7.2 million for the nine months ended November 30, 2019 and December 1, 2018,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lease certain of the buildings and equipment used in our operations. We determine if an arrangement contains a lease at inception. Currently, all of our lease arrangements are classified as operating leases.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and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and such leases are expensed on a straight-line basis over the lease term.</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nonlease components (e.g., common-area maintenance costs) as a single lease component. Our lease agreements do not contain any material residual value guarantees or material restrictive covenants. We are not a lessor in any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21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November 30, 2019</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November 30, 2019</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10,308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lease cost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4,715</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14,137</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Other supplemental information related to leases was as follows:</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256"/>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276"/>
        </w:trPr>
        <w:tc>
          <w:tcPr>
            <w:tcW w:w="7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i w:val="1"/>
                <w:iCs w:val="1"/>
                <w:color w:val="auto"/>
              </w:rPr>
              <w:t>In thousands except weighted-average data</w:t>
            </w: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9"/>
              </w:rPr>
              <w:t>November 30, 2019</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10,335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6"/>
              <w:spacing w:after="0"/>
              <w:rPr>
                <w:sz w:val="20"/>
                <w:szCs w:val="20"/>
                <w:color w:val="auto"/>
              </w:rPr>
            </w:pPr>
            <w:r>
              <w:rPr>
                <w:rFonts w:ascii="Arial" w:cs="Arial" w:eastAsia="Arial" w:hAnsi="Arial"/>
                <w:sz w:val="18"/>
                <w:szCs w:val="18"/>
                <w:color w:val="auto"/>
              </w:rPr>
              <w:t>15,948</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5.9 years</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lease liabilities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November 30, 2019</w:t>
            </w: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Fiscal 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3,366</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Fiscal 2021</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12,880</w:t>
            </w: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11,256</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Fiscal 2023</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10,307</w:t>
            </w: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8,147</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Fiscal 2025</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6,290</w:t>
            </w: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12,357</w:t>
            </w:r>
          </w:p>
        </w:tc>
      </w:tr>
      <w:tr>
        <w:trPr>
          <w:trHeight w:val="237"/>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 lease payments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64,603</w:t>
            </w: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Amounts representing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(6,695)</w:t>
            </w:r>
          </w:p>
        </w:tc>
      </w:tr>
      <w:tr>
        <w:trPr>
          <w:trHeight w:val="257"/>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57,908</w:t>
            </w:r>
          </w:p>
        </w:tc>
      </w:tr>
      <w:tr>
        <w:trPr>
          <w:trHeight w:val="20"/>
        </w:trPr>
        <w:tc>
          <w:tcPr>
            <w:tcW w:w="9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2019, we have no additional future operating lease commitments for leases that have not yet commenced.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Aggregate annual future rental commitments under operating leases with noncancellable terms of more than one year at March 2, 2019 were reported under previous lease accounting standards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14,888</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11,787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9,669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8,772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6,735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16,806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68,657</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commitments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November 30, 2019, $833.9 million of these types of bonds were outstanding, of which $432.6 million is on our backlog. These bonds do not have stated expiration dates. We have never been required to make payments under surety or performance bonds with respect to our existing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and project-related contingencies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15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November 30, 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December 1, 2018</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22,517</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Additional accruals</w:t>
            </w: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5,996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3,437</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14,926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17,556</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 We have recorded an estimated liability related to a legacy EFCO project of $47.6 million and $42.8 million as of November 30, 2019 and March 2, 2019, respectively. This includes approximately $14.7 million recorded in the third quarter for estimated costs associated with project dispute resolution and other additional project costs. In the third quarter, upon confirmation of coverage by an insurer, we also recorded an insurance receivable of $15.0 million, included within other current assets on the consolidated balance sheets and within cost of sales on the consolidated results of operations. We received this payment subsequent to quarter-end.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November 30, 2019, we had $24.7 million of ongoing letters of credit, all of which have been issued under our committed revolving credit facility, as discussed in Note 6.</w:t>
      </w:r>
    </w:p>
    <w:p>
      <w:pPr>
        <w:sectPr>
          <w:pgSz w:w="11900" w:h="16838" w:orient="portrait"/>
          <w:cols w:equalWidth="0" w:num="1">
            <w:col w:w="11420"/>
          </w:cols>
          <w:pgMar w:left="240" w:top="125"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for raw material commitments and capital expenditures totaled $146.0 million as of November 30,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Markets Tax Credit (NMTC) transactions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entered into four separate NMTC programs to support our operational expansion, including two transactions completed in fiscal 2019. Proceeds received from investors on these transactions are included within other current and non-current liabilities on our consolidated balance sheets. The NMTC arrangements are subject to 100 percent tax recapture for a period of seven years from the date of each respective transaction. Therefore, upon the termination of each arrangement, these proceeds will be recognized in earnings in exchange for the transfer of tax credits. The direct and incremental costs incurred in structuring these arrangements have been deferred and are included in other current and non-current assets on our consolidated balance sheets. These costs will be recognized in conjunction with the recognition of the related proceeds on each arrangement. During the construction phase, we are required to hold cash dedicated to fund each capital project which is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our outstanding NMTC transactions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Inception date</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Termination date</w:t>
            </w:r>
          </w:p>
        </w:tc>
        <w:tc>
          <w:tcPr>
            <w:tcW w:w="24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Proceeds received</w:t>
            </w:r>
          </w:p>
        </w:tc>
        <w:tc>
          <w:tcPr>
            <w:tcW w:w="18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w w:val="95"/>
              </w:rPr>
              <w:t>Deferred costs</w:t>
            </w:r>
          </w:p>
        </w:tc>
        <w:tc>
          <w:tcPr>
            <w:tcW w:w="30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Net benefit</w:t>
            </w:r>
          </w:p>
        </w:tc>
      </w:tr>
      <w:tr>
        <w:trPr>
          <w:trHeight w:val="27"/>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2013</w:t>
            </w: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2020</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June 2016</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May 2023</w:t>
            </w:r>
          </w:p>
        </w:tc>
        <w:tc>
          <w:tcPr>
            <w:tcW w:w="2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2018</w:t>
            </w: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2025</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September 2018</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August 2025</w:t>
            </w:r>
          </w:p>
        </w:tc>
        <w:tc>
          <w:tcPr>
            <w:tcW w:w="2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November 5, 2018, a shareholder filed a purported securities class action against the Company and certain named executive officers. On April 26, 2019, the new lead plaintiff filed an amended complaint, alleging that, during the purported class period of May 1, 2017 to April 10, 2019, the Company and the named executive officers made materially false or misleading statements or omissions about the Company's acquisition of EFCO Corporation on June 12, 2017, and about the Company's Architectural Glass business segment, in violation of the federal securities laws. We intend to vigorously defend this matter.</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17, 2018, a different shareholder filed a derivative lawsuit, purportedly on behalf of the Company, against certain of our executive officers and directors claiming breaches of fiduciary duty, waste of corporate assets and unjust enrichment. This complaint alleges that the officers and directors allegedly made materially false or misleading statements or omissions about the Company's business, operations and prospects, particularly with respect to our Architectural Glass business segment, during the period between June 28, 2018 and September 17, 2018. This matter has been stayed, pending resolution of a motion to dismiss the foregoing matter. We intend to vigorously defend this matter.</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foregoing,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8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share-based compensation expense included in the results of operations was $4.6 million for the nine-month period ended November 30, 2019 and $4.7 million for the nine-month period ended December 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SARs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SAR activity for the current nine-month period is summarized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Stock options and SARs</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2, 2019</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100,341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Awards exercised</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and exercisable at November 30, 2019</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100,341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1.8 years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3,000,196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awards were exercised for the nine-months ended November 30, 2019. For the nine-months ended December 1, 2018, cash proceeds from the exercise of stock options were $0.2 million and the aggregate intrinsic value of securities exercised (the amount by which the stock price on the date of exercise exceeded the stock price of the award on the date of grant) was $0.6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shares and share units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Nonvested share activity for the current nine-month period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Nonvested shares and units</w:t>
            </w:r>
          </w:p>
        </w:tc>
        <w:tc>
          <w:tcPr>
            <w:tcW w:w="120" w:type="dxa"/>
            <w:vAlign w:val="bottom"/>
            <w:vMerge w:val="restart"/>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3"/>
              </w:rPr>
              <w:t>Number of Shares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March 2, 2019</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286,613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125,571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November 30, 2019</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280,851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November 30, 2019, there was $6.9 million of total unrecognized compensation cost related to nonvested share and nonvested share unit awards, which is expected to be recognized over a weighted average period of approximately 20 months. The total fair value of shares vested during the nine months ended November 30, 2019 was $5.1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sponsors two frozen defined-benefit pension plans: an unfunded Officers’ Supplemental Executive Retirement Plan and the Tubelite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Hourly Employees’ Pension Plan. Components of net periodic benefit cost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4"/>
              </w:rPr>
              <w:t>November 30, 2019</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4"/>
              </w:rPr>
              <w:t>December 1, 2018</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November 30,</w:t>
            </w:r>
          </w:p>
        </w:tc>
        <w:tc>
          <w:tcPr>
            <w:tcW w:w="240" w:type="dxa"/>
            <w:vAlign w:val="bottom"/>
          </w:tcPr>
          <w:p>
            <w:pPr>
              <w:spacing w:after="0"/>
              <w:rPr>
                <w:sz w:val="13"/>
                <w:szCs w:val="13"/>
                <w:color w:val="auto"/>
              </w:rPr>
            </w:pPr>
          </w:p>
        </w:tc>
        <w:tc>
          <w:tcPr>
            <w:tcW w:w="124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December 1,</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Expected return on assets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unrecognized net loss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2017, or state and local income tax examinations for years prior to fiscal 2013. The Company is not currently under U.S. federal examination for years subsequent to fiscal year 2016, and there is limited audit activity of the Company’s income tax returns in U.S. state jurisdictions or international jurisdictions.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liability for unrecognized tax benefits was approximately $5.2 million at November 30, 2019 and $5.1 million at March 2, 2019. Penalties and interest related to unrecognized tax benefits are recorded in income tax expense. The total liability for unrecognized tax benefits is expected to decrease by approximately $0.4 million during the next 12 months due to lapsing of statutes.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the share amounts used in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7"/>
              </w:rPr>
              <w:t>November 30, 2019</w:t>
            </w:r>
          </w:p>
        </w:tc>
        <w:tc>
          <w:tcPr>
            <w:tcW w:w="120" w:type="dxa"/>
            <w:vAlign w:val="bottom"/>
            <w:vMerge w:val="restart"/>
          </w:tcPr>
          <w:p>
            <w:pPr>
              <w:spacing w:after="0"/>
              <w:rPr>
                <w:sz w:val="13"/>
                <w:szCs w:val="13"/>
                <w:color w:val="auto"/>
              </w:rPr>
            </w:pPr>
          </w:p>
        </w:tc>
        <w:tc>
          <w:tcPr>
            <w:tcW w:w="13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December 1, 2018</w:t>
            </w:r>
          </w:p>
        </w:tc>
        <w:tc>
          <w:tcPr>
            <w:tcW w:w="140" w:type="dxa"/>
            <w:vAlign w:val="bottom"/>
            <w:vMerge w:val="restart"/>
          </w:tcPr>
          <w:p>
            <w:pPr>
              <w:spacing w:after="0"/>
              <w:rPr>
                <w:sz w:val="13"/>
                <w:szCs w:val="13"/>
                <w:color w:val="auto"/>
              </w:rPr>
            </w:pPr>
          </w:p>
        </w:tc>
        <w:tc>
          <w:tcPr>
            <w:tcW w:w="14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November 30,</w:t>
            </w:r>
          </w:p>
        </w:tc>
        <w:tc>
          <w:tcPr>
            <w:tcW w:w="13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December 1,</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Basic earnings per share – weighted average common shares outstanding</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26,432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27,836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26,481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28,030</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0"/>
              </w:rPr>
              <w:t>Weighted average effect of nonvested share grants and assumed exercise of</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stock options</w:t>
            </w: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 – weighted average common shares and</w:t>
            </w:r>
          </w:p>
        </w:tc>
        <w:tc>
          <w:tcPr>
            <w:tcW w:w="138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26,750</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28,156</w:t>
            </w:r>
          </w:p>
        </w:tc>
        <w:tc>
          <w:tcPr>
            <w:tcW w:w="14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26,776</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28,304</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potential common shares outstanding</w:t>
            </w: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8"/>
                <w:szCs w:val="18"/>
                <w:color w:val="auto"/>
                <w:w w:val="93"/>
              </w:rPr>
              <w:t>Stock awards excluded from the calculation of earnings per share because</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20" w:type="dxa"/>
            <w:vAlign w:val="bottom"/>
            <w:gridSpan w:val="2"/>
            <w:vMerge w:val="continue"/>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00"/>
              <w:spacing w:after="0"/>
              <w:rPr>
                <w:sz w:val="20"/>
                <w:szCs w:val="20"/>
                <w:color w:val="auto"/>
              </w:rPr>
            </w:pPr>
            <w:r>
              <w:rPr>
                <w:rFonts w:ascii="Arial" w:cs="Arial" w:eastAsia="Arial" w:hAnsi="Arial"/>
                <w:sz w:val="18"/>
                <w:szCs w:val="18"/>
                <w:color w:val="auto"/>
                <w:w w:val="99"/>
              </w:rPr>
              <w:t>the effect was anti-dilutive (award price greater than average market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price of the shares)</w:t>
            </w:r>
          </w:p>
        </w:tc>
        <w:tc>
          <w:tcPr>
            <w:tcW w:w="1380" w:type="dxa"/>
            <w:vAlign w:val="bottom"/>
            <w:vMerge w:val="restart"/>
          </w:tcPr>
          <w:p>
            <w:pPr>
              <w:jc w:val="right"/>
              <w:ind w:right="56"/>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360" w:type="dxa"/>
            <w:vAlign w:val="bottom"/>
            <w:vMerge w:val="restart"/>
          </w:tcPr>
          <w:p>
            <w:pPr>
              <w:jc w:val="right"/>
              <w:ind w:right="34"/>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0"/>
                <w:szCs w:val="20"/>
                <w:color w:val="auto"/>
              </w:rPr>
            </w:pPr>
          </w:p>
        </w:tc>
        <w:tc>
          <w:tcPr>
            <w:tcW w:w="1340" w:type="dxa"/>
            <w:vAlign w:val="bottom"/>
            <w:vMerge w:val="restart"/>
          </w:tcPr>
          <w:p>
            <w:pPr>
              <w:jc w:val="right"/>
              <w:ind w:right="18"/>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360" w:type="dxa"/>
            <w:vAlign w:val="bottom"/>
            <w:vMerge w:val="restart"/>
          </w:tcPr>
          <w:p>
            <w:pPr>
              <w:jc w:val="right"/>
              <w:ind w:right="16"/>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four reporting segments: Architectural Framing Systems, Architectural Glass, Architectural Services and Large-Scale Optical (LSO).</w:t>
      </w:r>
    </w:p>
    <w:p>
      <w:pPr>
        <w:spacing w:after="0" w:line="35" w:lineRule="exact"/>
        <w:rPr>
          <w:sz w:val="20"/>
          <w:szCs w:val="20"/>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Architectural Framing Systems segment designs, engineers, fabricates and finishes the aluminum frames used in customized aluminum and glass window, curtainwall, storefront and entrance systems comprising the outside skin and entrances of commercial, institutional and high-end multi-family residential buildings. The Company has aggregated six operating segments into this reporting segment based on their similar products, customers, distribution methods, production processes and economic characteristics.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Architectural Glass segment fabricates coated, high-performance glass used in customized window and wall systems comprising the outside skin of commercial, institutional and high-end multi-family residential buildings.</w:t>
      </w: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Architectural Services segment designs, engineers, fabricates and installs the walls of glass, windows and other curtainwall products making up the outside skin of commercial and institutional buildings.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LSO segment manufactures value-added glass and acrylic products primarily for framing and display applications.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November 30, 2019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1, 2018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November 30,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1"/>
              </w:rPr>
              <w:t>December 1, 2018</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Architectural Framing Systems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165,517</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181,306</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533,432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550,193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Glass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288,862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263,533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Architectural Services</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69,043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72,828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195,787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220,051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Large-Scale Optical</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64,522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Intersegment eliminations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(41,917)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337,916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357,718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1,050,340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1,056,382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Operating income (loss) from operations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Framing Systems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43,554</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Architectural Glass</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16,951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9,168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Services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21,435</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Large-Scale Optical</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6,754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15,561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15,845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37"/>
        </w:trPr>
        <w:tc>
          <w:tcPr>
            <w:tcW w:w="5960" w:type="dxa"/>
            <w:vAlign w:val="bottom"/>
            <w:gridSpan w:val="2"/>
          </w:tcPr>
          <w:p>
            <w:pPr>
              <w:ind w:left="50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21,594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31,408</w:t>
            </w:r>
          </w:p>
        </w:tc>
        <w:tc>
          <w:tcPr>
            <w:tcW w:w="1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72,210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82,062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of the Company’s Annual Report on Form 10-K for the fiscal year ended March 2, 2019.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of the Company’s Annual Report on Form 10-K for the fiscal year ended March 2, 2019.</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are a world leader in certain technologies involving the design and development of value-added glass and metal products and services for enclosing commercial buildings and framing and displays. Our four reporting segments are: Architectural Framing Systems, Architectural Glass, Architectural Services and Large-Scale Optical (LSO).</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selected financial data should be read in conjunction with the Company’s Form 10-K for the year ended March 2, 2019 and the consolidated financial statements, including the notes to consolidated financial statements, included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Third Quarter and First Nine Months of Fiscal 2020 Compared to Third Quarter and First Nine Months of Fiscal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Consolidated net sales decreased 5.5 percent, or $19.8 million, for the third quarter ended November 30, 2019, and decreased 0.6 percent, or $6.0 million, for the nine-month period, compared to the same periods in the prior year. In the quarter, the decrease in sales was driven by three of our four segments, primarily a result of lower volumes in the Architectural Framing Systems segment, due to customer-driven schedule delays, and in the Architectural Glass segment, resulting from increased foreign competition. The Architectural Services segment also contributed to the decline in sales, as a result of timing of project activity, as expected. For the nine-month period, the decrease in sales was driven by expected project timing-related declines within the Architectural Services segment and by lower volumes as a result of customer-driven schedule delays within the Architectural Framing Systems segment, partially offset by improved volume in the Architectural Glass segment.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between various components of operations, as a percentage of net sales,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542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 30, 2019</w:t>
            </w: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1, 2018</w:t>
            </w: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 30, 2019</w:t>
            </w:r>
          </w:p>
        </w:tc>
        <w:tc>
          <w:tcPr>
            <w:tcW w:w="1420" w:type="dxa"/>
            <w:vAlign w:val="bottom"/>
          </w:tcPr>
          <w:p>
            <w:pPr>
              <w:jc w:val="right"/>
              <w:ind w:right="72"/>
              <w:spacing w:after="0"/>
              <w:rPr>
                <w:sz w:val="20"/>
                <w:szCs w:val="20"/>
                <w:color w:val="auto"/>
              </w:rPr>
            </w:pPr>
            <w:r>
              <w:rPr>
                <w:rFonts w:ascii="Arial" w:cs="Arial" w:eastAsia="Arial" w:hAnsi="Arial"/>
                <w:sz w:val="14"/>
                <w:szCs w:val="14"/>
                <w:b w:val="1"/>
                <w:bCs w:val="1"/>
                <w:color w:val="auto"/>
              </w:rPr>
              <w:t>December 1, 2018</w:t>
            </w:r>
          </w:p>
        </w:tc>
        <w:tc>
          <w:tcPr>
            <w:tcW w:w="0" w:type="dxa"/>
            <w:vAlign w:val="bottom"/>
          </w:tcPr>
          <w:p>
            <w:pPr>
              <w:spacing w:after="0"/>
              <w:rPr>
                <w:sz w:val="1"/>
                <w:szCs w:val="1"/>
                <w:color w:val="auto"/>
              </w:rPr>
            </w:pPr>
          </w:p>
        </w:tc>
      </w:tr>
      <w:tr>
        <w:trPr>
          <w:trHeight w:val="250"/>
        </w:trPr>
        <w:tc>
          <w:tcPr>
            <w:tcW w:w="5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Effective tax rate</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20" w:type="dxa"/>
            <w:vAlign w:val="bottom"/>
            <w:vMerge w:val="continue"/>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jc w:val="both"/>
        <w:ind w:left="60"/>
        <w:spacing w:after="0" w:line="291" w:lineRule="auto"/>
        <w:rPr>
          <w:sz w:val="20"/>
          <w:szCs w:val="20"/>
          <w:color w:val="auto"/>
        </w:rPr>
      </w:pPr>
      <w:r>
        <w:rPr>
          <w:rFonts w:ascii="Arial" w:cs="Arial" w:eastAsia="Arial" w:hAnsi="Arial"/>
          <w:sz w:val="16"/>
          <w:szCs w:val="16"/>
          <w:color w:val="auto"/>
        </w:rPr>
        <w:t>Gross profit as a percent of sales was 22.0 percent and 23.0 percent for the three- and nine-month periods ended November 30, 2019, respectively, compared to 23.5 percent and 23.6 percent for the three- and nine-month periods ended December 1, 2018, respectively. The decrease in the current quarter was largely driven by higher manufacturing costs and operational difficulties that we are addressing in some of the businesses in the Architectural Framing Systems segment, as well as reduced operating leverage on lower volumes in the Architectural Services segment. In the nine-month period, gross profit improvements in Architectural Glass were offset by the operational difficulties in the Architectural Framing Systems segment, as well as reduced operating leverage in the Architectural Services segment. Additionally, in the current fiscal year, start-up costs related to the new manufacturing facility for the small projects initiative within the Architectural Glass segment negatively impacted margin by 40 basis points in the quarter and 20 basis points in the year-to-date period.</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121" w:lineRule="exact"/>
        <w:rPr>
          <w:sz w:val="20"/>
          <w:szCs w:val="20"/>
          <w:color w:val="auto"/>
        </w:rPr>
      </w:pPr>
    </w:p>
    <w:p>
      <w:pPr>
        <w:jc w:val="both"/>
        <w:ind w:left="60"/>
        <w:spacing w:after="0" w:line="302" w:lineRule="auto"/>
        <w:rPr>
          <w:sz w:val="20"/>
          <w:szCs w:val="20"/>
          <w:color w:val="auto"/>
        </w:rPr>
      </w:pPr>
      <w:r>
        <w:rPr>
          <w:rFonts w:ascii="Arial" w:cs="Arial" w:eastAsia="Arial" w:hAnsi="Arial"/>
          <w:sz w:val="16"/>
          <w:szCs w:val="16"/>
          <w:color w:val="auto"/>
        </w:rPr>
        <w:t>SG&amp;A expenses as a percent of sales were 15.6 percent and 16.1 percent for the three- and nine-month periods ended November 30, 2019, respectively, compared to 14.7 percent and 15.8 percent in the prior year three- and nine-month periods, respectively. In both current year periods, SG&amp;A increased as a percent of sales compared to the same period in the prior year, primarily due to costs for outside advisors and legal fees, some of which were offset by net recoveries related to acquired project matters. These matters are included within the Corporate and other category within Note 13, Segment Information.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effective tax rate in the third quarter of fiscal 2020 was 23.2 percent, compared to 23.5 percent in the same period last year, and 23.9 percent for the first nine months of fiscal 2020, compared to 23.8 percent in the prior-year period. The small changes in tax rate were driven by the mix of foreign income and the impact of state taxes for both the three- and nine-month periods of the current year, compared to the same periods of the prior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Framing Systems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November 30, 2019</w:t>
            </w:r>
          </w:p>
        </w:tc>
        <w:tc>
          <w:tcPr>
            <w:tcW w:w="100" w:type="dxa"/>
            <w:vAlign w:val="bottom"/>
          </w:tcPr>
          <w:p>
            <w:pPr>
              <w:spacing w:after="0"/>
              <w:rPr>
                <w:sz w:val="13"/>
                <w:szCs w:val="13"/>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December 1, 2018</w:t>
            </w:r>
          </w:p>
        </w:tc>
        <w:tc>
          <w:tcPr>
            <w:tcW w:w="100" w:type="dxa"/>
            <w:vAlign w:val="bottom"/>
            <w:vMerge w:val="restart"/>
          </w:tcPr>
          <w:p>
            <w:pPr>
              <w:spacing w:after="0"/>
              <w:rPr>
                <w:sz w:val="13"/>
                <w:szCs w:val="13"/>
                <w:color w:val="auto"/>
              </w:rPr>
            </w:pPr>
          </w:p>
        </w:tc>
        <w:tc>
          <w:tcPr>
            <w:tcW w:w="11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November 30, 2019</w:t>
            </w:r>
          </w:p>
        </w:tc>
        <w:tc>
          <w:tcPr>
            <w:tcW w:w="100" w:type="dxa"/>
            <w:vAlign w:val="bottom"/>
          </w:tcPr>
          <w:p>
            <w:pPr>
              <w:spacing w:after="0"/>
              <w:rPr>
                <w:sz w:val="13"/>
                <w:szCs w:val="13"/>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December 1, 2018</w:t>
            </w:r>
          </w:p>
        </w:tc>
        <w:tc>
          <w:tcPr>
            <w:tcW w:w="100" w:type="dxa"/>
            <w:vAlign w:val="bottom"/>
            <w:vMerge w:val="restart"/>
          </w:tcPr>
          <w:p>
            <w:pPr>
              <w:spacing w:after="0"/>
              <w:rPr>
                <w:sz w:val="13"/>
                <w:szCs w:val="13"/>
                <w:color w:val="auto"/>
              </w:rPr>
            </w:pPr>
          </w:p>
        </w:tc>
        <w:tc>
          <w:tcPr>
            <w:tcW w:w="10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165,517</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181,306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533,432</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550,193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12,903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34,141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43,554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Architectural Framing Systems net sales declined $15.8 million, or 8.7 percent, and $16.8 million, or 3.0 percent, for the three- and nine-month periods ended November 30, 2019, respectively, compared to the prior-year periods. In both periods, the declines are due to lower volumes as a result of customer-driven schedule delays and operational difficulties.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60"/>
        <w:spacing w:after="0" w:line="279" w:lineRule="auto"/>
        <w:rPr>
          <w:sz w:val="20"/>
          <w:szCs w:val="20"/>
          <w:color w:val="auto"/>
        </w:rPr>
      </w:pPr>
      <w:r>
        <w:rPr>
          <w:rFonts w:ascii="Arial" w:cs="Arial" w:eastAsia="Arial" w:hAnsi="Arial"/>
          <w:sz w:val="17"/>
          <w:szCs w:val="17"/>
          <w:color w:val="auto"/>
        </w:rPr>
        <w:t>Operating margin decreased 330 and 150 basis points for the three- and nine-month periods of the current year, respectively, compared to the same periods in the prior year, reflecting the lower volumes due to customer-driven schedule delays, as well as higher manufacturing costs and operational difficulties in two of the segment's businesses, which have been identified and are being addressed. Last year's third quarter and year-to-date periods also included $0.7 million and $4.7 million, respectively, of expense for the amortization of short-lived acquired intangible assets.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November 30, 2019, segment backlog was approximately $375 million, compared to approximately $385 million last quarter.</w:t>
      </w:r>
    </w:p>
    <w:p>
      <w:pPr>
        <w:spacing w:after="0" w:line="117" w:lineRule="exact"/>
        <w:rPr>
          <w:sz w:val="20"/>
          <w:szCs w:val="20"/>
          <w:color w:val="auto"/>
        </w:rPr>
      </w:pPr>
    </w:p>
    <w:p>
      <w:pPr>
        <w:jc w:val="both"/>
        <w:ind w:left="60"/>
        <w:spacing w:after="0" w:line="297" w:lineRule="auto"/>
        <w:rPr>
          <w:sz w:val="20"/>
          <w:szCs w:val="20"/>
          <w:color w:val="auto"/>
        </w:rPr>
      </w:pPr>
      <w:r>
        <w:rPr>
          <w:rFonts w:ascii="Arial" w:cs="Arial" w:eastAsia="Arial" w:hAnsi="Arial"/>
          <w:sz w:val="16"/>
          <w:szCs w:val="16"/>
          <w:color w:val="auto"/>
        </w:rPr>
        <w:t>Backlog represents the dollar amount of signed contracts or firm orders, generally as a result of a competitive bidding process, which is expected to be recognized as revenue. Backlog is not a term defined under U.S. GAAP and is not a measure of contract profitability. Backlog should not be used as the sole indicator of future segment revenue because we have a substantial amount of projects with short lead times that book-and-bill within the same reporting period and are not included in backlog. We have strong visibility beyond backlog, as projects awarded, verbal commitments and bidding activities are monitored separately and not included in backlog. We use backlog as one of the metrics to evaluate sales trends in our long lead-time segments.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Glass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November 30, 2019</w:t>
            </w:r>
          </w:p>
        </w:tc>
        <w:tc>
          <w:tcPr>
            <w:tcW w:w="120" w:type="dxa"/>
            <w:vAlign w:val="bottom"/>
          </w:tcPr>
          <w:p>
            <w:pPr>
              <w:spacing w:after="0"/>
              <w:rPr>
                <w:sz w:val="13"/>
                <w:szCs w:val="13"/>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December 1, 2018</w:t>
            </w:r>
          </w:p>
        </w:tc>
        <w:tc>
          <w:tcPr>
            <w:tcW w:w="120" w:type="dxa"/>
            <w:vAlign w:val="bottom"/>
            <w:vMerge w:val="restart"/>
          </w:tcPr>
          <w:p>
            <w:pPr>
              <w:spacing w:after="0"/>
              <w:rPr>
                <w:sz w:val="13"/>
                <w:szCs w:val="13"/>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November 30, 2019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9"/>
              </w:rPr>
              <w:t>December 1, 2018</w:t>
            </w:r>
          </w:p>
        </w:tc>
        <w:tc>
          <w:tcPr>
            <w:tcW w:w="100" w:type="dxa"/>
            <w:vAlign w:val="bottom"/>
            <w:vMerge w:val="restart"/>
          </w:tcPr>
          <w:p>
            <w:pPr>
              <w:spacing w:after="0"/>
              <w:rPr>
                <w:sz w:val="13"/>
                <w:szCs w:val="13"/>
                <w:color w:val="auto"/>
              </w:rPr>
            </w:pPr>
          </w:p>
        </w:tc>
        <w:tc>
          <w:tcPr>
            <w:tcW w:w="960" w:type="dxa"/>
            <w:vAlign w:val="bottom"/>
          </w:tcPr>
          <w:p>
            <w:pPr>
              <w:jc w:val="right"/>
              <w:ind w:right="3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89,433</w:t>
            </w:r>
          </w:p>
        </w:tc>
        <w:tc>
          <w:tcPr>
            <w:tcW w:w="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98,524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288,862</w:t>
            </w:r>
          </w:p>
        </w:tc>
        <w:tc>
          <w:tcPr>
            <w:tcW w:w="46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263,533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4,092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5,851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16,951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9,168</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Net sales decreased $9.1 million, or 9.2 percent, and increased $25.3 million, or 9.6 percent, for the three- and nine-month periods ended November 30, 2019, respectively, compared to the same periods in the prior year. The decrease in the third quarter of fiscal 2020 compared to the third quarter of fiscal 2019 is primarily due to lower volumes as a result of increased foreign competition leveraging the strength of the U.S. dollar. For the nine-month period, the increase in sales compared to the same period last year is due to improved volume and mix on strong customer demand in the first half of our current fiscal year.</w:t>
      </w:r>
    </w:p>
    <w:p>
      <w:pPr>
        <w:spacing w:after="0" w:line="80" w:lineRule="exact"/>
        <w:rPr>
          <w:sz w:val="20"/>
          <w:szCs w:val="20"/>
          <w:color w:val="auto"/>
        </w:rPr>
      </w:pPr>
    </w:p>
    <w:p>
      <w:pPr>
        <w:jc w:val="both"/>
        <w:ind w:left="60"/>
        <w:spacing w:after="0" w:line="297" w:lineRule="auto"/>
        <w:rPr>
          <w:sz w:val="20"/>
          <w:szCs w:val="20"/>
          <w:color w:val="auto"/>
        </w:rPr>
      </w:pPr>
      <w:r>
        <w:rPr>
          <w:rFonts w:ascii="Arial" w:cs="Arial" w:eastAsia="Arial" w:hAnsi="Arial"/>
          <w:sz w:val="16"/>
          <w:szCs w:val="16"/>
          <w:color w:val="auto"/>
        </w:rPr>
        <w:t>Operating margin decreased 130 basis points for the three-month period of the current year and increased 240 basis points for the nine-month period of the current year, respectively, compared to the same periods in the prior year. The decrease in the current quarter was due to start-up costs related to the new small projects initiative, as well as decreased volumes, somewhat offset by improved factory productivity. The margin increase in the nine-month of the current year period relates to operating leverage on higher volume and improved price and mix. Start-up costs related to the small projects initiative had a negative impact on margin of approximately 160 basis points and 100 basis points for the three- and nine-month periods of the current year,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Services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November 30, 2019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December 1, 2018</w:t>
            </w:r>
          </w:p>
        </w:tc>
        <w:tc>
          <w:tcPr>
            <w:tcW w:w="100" w:type="dxa"/>
            <w:vAlign w:val="bottom"/>
            <w:vMerge w:val="restart"/>
          </w:tcPr>
          <w:p>
            <w:pPr>
              <w:spacing w:after="0"/>
              <w:rPr>
                <w:sz w:val="13"/>
                <w:szCs w:val="13"/>
                <w:color w:val="auto"/>
              </w:rPr>
            </w:pPr>
          </w:p>
        </w:tc>
        <w:tc>
          <w:tcPr>
            <w:tcW w:w="11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5"/>
              </w:rPr>
              <w:t>November 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1,</w:t>
            </w:r>
          </w:p>
        </w:tc>
        <w:tc>
          <w:tcPr>
            <w:tcW w:w="10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69,043</w:t>
            </w:r>
          </w:p>
        </w:tc>
        <w:tc>
          <w:tcPr>
            <w:tcW w:w="50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72,828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195,787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220,051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6,533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15,082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7"/>
              <w:spacing w:after="0"/>
              <w:rPr>
                <w:sz w:val="20"/>
                <w:szCs w:val="20"/>
                <w:color w:val="auto"/>
              </w:rPr>
            </w:pPr>
            <w:r>
              <w:rPr>
                <w:rFonts w:ascii="Arial" w:cs="Arial" w:eastAsia="Arial" w:hAnsi="Arial"/>
                <w:sz w:val="18"/>
                <w:szCs w:val="18"/>
                <w:color w:val="auto"/>
              </w:rPr>
              <w:t>21,435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As expected, Architectural Services net sales declined $3.8 million, or 5.2 percent, and $24.3 million, or 11.0 percent, for the three- and nine-month periods ended November 30, 2019, over the same periods in the prior year on lower volume due to timing of project activity.</w:t>
      </w:r>
    </w:p>
    <w:p>
      <w:pPr>
        <w:spacing w:after="0" w:line="62"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Operating margin decreased 240 and 200 basis points for the three- and nine-month periods of the current year, compared to the same periods in the prior year, due to reduced leverage on the lower project volume.</w:t>
      </w:r>
    </w:p>
    <w:p>
      <w:pPr>
        <w:spacing w:after="0" w:line="62"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As of November 30, 2019, segment backlog was approximately $607 million, compared to approximately $502 million last quarter. Backlog is defined within the Architectural Framing Systems discussion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Large-Scale Optical (LSO)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November 30, 2019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December 1, 2018</w:t>
            </w:r>
          </w:p>
        </w:tc>
        <w:tc>
          <w:tcPr>
            <w:tcW w:w="100" w:type="dxa"/>
            <w:vAlign w:val="bottom"/>
            <w:vMerge w:val="restart"/>
          </w:tcPr>
          <w:p>
            <w:pPr>
              <w:spacing w:after="0"/>
              <w:rPr>
                <w:sz w:val="13"/>
                <w:szCs w:val="13"/>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November 30, 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9"/>
              </w:rPr>
              <w:t>December 1, 2018</w:t>
            </w:r>
          </w:p>
        </w:tc>
        <w:tc>
          <w:tcPr>
            <w:tcW w:w="100" w:type="dxa"/>
            <w:vAlign w:val="bottom"/>
            <w:vMerge w:val="restart"/>
          </w:tcPr>
          <w:p>
            <w:pPr>
              <w:spacing w:after="0"/>
              <w:rPr>
                <w:sz w:val="13"/>
                <w:szCs w:val="13"/>
                <w:color w:val="auto"/>
              </w:rPr>
            </w:pPr>
          </w:p>
        </w:tc>
        <w:tc>
          <w:tcPr>
            <w:tcW w:w="100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24,405</w:t>
            </w:r>
          </w:p>
        </w:tc>
        <w:tc>
          <w:tcPr>
            <w:tcW w:w="50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23,377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66,449</w:t>
            </w:r>
          </w:p>
        </w:tc>
        <w:tc>
          <w:tcPr>
            <w:tcW w:w="50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64,522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6,754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15,561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15,845</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LSO net sales increased 4.4 percent and 3.0 percent for the three- and nine-month periods ended November 30, 2019, over the same periods in the prior year due to improved sales mix. Operating margin decreased 70 and 120 basis points for the three- and nine-month periods ended November 30, 2019, compared to the same periods in the prior year, driven by reduced operating leverage.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Selected cash flow data</w:t>
            </w: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November 30, 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December 1, 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53,601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70,644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(33,867)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Borrowings on line of credit</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108,000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294,500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issuance of 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Payments on line of credit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(252,500)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(278,000)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Repurchase and retirement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(23,313)</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(13,180)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was $53.6 million for the first nine months of fiscal 2020, a decrease of $17.0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prior-year period, primarily due to reduced net earnings and increased working capital requirements related to a legacy EFCO project, as well as timing of other working capital needs.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was $41.4 million for the first nine months of fiscal 2020, primarily due to capital expenditures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$41.2 million, while in the first nine months of the prior year, net cash used by investing activities was $26.9 million, primarily due to capital expenditures of $33.9 million and net purchases of marketable securities of $3.2 million, offset by $12.3 million of proceeds from sales of property, plant and equipment. We estimate fiscal 2020 capital expenditures to be approximately $55 million, as we continue to make investments to drive growth and productivity improvements.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was $30.9 million for the first nine months of fiscal 2020, compared to $21.2 million for the prior-year period, primarily due to reduced net borrowings in the current year. At November 30, 2019, we were in compliance with the financial covenants in our credit facility.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paid dividends totaling $13.8 million ($0.525 per share) in the first nine months of fiscal 2020 compared to $13.2 million ($0.4725 per share) in the comparable prior-year period. In the first nine months of fiscal 2020, we repurchased 531,997 shares under our authorized share repurchase program, all during the first quarter, for a total cost of $20.0 million. In the first nine months of fiscal 2019, we repurchased 600,000 shares under our authorized share repurchase program, for a total cost of $23.3 million, all during the third quarter. We have purchased a total of 5,799,912 shares, at a total cost of $169.3 million, since the fiscal 2004 inception of this program. We currently have remaining authority to repurchase an additional 1,450,088 shares under this program.</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Other Financing Activities. </w:t>
      </w:r>
      <w:r>
        <w:rPr>
          <w:rFonts w:ascii="Arial" w:cs="Arial" w:eastAsia="Arial" w:hAnsi="Arial"/>
          <w:sz w:val="17"/>
          <w:szCs w:val="17"/>
          <w:color w:val="auto"/>
        </w:rPr>
        <w:t>The following summarizes our significant contractual obligations that impact our liquidity as of November 30, 2019: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Payments Due by Fiscal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Remainder of</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Fiscal 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4"/>
              </w:rPr>
              <w:t>Fiscal 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w w:val="94"/>
              </w:rPr>
              <w:t>Fiscal 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2"/>
              </w:rPr>
              <w:t>Fiscal 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4"/>
              </w:rPr>
              <w:t>Fiscal 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251,255</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Operating leases (undiscounted)</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12,880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11,256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10,307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8,147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18,647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64,603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59,463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84,960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145,983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Total cash obligations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62,829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253,240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95,332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11,519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8,274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30,647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461,841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acquire the use of certain assets through operating leases, such as property, manufacturing equipment, vehicles and other equipment. Purchase obligations in the table above relate to raw material commitments and capital expenditures.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$0.7 million to our defined-benefit pension plans in fiscal 2020, which will equal or exceed our minimum funding requirements.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November 30, 2019, we had reserves of $5.2 million and $0.9 million for unrecognized tax benefits and environmental liabilities, respectively. We currently expect approximately $0.4 million of the unrecognized tax benefits to lapse during the next 12 months. We are unable to reasonably estimate in which future periods the remaining unrecognized tax benefits and environmental liabilities will ultimately be settled.</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required, in the ordinary course of business, to provide surety or performance bonds that commit payments to our customers for any non-performance. At November 30, 2019, $833.9 million of these types of bonds were outstanding, of which $432.6 million is on our backlog. These bonds do not have stated expiration dates. We have never been required to make payments under surety or performance bonds with respect to our existing businesses.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our ability to generate strong cash from operations and our borrowing capability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following statements reflect our expectations for full-year fiscal 2020 results. These statements are forward-looking, and actual results may differ materially.</w:t>
      </w:r>
    </w:p>
    <w:p>
      <w:pPr>
        <w:spacing w:after="0" w:line="1" w:lineRule="exact"/>
        <w:rPr>
          <w:sz w:val="20"/>
          <w:szCs w:val="20"/>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Revenue flat to down 1 percent over fiscal 2019.</w:t>
      </w:r>
    </w:p>
    <w:p>
      <w:pPr>
        <w:spacing w:after="0" w:line="102"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per diluted share in the range of $2.15 to 2.30.</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 of approximately $55 million.</w:t>
      </w:r>
    </w:p>
    <w:p>
      <w:pPr>
        <w:spacing w:after="0" w:line="117"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Additionally, we are implementing an integration and cost reduction plan and are identifying procurement cost savings across the Company, which are expected to generate savings largely in fiscal 2021 and beyond.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third quarter of fiscal 2020, Sotawall's principal facility, that had been leased from a company owned by an officer of Sotawall, was sold to an unrelated third party. No other significant changes have occurred with respect to related party transactions as set forth in our Annual Report on Form 10-K for the fiscal year ended March 2,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Refer to an update to our critical accounting policies included within Item 1, Notes to the Consolidated Financial Statements (Note 1). No other changes have occurred to the critical accounting policies set forth in our Annual Report on Form 10-K for the fiscal year ended March 2, 2019.</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material changes have occurred to the disclosures of quantitative and qualitative market risk set forth in our Annual Report on Form 10-K for the fiscal year ended March 2, 2019.</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jc w:val="both"/>
        <w:ind w:left="1300" w:hanging="644"/>
        <w:spacing w:after="0" w:line="253"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9"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internal controls: There was no change in the Company’s internal control over financial reporting that occurred during the fiscal quarter ended November 30, 2019, that has materially affected, or is reasonably likely to materially affect, the Company’s internal control over financial reporting.</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Murray Mayer v. Apogee Enterprises, Inc., et al</w:t>
      </w:r>
    </w:p>
    <w:p>
      <w:pPr>
        <w:sectPr>
          <w:pgSz w:w="11900" w:h="16838" w:orient="portrait"/>
          <w:cols w:equalWidth="0" w:num="1">
            <w:col w:w="11420"/>
          </w:cols>
          <w:pgMar w:left="240" w:top="125" w:right="239" w:bottom="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On November 5, 2018, Murray Mayer, individually and on behalf of all others similarly situated, filed a purported securities class action lawsuit against the Company and our Chief Executive Officer and our Chief Financial Officer in the United States District Court for the District of Minnesota. On February 26, 2019, the Court appointed as lead plaintiffs the City of Cape Coral Municipal Firefighters’ Retirement Plan and the City of Cape Coral Municipal Police Officers’ Retirement Plan. On April 26, 2019, the lead plaintiffs filed an amended complaint. The amended complaint alleges that, during the purported class period of May 1, 2017 to April 10, 2019, the Company and the named executive officers made materially false and/or misleading statements or omissions about the Company's acquisition of EFCO Corporation on June 12, 2017, and about the Company's Architectural Glass business segment in violation of Sections 10(b) and 20(a) of the Securities Exchange Act of 1934. The amended complaint seeks an unspecified amount of damages, attorney's fees and costs. We intend to vigorously defend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Justin Buley v. Apogee Enterprises, Inc. et al</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17, 2018, Justin Buley filed a derivative lawsuit, purportedly on behalf of the Company, against our Chief Executive Officer, our Chief Financial Officer and eight of the nine non-executive members of our Board of Directors, in the Fourth Judicial District of the State of Minnesota. The complaint alleges claims for breach of fiduciary duty, waste of corporate assets and unjust enrichment, due to the named executive officers and board members allegedly making materially false and/or misleading statements or omissions about the Company's business, operations, and prospects, particularly with respect to our Architectural Glass business segment, during the period between June 28, 2018 and September 17, 2018. The complaint seeks an unspecified amount of damages and equitable relief, including requiring the Company to offer our shareholders the opportunity to vote for certain amendments to our Bylaws or Articles of Incorporation purporting to improve identified corporate governance practices. This matter has been stayed pending resolution of a Motion to Dismiss in the Mayer action described above. We intend to vigorously defend this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foregoing,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or additions to our risk factors discussed in our Annual Report on Form 10-K for the fiscal year ended March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made by the Company of its own stock during the third quarter of fiscal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 the Plans or</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Shares Purchased (a)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Paid per Share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Programs (b)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2019 to September 28, 2019</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1,450,088</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September 29, 2019 to October 26, 2019</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37.65</w:t>
            </w:r>
          </w:p>
        </w:tc>
        <w:tc>
          <w:tcPr>
            <w:tcW w:w="120" w:type="dxa"/>
            <w:vAlign w:val="bottom"/>
          </w:tcPr>
          <w:p>
            <w:pPr>
              <w:spacing w:after="0"/>
              <w:rPr>
                <w:sz w:val="21"/>
                <w:szCs w:val="21"/>
                <w:color w:val="auto"/>
              </w:rPr>
            </w:pP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1,450,088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27, 2019 to November 30, 2019</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1,450,088</w:t>
            </w:r>
          </w:p>
        </w:tc>
        <w:tc>
          <w:tcPr>
            <w:tcW w:w="0" w:type="dxa"/>
            <w:vAlign w:val="bottom"/>
          </w:tcPr>
          <w:p>
            <w:pPr>
              <w:spacing w:after="0"/>
              <w:rPr>
                <w:sz w:val="1"/>
                <w:szCs w:val="1"/>
                <w:color w:val="auto"/>
              </w:rPr>
            </w:pPr>
          </w:p>
        </w:tc>
      </w:tr>
      <w:tr>
        <w:trPr>
          <w:trHeight w:val="237"/>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37.65</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1,450,088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hanging="652"/>
        <w:spacing w:after="0" w:line="250"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shares in this column represent the total number of shares that were surrendered to us by plan participants to satisfy stock-for-stock option exercises or withholding tax obligations related to share-based compensation. We did not purchase any shares pursuant to our publicly announced repurchase program during the fiscal quarter.</w:t>
      </w:r>
    </w:p>
    <w:p>
      <w:pPr>
        <w:jc w:val="both"/>
        <w:ind w:left="660" w:hanging="652"/>
        <w:spacing w:after="0" w:line="248"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and January 9, 2018; and by 2,000,000 shares, announced on October 3, 2018. The repurchase program does not have an expiration date.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Item 6.</w:t>
            </w:r>
          </w:p>
        </w:tc>
        <w:tc>
          <w:tcPr>
            <w:tcW w:w="10740" w:type="dxa"/>
            <w:vAlign w:val="bottom"/>
            <w:gridSpan w:val="8"/>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135"/>
        </w:trPr>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3"/>
        </w:trPr>
        <w:tc>
          <w:tcPr>
            <w:tcW w:w="680" w:type="dxa"/>
            <w:vAlign w:val="bottom"/>
            <w:gridSpan w:val="3"/>
            <w:shd w:val="clear" w:color="auto" w:fill="CCEEFF"/>
          </w:tcPr>
          <w:p>
            <w:pPr>
              <w:jc w:val="right"/>
              <w:ind w:right="320"/>
              <w:spacing w:after="0" w:line="202" w:lineRule="exact"/>
              <w:rPr>
                <w:rFonts w:ascii="Arial" w:cs="Arial" w:eastAsia="Arial" w:hAnsi="Arial"/>
                <w:sz w:val="18"/>
                <w:szCs w:val="18"/>
                <w:color w:val="0000FF"/>
                <w:w w:val="96"/>
              </w:rPr>
            </w:pPr>
            <w:hyperlink r:id="rId12">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10740" w:type="dxa"/>
            <w:vAlign w:val="bottom"/>
            <w:gridSpan w:val="8"/>
            <w:shd w:val="clear" w:color="auto" w:fill="CCEEFF"/>
          </w:tcPr>
          <w:p>
            <w:pPr>
              <w:ind w:left="840"/>
              <w:spacing w:after="0" w:line="202" w:lineRule="exact"/>
              <w:rPr>
                <w:rFonts w:ascii="Arial" w:cs="Arial" w:eastAsia="Arial" w:hAnsi="Arial"/>
                <w:sz w:val="18"/>
                <w:szCs w:val="18"/>
                <w:color w:val="0000FF"/>
                <w:w w:val="95"/>
              </w:rPr>
            </w:pPr>
            <w:hyperlink r:id="rId12">
              <w:r>
                <w:rPr>
                  <w:rFonts w:ascii="Arial" w:cs="Arial" w:eastAsia="Arial" w:hAnsi="Arial"/>
                  <w:sz w:val="18"/>
                  <w:szCs w:val="18"/>
                  <w:color w:val="0000FF"/>
                  <w:w w:val="95"/>
                </w:rPr>
                <w:t>Cooperation Agreement, dated November 10, 2019, by and among Apogee Enterprises, Inc. and Engaged Group. Incorporated by</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FF"/>
            </w:tcBorders>
            <w:gridSpan w:val="6"/>
            <w:shd w:val="clear" w:color="auto" w:fill="CCEEFF"/>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reference to Exhibit 10.1 to Registrant's Current Report on Form 8-K filed on November 12, 2019.</w:t>
              </w:r>
            </w:hyperlink>
          </w:p>
        </w:tc>
        <w:tc>
          <w:tcPr>
            <w:tcW w:w="40" w:type="dxa"/>
            <w:vAlign w:val="bottom"/>
            <w:tcBorders>
              <w:top w:val="single" w:sz="8" w:color="CCEEFF"/>
            </w:tcBorders>
            <w:shd w:val="clear" w:color="auto" w:fill="CCEEFF"/>
          </w:tcPr>
          <w:p>
            <w:pPr>
              <w:spacing w:after="0"/>
              <w:rPr>
                <w:sz w:val="17"/>
                <w:szCs w:val="17"/>
                <w:color w:val="auto"/>
              </w:rPr>
            </w:pPr>
          </w:p>
        </w:tc>
      </w:tr>
      <w:tr>
        <w:trPr>
          <w:trHeight w:val="264"/>
        </w:trPr>
        <w:tc>
          <w:tcPr>
            <w:tcW w:w="4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0000FF"/>
            </w:tcBorders>
            <w:shd w:val="clear" w:color="auto" w:fill="CCEEFF"/>
          </w:tcPr>
          <w:p>
            <w:pPr>
              <w:spacing w:after="0"/>
              <w:rPr>
                <w:sz w:val="22"/>
                <w:szCs w:val="22"/>
                <w:color w:val="auto"/>
              </w:rPr>
            </w:pPr>
          </w:p>
        </w:tc>
        <w:tc>
          <w:tcPr>
            <w:tcW w:w="6020" w:type="dxa"/>
            <w:vAlign w:val="bottom"/>
            <w:tcBorders>
              <w:top w:val="single" w:sz="8" w:color="0000FF"/>
            </w:tcBorders>
            <w:shd w:val="clear" w:color="auto" w:fill="CCEEFF"/>
          </w:tcPr>
          <w:p>
            <w:pPr>
              <w:spacing w:after="0"/>
              <w:rPr>
                <w:sz w:val="22"/>
                <w:szCs w:val="22"/>
                <w:color w:val="auto"/>
              </w:rPr>
            </w:pPr>
          </w:p>
        </w:tc>
        <w:tc>
          <w:tcPr>
            <w:tcW w:w="180" w:type="dxa"/>
            <w:vAlign w:val="bottom"/>
            <w:tcBorders>
              <w:top w:val="single" w:sz="8" w:color="0000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8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r>
      <w:tr>
        <w:trPr>
          <w:trHeight w:val="203"/>
        </w:trPr>
        <w:tc>
          <w:tcPr>
            <w:tcW w:w="680" w:type="dxa"/>
            <w:vAlign w:val="bottom"/>
            <w:gridSpan w:val="3"/>
          </w:tcPr>
          <w:p>
            <w:pPr>
              <w:jc w:val="right"/>
              <w:ind w:right="320"/>
              <w:spacing w:after="0" w:line="202" w:lineRule="exact"/>
              <w:rPr>
                <w:rFonts w:ascii="Arial" w:cs="Arial" w:eastAsia="Arial" w:hAnsi="Arial"/>
                <w:sz w:val="18"/>
                <w:szCs w:val="18"/>
                <w:color w:val="0000FF"/>
                <w:w w:val="96"/>
              </w:rPr>
            </w:pPr>
            <w:hyperlink r:id="rId13">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10740" w:type="dxa"/>
            <w:vAlign w:val="bottom"/>
            <w:gridSpan w:val="8"/>
          </w:tcPr>
          <w:p>
            <w:pPr>
              <w:ind w:left="840"/>
              <w:spacing w:after="0" w:line="202" w:lineRule="exact"/>
              <w:rPr>
                <w:rFonts w:ascii="Arial" w:cs="Arial" w:eastAsia="Arial" w:hAnsi="Arial"/>
                <w:sz w:val="18"/>
                <w:szCs w:val="18"/>
                <w:color w:val="0000FF"/>
                <w:w w:val="94"/>
              </w:rPr>
            </w:pPr>
            <w:hyperlink r:id="rId13">
              <w:r>
                <w:rPr>
                  <w:rFonts w:ascii="Arial" w:cs="Arial" w:eastAsia="Arial" w:hAnsi="Arial"/>
                  <w:sz w:val="18"/>
                  <w:szCs w:val="18"/>
                  <w:color w:val="0000FF"/>
                  <w:w w:val="94"/>
                </w:rPr>
                <w:t>Engaged Capital Waiver, effective October 31, 2019, by and among Apogee Enterprises, Inc. and Engaged Group. Incorporated by</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reference to Exhibit 10.1 to Registrant's Current Report on Form 8-K filed on October 31, 2019.</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60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80" w:type="dxa"/>
            <w:vAlign w:val="bottom"/>
            <w:gridSpan w:val="3"/>
            <w:shd w:val="clear" w:color="auto" w:fill="CCEEFF"/>
          </w:tcPr>
          <w:p>
            <w:pPr>
              <w:jc w:val="right"/>
              <w:ind w:right="320"/>
              <w:spacing w:after="0" w:line="202" w:lineRule="exact"/>
              <w:rPr>
                <w:rFonts w:ascii="Arial" w:cs="Arial" w:eastAsia="Arial" w:hAnsi="Arial"/>
                <w:sz w:val="18"/>
                <w:szCs w:val="18"/>
                <w:color w:val="0000FF"/>
                <w:w w:val="96"/>
              </w:rPr>
            </w:pPr>
            <w:hyperlink r:id="rId14">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10740" w:type="dxa"/>
            <w:vAlign w:val="bottom"/>
            <w:gridSpan w:val="8"/>
            <w:shd w:val="clear" w:color="auto" w:fill="CCEEFF"/>
          </w:tcPr>
          <w:p>
            <w:pPr>
              <w:ind w:left="840"/>
              <w:spacing w:after="0" w:line="202" w:lineRule="exact"/>
              <w:rPr>
                <w:rFonts w:ascii="Arial" w:cs="Arial" w:eastAsia="Arial" w:hAnsi="Arial"/>
                <w:sz w:val="18"/>
                <w:szCs w:val="18"/>
                <w:color w:val="0000FF"/>
                <w:w w:val="94"/>
              </w:rPr>
            </w:pPr>
            <w:hyperlink r:id="rId14">
              <w:r>
                <w:rPr>
                  <w:rFonts w:ascii="Arial" w:cs="Arial" w:eastAsia="Arial" w:hAnsi="Arial"/>
                  <w:sz w:val="18"/>
                  <w:szCs w:val="18"/>
                  <w:color w:val="0000FF"/>
                  <w:w w:val="94"/>
                </w:rPr>
                <w:t>Engaged Capital Waiver, effective October 10, 2019, by and among Apogee Enterprises, Inc. and Engaged Group. Incorporated by</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692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reference to Exhibit 10.1 to Registrant's Current Report on Form 8-K filed on October 11, 2019.</w:t>
              </w:r>
            </w:hyperlink>
          </w:p>
        </w:tc>
        <w:tc>
          <w:tcPr>
            <w:tcW w:w="294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680" w:type="dxa"/>
            <w:vAlign w:val="bottom"/>
            <w:gridSpan w:val="3"/>
          </w:tcPr>
          <w:p>
            <w:pPr>
              <w:jc w:val="right"/>
              <w:ind w:right="320"/>
              <w:spacing w:after="0" w:line="202" w:lineRule="exact"/>
              <w:rPr>
                <w:rFonts w:ascii="Arial" w:cs="Arial" w:eastAsia="Arial" w:hAnsi="Arial"/>
                <w:sz w:val="18"/>
                <w:szCs w:val="18"/>
                <w:color w:val="0000FF"/>
                <w:w w:val="96"/>
              </w:rPr>
            </w:pPr>
            <w:hyperlink w:anchor="page28">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10740" w:type="dxa"/>
            <w:vAlign w:val="bottom"/>
            <w:gridSpan w:val="8"/>
          </w:tcPr>
          <w:p>
            <w:pPr>
              <w:ind w:left="840"/>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Certification of Chief Executive Officer pursuant to Rule 13a-14(a) under the Securities Exchange Act of 1934.</w:t>
              </w:r>
            </w:hyperlink>
          </w:p>
        </w:tc>
      </w:tr>
      <w:tr>
        <w:trPr>
          <w:trHeight w:val="48"/>
        </w:trPr>
        <w:tc>
          <w:tcPr>
            <w:tcW w:w="4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60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80" w:type="dxa"/>
            <w:vAlign w:val="bottom"/>
            <w:gridSpan w:val="3"/>
            <w:shd w:val="clear" w:color="auto" w:fill="CCEEFF"/>
          </w:tcPr>
          <w:p>
            <w:pPr>
              <w:jc w:val="right"/>
              <w:ind w:right="320"/>
              <w:spacing w:after="0" w:line="202" w:lineRule="exact"/>
              <w:rPr>
                <w:rFonts w:ascii="Arial" w:cs="Arial" w:eastAsia="Arial" w:hAnsi="Arial"/>
                <w:sz w:val="18"/>
                <w:szCs w:val="18"/>
                <w:color w:val="0000FF"/>
                <w:w w:val="96"/>
              </w:rPr>
            </w:pPr>
            <w:hyperlink w:anchor="page29">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10740" w:type="dxa"/>
            <w:vAlign w:val="bottom"/>
            <w:gridSpan w:val="8"/>
            <w:shd w:val="clear" w:color="auto" w:fill="CCEEFF"/>
          </w:tcPr>
          <w:p>
            <w:pPr>
              <w:ind w:left="840"/>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Certification of Chief Financial Officer pursuant to Rule 13a-14(a) under the Securities Exchange Act of 1934.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60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680" w:type="dxa"/>
            <w:vAlign w:val="bottom"/>
            <w:gridSpan w:val="3"/>
          </w:tcPr>
          <w:p>
            <w:pPr>
              <w:jc w:val="right"/>
              <w:ind w:right="320"/>
              <w:spacing w:after="0" w:line="202" w:lineRule="exact"/>
              <w:rPr>
                <w:rFonts w:ascii="Arial" w:cs="Arial" w:eastAsia="Arial" w:hAnsi="Arial"/>
                <w:sz w:val="18"/>
                <w:szCs w:val="18"/>
                <w:color w:val="0000FF"/>
                <w:w w:val="96"/>
              </w:rPr>
            </w:pPr>
            <w:hyperlink w:anchor="page30">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10740" w:type="dxa"/>
            <w:vAlign w:val="bottom"/>
            <w:gridSpan w:val="8"/>
          </w:tcPr>
          <w:p>
            <w:pPr>
              <w:ind w:left="840"/>
              <w:spacing w:after="0" w:line="202" w:lineRule="exact"/>
              <w:rPr>
                <w:rFonts w:ascii="Arial" w:cs="Arial" w:eastAsia="Arial" w:hAnsi="Arial"/>
                <w:sz w:val="18"/>
                <w:szCs w:val="18"/>
                <w:color w:val="0000FF"/>
                <w:w w:val="92"/>
              </w:rPr>
            </w:pPr>
            <w:hyperlink w:anchor="page30">
              <w:r>
                <w:rPr>
                  <w:rFonts w:ascii="Arial" w:cs="Arial" w:eastAsia="Arial" w:hAnsi="Arial"/>
                  <w:sz w:val="18"/>
                  <w:szCs w:val="18"/>
                  <w:color w:val="0000FF"/>
                  <w:w w:val="92"/>
                </w:rPr>
                <w:t>Certification of Chief Executive Officer pursuant to 18 U.S.C. Section 1350, as adopted pursuant to Section 906 of the Sarbanes-Oxley</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30">
              <w:r>
                <w:rPr>
                  <w:rFonts w:ascii="Arial" w:cs="Arial" w:eastAsia="Arial" w:hAnsi="Arial"/>
                  <w:sz w:val="18"/>
                  <w:szCs w:val="18"/>
                  <w:color w:val="0000FF"/>
                </w:rPr>
                <w:t>Act of 2002.</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6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80" w:type="dxa"/>
            <w:vAlign w:val="bottom"/>
            <w:gridSpan w:val="3"/>
            <w:shd w:val="clear" w:color="auto" w:fill="CCEEFF"/>
          </w:tcPr>
          <w:p>
            <w:pPr>
              <w:jc w:val="right"/>
              <w:ind w:right="320"/>
              <w:spacing w:after="0" w:line="202" w:lineRule="exact"/>
              <w:rPr>
                <w:rFonts w:ascii="Arial" w:cs="Arial" w:eastAsia="Arial" w:hAnsi="Arial"/>
                <w:sz w:val="18"/>
                <w:szCs w:val="18"/>
                <w:color w:val="0000FF"/>
                <w:w w:val="96"/>
              </w:rPr>
            </w:pPr>
            <w:hyperlink w:anchor="page31">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hyperlink>
          </w:p>
        </w:tc>
        <w:tc>
          <w:tcPr>
            <w:tcW w:w="10740" w:type="dxa"/>
            <w:vAlign w:val="bottom"/>
            <w:gridSpan w:val="8"/>
            <w:shd w:val="clear" w:color="auto" w:fill="CCEEFF"/>
          </w:tcPr>
          <w:p>
            <w:pPr>
              <w:ind w:left="840"/>
              <w:spacing w:after="0" w:line="202" w:lineRule="exact"/>
              <w:rPr>
                <w:rFonts w:ascii="Arial" w:cs="Arial" w:eastAsia="Arial" w:hAnsi="Arial"/>
                <w:sz w:val="18"/>
                <w:szCs w:val="18"/>
                <w:color w:val="0000FF"/>
                <w:w w:val="92"/>
              </w:rPr>
            </w:pPr>
            <w:hyperlink w:anchor="page31">
              <w:r>
                <w:rPr>
                  <w:rFonts w:ascii="Arial" w:cs="Arial" w:eastAsia="Arial" w:hAnsi="Arial"/>
                  <w:sz w:val="18"/>
                  <w:szCs w:val="18"/>
                  <w:color w:val="0000FF"/>
                  <w:w w:val="92"/>
                </w:rPr>
                <w:t>Certification of Chief Financial Officer pursuant to 18 U.S.C. Section 1350, as adopted pursuant to Section 906 of the Sarbanes-Oxley</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FF"/>
            </w:tcBorders>
            <w:gridSpan w:val="6"/>
            <w:shd w:val="clear" w:color="auto" w:fill="CCEEFF"/>
          </w:tcPr>
          <w:p>
            <w:pPr>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Act of 2002.</w:t>
              </w:r>
            </w:hyperlink>
          </w:p>
        </w:tc>
        <w:tc>
          <w:tcPr>
            <w:tcW w:w="4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60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jc w:val="both"/>
        <w:ind w:left="1520" w:right="20" w:hanging="1485"/>
        <w:spacing w:after="0" w:line="272" w:lineRule="auto"/>
        <w:tabs>
          <w:tab w:leader="none" w:pos="1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following materials from Apogee Enterprises, Inc.’s Quarterly Report on Form 10-Q for the quarter ended November 30, 2019 are furnished herewith, formatted in XBRL (Extensible Business Reporting Language): (i) the Consolidated Balance Sheets as of November 30, 2019 and March 2, 2019, (ii) the Consolidated Results of Operations for the three- and nine-months ended November 30, 2019 and December 1, 2018, (iii) the Consolidated Statements of Comprehensive Earnings for the three- and nine-months ended November 30, 2019 and December 1, 2018, (iv) the Consolidated Statements of Cash Flows for the nine-months ended November 30, 2019 and December 1, 2018, (v) the Consolidated Statements of Shareholders' Equity for the three- and nine-months ended November 30, 2019 and December 1, 2018,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620" w:right="2440" w:hanging="5585"/>
        <w:spacing w:after="0" w:line="559" w:lineRule="auto"/>
        <w:tabs>
          <w:tab w:leader="none" w:pos="15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formatted as Inline Extensible Business Reporting Language and contained in Exhibit 101. 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APOGEE ENTERPRISES, INC.</w:t>
      </w:r>
    </w:p>
    <w:p>
      <w:pPr>
        <w:spacing w:after="0" w:line="387"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January 9, 2020</w:t>
      </w:r>
      <w:r>
        <w:rPr>
          <w:sz w:val="20"/>
          <w:szCs w:val="20"/>
          <w:color w:val="auto"/>
        </w:rPr>
        <w:tab/>
      </w:r>
      <w:r>
        <w:rPr>
          <w:rFonts w:ascii="Arial" w:cs="Arial" w:eastAsia="Arial" w:hAnsi="Arial"/>
          <w:sz w:val="16"/>
          <w:szCs w:val="16"/>
          <w:color w:val="auto"/>
        </w:rPr>
        <w:t>By: /s/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January 9, 2020</w:t>
      </w:r>
      <w:r>
        <w:rPr>
          <w:sz w:val="20"/>
          <w:szCs w:val="20"/>
          <w:color w:val="auto"/>
        </w:rPr>
        <w:tab/>
      </w:r>
      <w:r>
        <w:rPr>
          <w:rFonts w:ascii="Arial" w:cs="Arial" w:eastAsia="Arial" w:hAnsi="Arial"/>
          <w:sz w:val="16"/>
          <w:szCs w:val="16"/>
          <w:color w:val="auto"/>
        </w:rPr>
        <w:t>By: /s/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125"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Joseph F. Puishys, certify that:</w:t>
      </w:r>
    </w:p>
    <w:p>
      <w:pPr>
        <w:spacing w:after="0" w:line="11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2020</w:t>
      </w:r>
    </w:p>
    <w:p>
      <w:pPr>
        <w:spacing w:after="0" w:line="200" w:lineRule="exact"/>
        <w:rPr>
          <w:sz w:val="20"/>
          <w:szCs w:val="20"/>
          <w:color w:val="auto"/>
        </w:rPr>
      </w:pPr>
    </w:p>
    <w:p>
      <w:pPr>
        <w:spacing w:after="0" w:line="29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48895</wp:posOffset>
            </wp:positionV>
            <wp:extent cx="2804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1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6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S. Porter, certify that:</w:t>
      </w:r>
    </w:p>
    <w:p>
      <w:pPr>
        <w:spacing w:after="0" w:line="11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2020</w:t>
      </w:r>
    </w:p>
    <w:p>
      <w:pPr>
        <w:spacing w:after="0" w:line="36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November 30, 2019 as filed with the Securities and Exchange Commission (the “Report”), I, Joseph F. Puishys, Chief Executive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9, 2020</w:t>
      </w:r>
    </w:p>
    <w:p>
      <w:pPr>
        <w:sectPr>
          <w:pgSz w:w="11900" w:h="16838" w:orient="portrait"/>
          <w:cols w:equalWidth="0" w:num="1">
            <w:col w:w="11420"/>
          </w:cols>
          <w:pgMar w:left="240" w:top="55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November 30, 2019 as filed with the Securities and Exchange Commission (the “Report”), I, James S. Porter, Chief Financial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9, 2020</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lvl w:ilvl="1">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2" Type="http://schemas.openxmlformats.org/officeDocument/2006/relationships/hyperlink" Target="http://www.sec.gov/Archives/edgar/data/6845/000119312519289210/d832497dex101.htm" TargetMode="External"/><Relationship Id="rId13" Type="http://schemas.openxmlformats.org/officeDocument/2006/relationships/hyperlink" Target="http://www.sec.gov/Archives/edgar/data/6845/000119312519281967/d827593dex101.htm" TargetMode="External"/><Relationship Id="rId14" Type="http://schemas.openxmlformats.org/officeDocument/2006/relationships/hyperlink" Target="http://www.sec.gov/Archives/edgar/data/6845/000119312519266724/d78312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2020-01-09T13:08:42Z</dcterms:created>
  <dcterms:modified xsi:type="dcterms:W3CDTF">2020-01-09T13:08:42Z</dcterms:modified>
</cp:coreProperties>
</file>