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229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2986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Nolan Donald A</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APOGEE ENTERPRISES,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APOG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6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APOGEE ENTERPRISES, INC.</w:t>
            </w:r>
          </w:p>
        </w:tc>
        <w:tc>
          <w:tcPr>
            <w:tcW w:w="29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4400 WEST 78TH STREET, SUITE 520</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75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2"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55435</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right"/>
              <w:ind w:right="3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right"/>
              <w:ind w:right="7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7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79"/>
              <w:spacing w:after="0" w:line="130" w:lineRule="exact"/>
              <w:rPr>
                <w:sz w:val="20"/>
                <w:szCs w:val="20"/>
                <w:color w:val="auto"/>
              </w:rPr>
            </w:pPr>
            <w:r>
              <w:rPr>
                <w:rFonts w:ascii="Arial" w:cs="Arial" w:eastAsia="Arial" w:hAnsi="Arial"/>
                <w:sz w:val="12"/>
                <w:szCs w:val="12"/>
                <w:b w:val="1"/>
                <w:bCs w:val="1"/>
                <w:color w:val="auto"/>
                <w:w w:val="97"/>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79"/>
              <w:spacing w:after="0" w:line="130" w:lineRule="exact"/>
              <w:rPr>
                <w:sz w:val="20"/>
                <w:szCs w:val="20"/>
                <w:color w:val="auto"/>
              </w:rPr>
            </w:pPr>
            <w:r>
              <w:rPr>
                <w:rFonts w:ascii="Arial" w:cs="Arial" w:eastAsia="Arial" w:hAnsi="Arial"/>
                <w:sz w:val="12"/>
                <w:szCs w:val="12"/>
                <w:b w:val="1"/>
                <w:bCs w:val="1"/>
                <w:color w:val="auto"/>
                <w:w w:val="97"/>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62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2"/>
              <w:spacing w:after="0" w:line="144" w:lineRule="exact"/>
              <w:rPr>
                <w:sz w:val="20"/>
                <w:szCs w:val="20"/>
                <w:color w:val="auto"/>
              </w:rPr>
            </w:pPr>
            <w:r>
              <w:rPr>
                <w:rFonts w:ascii="Times New Roman" w:cs="Times New Roman" w:eastAsia="Times New Roman" w:hAnsi="Times New Roman"/>
                <w:sz w:val="13"/>
                <w:szCs w:val="13"/>
                <w:color w:val="0000FF"/>
              </w:rPr>
              <w:t>06/30/2026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restart"/>
          </w:tcPr>
          <w:p>
            <w:pPr>
              <w:jc w:val="right"/>
              <w:ind w:right="460"/>
              <w:spacing w:after="0" w:line="144" w:lineRule="exact"/>
              <w:rPr>
                <w:sz w:val="20"/>
                <w:szCs w:val="20"/>
                <w:color w:val="auto"/>
              </w:rPr>
            </w:pPr>
            <w:r>
              <w:rPr>
                <w:rFonts w:ascii="Times New Roman" w:cs="Times New Roman" w:eastAsia="Times New Roman" w:hAnsi="Times New Roman"/>
                <w:sz w:val="13"/>
                <w:szCs w:val="13"/>
                <w:color w:val="0000FF"/>
              </w:rPr>
              <w:t>62</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right"/>
              <w:ind w:right="159"/>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45.74</w:t>
            </w:r>
          </w:p>
        </w:tc>
        <w:tc>
          <w:tcPr>
            <w:tcW w:w="600" w:type="dxa"/>
            <w:vAlign w:val="bottom"/>
            <w:vMerge w:val="restart"/>
          </w:tcPr>
          <w:p>
            <w:pPr>
              <w:ind w:left="240"/>
              <w:spacing w:after="0" w:line="144" w:lineRule="exact"/>
              <w:rPr>
                <w:sz w:val="20"/>
                <w:szCs w:val="20"/>
                <w:color w:val="auto"/>
              </w:rPr>
            </w:pPr>
            <w:r>
              <w:rPr>
                <w:rFonts w:ascii="Times New Roman" w:cs="Times New Roman" w:eastAsia="Times New Roman" w:hAnsi="Times New Roman"/>
                <w:sz w:val="13"/>
                <w:szCs w:val="13"/>
                <w:color w:val="0000FF"/>
                <w:w w:val="94"/>
              </w:rPr>
              <w:t>10,675</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32"/>
              <w:spacing w:after="0"/>
              <w:rPr>
                <w:sz w:val="20"/>
                <w:szCs w:val="20"/>
                <w:color w:val="auto"/>
              </w:rPr>
            </w:pPr>
            <w:r>
              <w:rPr>
                <w:rFonts w:ascii="Times New Roman" w:cs="Times New Roman" w:eastAsia="Times New Roman" w:hAnsi="Times New Roman"/>
                <w:sz w:val="13"/>
                <w:szCs w:val="13"/>
                <w:color w:val="0000FF"/>
              </w:rPr>
              <w:t>06/30/2026</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restart"/>
          </w:tcPr>
          <w:p>
            <w:pPr>
              <w:ind w:left="40"/>
              <w:spacing w:after="0" w:line="273" w:lineRule="exact"/>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(4)</w:t>
            </w:r>
          </w:p>
        </w:tc>
        <w:tc>
          <w:tcPr>
            <w:tcW w:w="180" w:type="dxa"/>
            <w:vAlign w:val="bottom"/>
          </w:tcPr>
          <w:p>
            <w:pPr>
              <w:spacing w:after="0"/>
              <w:rPr>
                <w:sz w:val="12"/>
                <w:szCs w:val="12"/>
                <w:color w:val="auto"/>
              </w:rPr>
            </w:pPr>
          </w:p>
        </w:tc>
        <w:tc>
          <w:tcPr>
            <w:tcW w:w="780" w:type="dxa"/>
            <w:vAlign w:val="bottom"/>
            <w:vMerge w:val="restart"/>
          </w:tcPr>
          <w:p>
            <w:pPr>
              <w:jc w:val="right"/>
              <w:ind w:right="440"/>
              <w:spacing w:after="0"/>
              <w:rPr>
                <w:sz w:val="20"/>
                <w:szCs w:val="20"/>
                <w:color w:val="auto"/>
              </w:rPr>
            </w:pPr>
            <w:r>
              <w:rPr>
                <w:rFonts w:ascii="Times New Roman" w:cs="Times New Roman" w:eastAsia="Times New Roman" w:hAnsi="Times New Roman"/>
                <w:sz w:val="13"/>
                <w:szCs w:val="13"/>
                <w:color w:val="0000FF"/>
              </w:rPr>
              <w:t>430</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12"/>
                <w:szCs w:val="12"/>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430</w:t>
            </w:r>
          </w:p>
        </w:tc>
        <w:tc>
          <w:tcPr>
            <w:tcW w:w="40" w:type="dxa"/>
            <w:vAlign w:val="bottom"/>
          </w:tcPr>
          <w:p>
            <w:pPr>
              <w:spacing w:after="0"/>
              <w:rPr>
                <w:sz w:val="12"/>
                <w:szCs w:val="12"/>
                <w:color w:val="auto"/>
              </w:rPr>
            </w:pPr>
          </w:p>
        </w:tc>
        <w:tc>
          <w:tcPr>
            <w:tcW w:w="720" w:type="dxa"/>
            <w:vAlign w:val="bottom"/>
            <w:gridSpan w:val="2"/>
            <w:vMerge w:val="restart"/>
          </w:tcPr>
          <w:p>
            <w:pPr>
              <w:jc w:val="right"/>
              <w:ind w:right="15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45.74</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73,275</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Settled 1-for-1.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phantom stock units acquired pursuant to a dividend equivalent reinvestment feature of the Deferred Compensation Plan for Non-Employee Directors.</w:t>
      </w:r>
    </w:p>
    <w:p>
      <w:pPr>
        <w:spacing w:after="0" w:line="45" w:lineRule="exact"/>
        <w:rPr>
          <w:rFonts w:ascii="Times New Roman" w:cs="Times New Roman" w:eastAsia="Times New Roman" w:hAnsi="Times New Roman"/>
          <w:sz w:val="13"/>
          <w:szCs w:val="13"/>
          <w:color w:val="008000"/>
        </w:rPr>
      </w:pPr>
    </w:p>
    <w:p>
      <w:pPr>
        <w:ind w:left="40" w:right="4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allocated under the Deferred Compensation Plan for Non-Employee Directors. The phantom stock units will be settled in shares of common stock following the director's termination from the Board in accordance with the election of the reporting person, or following the occurrence of other events specified in the Plan.</w:t>
      </w:r>
    </w:p>
    <w:p>
      <w:pPr>
        <w:spacing w:after="0" w:line="14" w:lineRule="exact"/>
        <w:rPr>
          <w:rFonts w:ascii="Times New Roman" w:cs="Times New Roman" w:eastAsia="Times New Roman" w:hAnsi="Times New Roman"/>
          <w:sz w:val="13"/>
          <w:szCs w:val="13"/>
          <w:color w:val="008000"/>
        </w:rPr>
      </w:pPr>
    </w:p>
    <w:p>
      <w:pPr>
        <w:ind w:left="40" w:right="2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deferred restricted stock units acquired pursuant to a dividend equivalent reinvestment feature of the 2009 Non-Employee Director Stock Incentive Plan, the 2019 Non-Employee Director Stock Plan and the 2019 Stock Incentive Plan.</w:t>
      </w:r>
    </w:p>
    <w:p>
      <w:pPr>
        <w:spacing w:after="0" w:line="14" w:lineRule="exact"/>
        <w:rPr>
          <w:rFonts w:ascii="Times New Roman" w:cs="Times New Roman" w:eastAsia="Times New Roman" w:hAnsi="Times New Roman"/>
          <w:sz w:val="13"/>
          <w:szCs w:val="13"/>
          <w:color w:val="008000"/>
        </w:rPr>
      </w:pPr>
    </w:p>
    <w:p>
      <w:pPr>
        <w:ind w:left="40" w:right="16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restricted stock units were allocated under the 2009 Non-Employee Director Stock Incentive Plan, the 2019 Non-Employee Director Stock Plan and the 2019 Stock Incentive Plan. The deferred restricted stock units will be settled in shares of common stock following the director's termination from the Board in accordance with the election of the reporting person, or following the occurrence of other events specified in the Plan.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/s/Bryan A. Welp, Attorney-in- </w:t>
      </w:r>
      <w:r>
        <w:rPr>
          <w:rFonts w:ascii="Times New Roman" w:cs="Times New Roman" w:eastAsia="Times New Roman" w:hAnsi="Times New Roman"/>
          <w:sz w:val="33"/>
          <w:szCs w:val="33"/>
          <w:color w:val="0000FF"/>
          <w:vertAlign w:val="subscript"/>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Donald A.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02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236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31748" TargetMode="External"/><Relationship Id="rId14" Type="http://schemas.openxmlformats.org/officeDocument/2006/relationships/hyperlink" Target="http://www.sec.gov/cgi-bin/browse-edgar?action=getcompany&amp;CIK=00000068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2026-07-02T11:20:46Z</dcterms:created>
  <dcterms:modified xsi:type="dcterms:W3CDTF">2026-07-02T11:20:46Z</dcterms:modified>
</cp:coreProperties>
</file>