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2"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48" w:lineRule="exact"/>
        <w:rPr>
          <w:sz w:val="24"/>
          <w:szCs w:val="24"/>
          <w:color w:val="auto"/>
        </w:rPr>
      </w:pPr>
    </w:p>
    <w:p>
      <w:pPr>
        <w:ind w:left="4060" w:right="2160" w:hanging="4025"/>
        <w:spacing w:after="0" w:line="233" w:lineRule="auto"/>
        <w:tabs>
          <w:tab w:leader="none" w:pos="487"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May 30, 2020</w:t>
      </w:r>
    </w:p>
    <w:p>
      <w:pPr>
        <w:spacing w:after="0" w:line="64" w:lineRule="exact"/>
        <w:rPr>
          <w:sz w:val="24"/>
          <w:szCs w:val="24"/>
          <w:color w:val="auto"/>
        </w:rPr>
      </w:pPr>
    </w:p>
    <w:p>
      <w:pPr>
        <w:ind w:left="480" w:hanging="445"/>
        <w:spacing w:after="0"/>
        <w:tabs>
          <w:tab w:leader="none" w:pos="48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553" w:right="339" w:bottom="1440" w:gutter="0" w:footer="0" w:header="0"/>
        </w:sectPr>
      </w:pPr>
    </w:p>
    <w:p>
      <w:pPr>
        <w:spacing w:after="0" w:line="125"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6" w:lineRule="exact"/>
        <w:rPr>
          <w:sz w:val="24"/>
          <w:szCs w:val="24"/>
          <w:color w:val="auto"/>
        </w:rPr>
      </w:pPr>
    </w:p>
    <w:p>
      <w:pPr>
        <w:sectPr>
          <w:pgSz w:w="11900" w:h="16838" w:orient="portrait"/>
          <w:cols w:equalWidth="0" w:num="2">
            <w:col w:w="6080" w:space="520"/>
            <w:col w:w="4640"/>
          </w:cols>
          <w:pgMar w:left="320" w:top="553"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0-6365</w:t>
      </w:r>
    </w:p>
    <w:p>
      <w:pPr>
        <w:spacing w:after="0" w:line="5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APOGEE ENTERPRISES,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ectPr>
          <w:pgSz w:w="11900" w:h="16838" w:orient="portrait"/>
          <w:cols w:equalWidth="0" w:num="1">
            <w:col w:w="11240"/>
          </w:cols>
          <w:pgMar w:left="320" w:top="553" w:right="339" w:bottom="1440" w:gutter="0" w:footer="0" w:header="0"/>
          <w:type w:val="continuous"/>
        </w:sectPr>
      </w:pPr>
    </w:p>
    <w:p>
      <w:pPr>
        <w:spacing w:after="0" w:line="148" w:lineRule="exact"/>
        <w:rPr>
          <w:sz w:val="24"/>
          <w:szCs w:val="24"/>
          <w:color w:val="auto"/>
        </w:rPr>
      </w:pPr>
    </w:p>
    <w:p>
      <w:pPr>
        <w:ind w:left="1880"/>
        <w:spacing w:after="0"/>
        <w:rPr>
          <w:sz w:val="20"/>
          <w:szCs w:val="20"/>
          <w:color w:val="auto"/>
        </w:rPr>
      </w:pPr>
      <w:r>
        <w:rPr>
          <w:rFonts w:ascii="Arial" w:cs="Arial" w:eastAsia="Arial" w:hAnsi="Arial"/>
          <w:sz w:val="15"/>
          <w:szCs w:val="15"/>
          <w:b w:val="1"/>
          <w:bCs w:val="1"/>
          <w:color w:val="auto"/>
        </w:rPr>
        <w:t>Minnesota</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41-0919654</w:t>
      </w:r>
    </w:p>
    <w:p>
      <w:pPr>
        <w:spacing w:after="0" w:line="168" w:lineRule="exact"/>
        <w:rPr>
          <w:sz w:val="24"/>
          <w:szCs w:val="24"/>
          <w:color w:val="auto"/>
        </w:rPr>
      </w:pPr>
    </w:p>
    <w:p>
      <w:pPr>
        <w:sectPr>
          <w:pgSz w:w="11900" w:h="16838" w:orient="portrait"/>
          <w:cols w:equalWidth="0" w:num="2">
            <w:col w:w="8140" w:space="720"/>
            <w:col w:w="2380"/>
          </w:cols>
          <w:pgMar w:left="320" w:top="553"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1" w:lineRule="exact"/>
        <w:rPr>
          <w:sz w:val="24"/>
          <w:szCs w:val="24"/>
          <w:color w:val="auto"/>
        </w:rPr>
      </w:pPr>
    </w:p>
    <w:p>
      <w:pPr>
        <w:sectPr>
          <w:pgSz w:w="11900" w:h="16838" w:orient="portrait"/>
          <w:cols w:equalWidth="0" w:num="2">
            <w:col w:w="7520" w:space="720"/>
            <w:col w:w="3000"/>
          </w:cols>
          <w:pgMar w:left="320" w:top="553" w:right="3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4400 West 78th Street, Suite 520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Minneapolis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55435</w:t>
      </w:r>
    </w:p>
    <w:p>
      <w:pPr>
        <w:spacing w:after="0" w:line="87" w:lineRule="exact"/>
        <w:rPr>
          <w:sz w:val="24"/>
          <w:szCs w:val="24"/>
          <w:color w:val="auto"/>
        </w:rPr>
      </w:pPr>
    </w:p>
    <w:p>
      <w:pPr>
        <w:sectPr>
          <w:pgSz w:w="11900" w:h="16838" w:orient="portrait"/>
          <w:cols w:equalWidth="0" w:num="4">
            <w:col w:w="4000" w:space="720"/>
            <w:col w:w="900" w:space="520"/>
            <w:col w:w="2200" w:space="720"/>
            <w:col w:w="2180"/>
          </w:cols>
          <w:pgMar w:left="320" w:top="553" w:right="339" w:bottom="1440" w:gutter="0" w:footer="0" w:header="0"/>
          <w:type w:val="continuous"/>
        </w:sectPr>
      </w:pPr>
    </w:p>
    <w:p>
      <w:pPr>
        <w:ind w:left="11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44" w:lineRule="exact"/>
        <w:rPr>
          <w:sz w:val="24"/>
          <w:szCs w:val="24"/>
          <w:color w:val="auto"/>
        </w:rPr>
      </w:pPr>
    </w:p>
    <w:p>
      <w:pPr>
        <w:sectPr>
          <w:pgSz w:w="11900" w:h="16838" w:orient="portrait"/>
          <w:cols w:equalWidth="0" w:num="2">
            <w:col w:w="8240" w:space="720"/>
            <w:col w:w="2280"/>
          </w:cols>
          <w:pgMar w:left="320" w:top="553"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(952) 835-1874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7"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553" w:right="339" w:bottom="1440" w:gutter="0" w:footer="0" w:header="0"/>
          <w:type w:val="continuous"/>
        </w:sectPr>
      </w:pPr>
    </w:p>
    <w:p>
      <w:pPr>
        <w:spacing w:after="0" w:line="248"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140" w:space="720"/>
            <w:col w:w="1800" w:space="720"/>
            <w:col w:w="3860"/>
          </w:cols>
          <w:pgMar w:left="320" w:top="553" w:right="3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Common stock, par value $0.33 1/3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40" w:lineRule="exact"/>
        <w:rPr>
          <w:sz w:val="24"/>
          <w:szCs w:val="24"/>
          <w:color w:val="auto"/>
        </w:rPr>
      </w:pPr>
    </w:p>
    <w:p>
      <w:pPr>
        <w:sectPr>
          <w:pgSz w:w="11900" w:h="16838" w:orient="portrait"/>
          <w:cols w:equalWidth="0" w:num="3">
            <w:col w:w="4620" w:space="720"/>
            <w:col w:w="1820" w:space="720"/>
            <w:col w:w="3360"/>
          </w:cols>
          <w:pgMar w:left="320" w:top="553"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3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53" w:right="3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500"/>
              <w:spacing w:after="0"/>
              <w:rPr>
                <w:sz w:val="20"/>
                <w:szCs w:val="20"/>
                <w:color w:val="auto"/>
              </w:rPr>
            </w:pPr>
            <w:r>
              <w:rPr>
                <w:rFonts w:ascii="Arial" w:cs="Arial" w:eastAsia="Arial" w:hAnsi="Arial"/>
                <w:sz w:val="18"/>
                <w:szCs w:val="18"/>
                <w:color w:val="auto"/>
              </w:rPr>
              <w:t>x</w:t>
            </w:r>
          </w:p>
        </w:tc>
        <w:tc>
          <w:tcPr>
            <w:tcW w:w="4240" w:type="dxa"/>
            <w:vAlign w:val="bottom"/>
          </w:tcPr>
          <w:p>
            <w:pPr>
              <w:ind w:left="2260"/>
              <w:spacing w:after="0"/>
              <w:rPr>
                <w:sz w:val="20"/>
                <w:szCs w:val="20"/>
                <w:color w:val="auto"/>
              </w:rPr>
            </w:pPr>
            <w:r>
              <w:rPr>
                <w:rFonts w:ascii="Arial" w:cs="Arial" w:eastAsia="Arial" w:hAnsi="Arial"/>
                <w:sz w:val="18"/>
                <w:szCs w:val="18"/>
                <w:color w:val="auto"/>
              </w:rPr>
              <w:t>Accelerated filer</w:t>
            </w:r>
          </w:p>
        </w:tc>
      </w:tr>
      <w:tr>
        <w:trPr>
          <w:trHeight w:val="391"/>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500"/>
              <w:spacing w:after="0"/>
              <w:rPr>
                <w:sz w:val="20"/>
                <w:szCs w:val="20"/>
                <w:color w:val="auto"/>
              </w:rPr>
            </w:pPr>
            <w:r>
              <w:rPr>
                <w:rFonts w:ascii="Arial" w:cs="Arial" w:eastAsia="Arial" w:hAnsi="Arial"/>
                <w:sz w:val="18"/>
                <w:szCs w:val="18"/>
                <w:color w:val="auto"/>
              </w:rPr>
              <w:t>o</w:t>
            </w:r>
          </w:p>
        </w:tc>
        <w:tc>
          <w:tcPr>
            <w:tcW w:w="4240" w:type="dxa"/>
            <w:vAlign w:val="bottom"/>
          </w:tcPr>
          <w:p>
            <w:pPr>
              <w:ind w:left="2260"/>
              <w:spacing w:after="0"/>
              <w:rPr>
                <w:sz w:val="20"/>
                <w:szCs w:val="20"/>
                <w:color w:val="auto"/>
              </w:rPr>
            </w:pPr>
            <w:r>
              <w:rPr>
                <w:rFonts w:ascii="Arial" w:cs="Arial" w:eastAsia="Arial" w:hAnsi="Arial"/>
                <w:sz w:val="18"/>
                <w:szCs w:val="18"/>
                <w:color w:val="auto"/>
                <w:w w:val="91"/>
              </w:rPr>
              <w:t>Smaller reporting company</w:t>
            </w:r>
          </w:p>
        </w:tc>
      </w:tr>
      <w:tr>
        <w:trPr>
          <w:trHeight w:val="412"/>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240" w:type="dxa"/>
            <w:vAlign w:val="bottom"/>
          </w:tcPr>
          <w:p>
            <w:pPr>
              <w:spacing w:after="0"/>
              <w:rPr>
                <w:sz w:val="24"/>
                <w:szCs w:val="24"/>
                <w:color w:val="auto"/>
              </w:rPr>
            </w:pPr>
          </w:p>
        </w:tc>
      </w:tr>
    </w:tbl>
    <w:p>
      <w:pPr>
        <w:spacing w:after="0" w:line="2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0"/>
          <w:szCs w:val="20"/>
          <w:color w:val="auto"/>
        </w:rPr>
      </w:pPr>
    </w:p>
    <w:p>
      <w:pPr>
        <w:ind w:right="64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x No As of July 7, 2020, 26,356,670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w:t>
      </w:r>
    </w:p>
    <w:p>
      <w:pPr>
        <w:spacing w:after="0" w:line="15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520"/>
            <w:col w:w="160"/>
          </w:cols>
          <w:pgMar w:left="320" w:top="584" w:right="8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Page</w:t>
            </w:r>
          </w:p>
        </w:tc>
      </w:tr>
      <w:tr>
        <w:trPr>
          <w:trHeight w:val="263"/>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040" w:type="dxa"/>
            <w:vAlign w:val="bottom"/>
          </w:tcPr>
          <w:p>
            <w:pPr>
              <w:ind w:left="24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Financial Information</w:t>
              </w:r>
            </w:hyperlink>
          </w:p>
        </w:tc>
        <w:tc>
          <w:tcPr>
            <w:tcW w:w="13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 (Unaudited):</w:t>
              </w:r>
            </w:hyperlink>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2"/>
        </w:trPr>
        <w:tc>
          <w:tcPr>
            <w:tcW w:w="1000" w:type="dxa"/>
            <w:vAlign w:val="bottom"/>
          </w:tcPr>
          <w:p>
            <w:pPr>
              <w:spacing w:after="0"/>
              <w:rPr>
                <w:sz w:val="24"/>
                <w:szCs w:val="24"/>
                <w:color w:val="auto"/>
              </w:rPr>
            </w:pPr>
          </w:p>
        </w:tc>
        <w:tc>
          <w:tcPr>
            <w:tcW w:w="8040" w:type="dxa"/>
            <w:vAlign w:val="bottom"/>
          </w:tcPr>
          <w:p>
            <w:pPr>
              <w:ind w:left="2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392"/>
        </w:trPr>
        <w:tc>
          <w:tcPr>
            <w:tcW w:w="1000" w:type="dxa"/>
            <w:vAlign w:val="bottom"/>
          </w:tcPr>
          <w:p>
            <w:pPr>
              <w:spacing w:after="0"/>
              <w:rPr>
                <w:sz w:val="24"/>
                <w:szCs w:val="24"/>
                <w:color w:val="auto"/>
              </w:rPr>
            </w:pPr>
          </w:p>
        </w:tc>
        <w:tc>
          <w:tcPr>
            <w:tcW w:w="8040" w:type="dxa"/>
            <w:vAlign w:val="bottom"/>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Results of Operations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392"/>
        </w:trPr>
        <w:tc>
          <w:tcPr>
            <w:tcW w:w="1000" w:type="dxa"/>
            <w:vAlign w:val="bottom"/>
          </w:tcPr>
          <w:p>
            <w:pPr>
              <w:spacing w:after="0"/>
              <w:rPr>
                <w:sz w:val="24"/>
                <w:szCs w:val="24"/>
                <w:color w:val="auto"/>
              </w:rPr>
            </w:pPr>
          </w:p>
        </w:tc>
        <w:tc>
          <w:tcPr>
            <w:tcW w:w="8040" w:type="dxa"/>
            <w:vAlign w:val="bottom"/>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Comprehensive Earnings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391"/>
        </w:trPr>
        <w:tc>
          <w:tcPr>
            <w:tcW w:w="1000" w:type="dxa"/>
            <w:vAlign w:val="bottom"/>
          </w:tcPr>
          <w:p>
            <w:pPr>
              <w:spacing w:after="0"/>
              <w:rPr>
                <w:sz w:val="24"/>
                <w:szCs w:val="24"/>
                <w:color w:val="auto"/>
              </w:rPr>
            </w:pPr>
          </w:p>
        </w:tc>
        <w:tc>
          <w:tcPr>
            <w:tcW w:w="8040" w:type="dxa"/>
            <w:vAlign w:val="bottom"/>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392"/>
        </w:trPr>
        <w:tc>
          <w:tcPr>
            <w:tcW w:w="1000" w:type="dxa"/>
            <w:vAlign w:val="bottom"/>
          </w:tcPr>
          <w:p>
            <w:pPr>
              <w:spacing w:after="0"/>
              <w:rPr>
                <w:sz w:val="24"/>
                <w:szCs w:val="24"/>
                <w:color w:val="auto"/>
              </w:rPr>
            </w:pPr>
          </w:p>
        </w:tc>
        <w:tc>
          <w:tcPr>
            <w:tcW w:w="8040" w:type="dxa"/>
            <w:vAlign w:val="bottom"/>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Shareholders' Equity</w:t>
              </w:r>
            </w:hyperlink>
          </w:p>
        </w:tc>
        <w:tc>
          <w:tcPr>
            <w:tcW w:w="2140" w:type="dxa"/>
            <w:vAlign w:val="bottom"/>
            <w:gridSpan w:val="3"/>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392"/>
        </w:trPr>
        <w:tc>
          <w:tcPr>
            <w:tcW w:w="1000" w:type="dxa"/>
            <w:vAlign w:val="bottom"/>
          </w:tcPr>
          <w:p>
            <w:pPr>
              <w:spacing w:after="0"/>
              <w:rPr>
                <w:sz w:val="24"/>
                <w:szCs w:val="24"/>
                <w:color w:val="auto"/>
              </w:rPr>
            </w:pPr>
          </w:p>
        </w:tc>
        <w:tc>
          <w:tcPr>
            <w:tcW w:w="8040" w:type="dxa"/>
            <w:vAlign w:val="bottom"/>
          </w:tcPr>
          <w:p>
            <w:pPr>
              <w:ind w:left="24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Consolidated Financial Statements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24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19</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2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Quantitative and Qualitative Disclosures About Market Risk</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2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Controls and Procedures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040" w:type="dxa"/>
            <w:vAlign w:val="bottom"/>
          </w:tcPr>
          <w:p>
            <w:pPr>
              <w:ind w:left="240"/>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Other Information</w:t>
              </w:r>
            </w:hyperlink>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2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Legal Proceedings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2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Risk Factors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24</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2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Unregistered Sales of Equity Securities and Use of Proceeds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2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Exhibits</w:t>
              </w:r>
            </w:hyperlink>
          </w:p>
        </w:tc>
        <w:tc>
          <w:tcPr>
            <w:tcW w:w="2140" w:type="dxa"/>
            <w:vAlign w:val="bottom"/>
            <w:gridSpan w:val="3"/>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tc>
      </w:tr>
      <w:tr>
        <w:trPr>
          <w:trHeight w:val="391"/>
        </w:trPr>
        <w:tc>
          <w:tcPr>
            <w:tcW w:w="100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Signatures</w:t>
              </w:r>
            </w:hyperlink>
          </w:p>
        </w:tc>
        <w:tc>
          <w:tcPr>
            <w:tcW w:w="8040" w:type="dxa"/>
            <w:vAlign w:val="bottom"/>
          </w:tcPr>
          <w:p>
            <w:pPr>
              <w:spacing w:after="0"/>
              <w:rPr>
                <w:sz w:val="24"/>
                <w:szCs w:val="24"/>
                <w:color w:val="auto"/>
              </w:rPr>
            </w:pPr>
          </w:p>
        </w:tc>
        <w:tc>
          <w:tcPr>
            <w:tcW w:w="2140" w:type="dxa"/>
            <w:vAlign w:val="bottom"/>
            <w:gridSpan w:val="3"/>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27</w:t>
              </w:r>
            </w:hyperlink>
          </w:p>
        </w:tc>
      </w:tr>
      <w:tr>
        <w:trPr>
          <w:trHeight w:val="459"/>
        </w:trPr>
        <w:tc>
          <w:tcPr>
            <w:tcW w:w="1000" w:type="dxa"/>
            <w:vAlign w:val="bottom"/>
          </w:tcPr>
          <w:p>
            <w:pPr>
              <w:spacing w:after="0"/>
              <w:rPr>
                <w:sz w:val="24"/>
                <w:szCs w:val="24"/>
                <w:color w:val="auto"/>
              </w:rPr>
            </w:pPr>
          </w:p>
        </w:tc>
        <w:tc>
          <w:tcPr>
            <w:tcW w:w="8040" w:type="dxa"/>
            <w:vAlign w:val="bottom"/>
          </w:tcPr>
          <w:p>
            <w:pPr>
              <w:ind w:left="4540"/>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7000" w:type="dxa"/>
            <w:vAlign w:val="bottom"/>
            <w:gridSpan w:val="2"/>
          </w:tcPr>
          <w:p>
            <w:pPr>
              <w:ind w:left="356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700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8"/>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754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9"/>
        </w:trPr>
        <w:tc>
          <w:tcPr>
            <w:tcW w:w="75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 except stock data)</w:t>
            </w:r>
          </w:p>
        </w:tc>
        <w:tc>
          <w:tcPr>
            <w:tcW w:w="28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30, 2020</w:t>
            </w:r>
          </w:p>
        </w:tc>
        <w:tc>
          <w:tcPr>
            <w:tcW w:w="200" w:type="dxa"/>
            <w:vAlign w:val="bottom"/>
          </w:tcPr>
          <w:p>
            <w:pPr>
              <w:spacing w:after="0"/>
              <w:rPr>
                <w:sz w:val="24"/>
                <w:szCs w:val="24"/>
                <w:color w:val="auto"/>
              </w:rPr>
            </w:pPr>
          </w:p>
        </w:tc>
        <w:tc>
          <w:tcPr>
            <w:tcW w:w="1600" w:type="dxa"/>
            <w:vAlign w:val="bottom"/>
          </w:tcPr>
          <w:p>
            <w:pPr>
              <w:jc w:val="right"/>
              <w:ind w:right="170"/>
              <w:spacing w:after="0"/>
              <w:rPr>
                <w:sz w:val="20"/>
                <w:szCs w:val="20"/>
                <w:color w:val="auto"/>
              </w:rPr>
            </w:pPr>
            <w:r>
              <w:rPr>
                <w:rFonts w:ascii="Arial" w:cs="Arial" w:eastAsia="Arial" w:hAnsi="Arial"/>
                <w:sz w:val="16"/>
                <w:szCs w:val="16"/>
                <w:b w:val="1"/>
                <w:bCs w:val="1"/>
                <w:color w:val="auto"/>
                <w:w w:val="97"/>
              </w:rPr>
              <w:t>February 29, 2020</w:t>
            </w:r>
          </w:p>
        </w:tc>
      </w:tr>
      <w:tr>
        <w:trPr>
          <w:trHeight w:val="249"/>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1"/>
              </w:rPr>
              <w:t>Assets</w:t>
            </w:r>
          </w:p>
        </w:tc>
        <w:tc>
          <w:tcPr>
            <w:tcW w:w="6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14,952</w:t>
            </w:r>
          </w:p>
        </w:tc>
      </w:tr>
      <w:tr>
        <w:trPr>
          <w:trHeight w:val="243"/>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Receivables, net of allowance for doubtful accounts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156,304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196,806</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71,089</w:t>
            </w:r>
          </w:p>
        </w:tc>
      </w:tr>
      <w:tr>
        <w:trPr>
          <w:trHeight w:val="243"/>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65,980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73,582</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25,481</w:t>
            </w:r>
          </w:p>
        </w:tc>
      </w:tr>
      <w:tr>
        <w:trPr>
          <w:trHeight w:val="237"/>
        </w:trPr>
        <w:tc>
          <w:tcPr>
            <w:tcW w:w="5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330,693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381,910</w:t>
            </w:r>
          </w:p>
        </w:tc>
      </w:tr>
      <w:tr>
        <w:trPr>
          <w:trHeight w:val="27"/>
        </w:trPr>
        <w:tc>
          <w:tcPr>
            <w:tcW w:w="74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324,386</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49,911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52,892</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185,516</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136,071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140,191</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44,096</w:t>
            </w:r>
          </w:p>
        </w:tc>
      </w:tr>
      <w:tr>
        <w:trPr>
          <w:trHeight w:val="237"/>
        </w:trPr>
        <w:tc>
          <w:tcPr>
            <w:tcW w:w="5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1,071,624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1,128,991</w:t>
            </w:r>
          </w:p>
        </w:tc>
      </w:tr>
      <w:tr>
        <w:trPr>
          <w:trHeight w:val="67"/>
        </w:trPr>
        <w:tc>
          <w:tcPr>
            <w:tcW w:w="7440" w:type="dxa"/>
            <w:vAlign w:val="bottom"/>
            <w:tcBorders>
              <w:bottom w:val="single" w:sz="8" w:color="CCEEFF"/>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30"/>
        </w:trPr>
        <w:tc>
          <w:tcPr>
            <w:tcW w:w="754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69,056</w:t>
            </w:r>
          </w:p>
        </w:tc>
      </w:tr>
      <w:tr>
        <w:trPr>
          <w:trHeight w:val="243"/>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Accrued payroll and related benefits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25,630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40,119</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32,696</w:t>
            </w:r>
          </w:p>
        </w:tc>
      </w:tr>
      <w:tr>
        <w:trPr>
          <w:trHeight w:val="243"/>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11,272</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r>
      <w:tr>
        <w:trPr>
          <w:trHeight w:val="243"/>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110,348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118,314</w:t>
            </w:r>
          </w:p>
        </w:tc>
      </w:tr>
      <w:tr>
        <w:trPr>
          <w:trHeight w:val="27"/>
        </w:trPr>
        <w:tc>
          <w:tcPr>
            <w:tcW w:w="54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54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379,530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276,857</w:t>
            </w:r>
          </w:p>
        </w:tc>
      </w:tr>
      <w:tr>
        <w:trPr>
          <w:trHeight w:val="237"/>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212,500</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43,163</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Non-current self-insurance reserves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22,831</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56,862</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contingent liabilities (Note 8)</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9"/>
        </w:trPr>
        <w:tc>
          <w:tcPr>
            <w:tcW w:w="7540" w:type="dxa"/>
            <w:vAlign w:val="bottom"/>
            <w:gridSpan w:val="3"/>
          </w:tcPr>
          <w:p>
            <w:pPr>
              <w:ind w:left="380"/>
              <w:spacing w:after="0"/>
              <w:rPr>
                <w:sz w:val="20"/>
                <w:szCs w:val="20"/>
                <w:color w:val="auto"/>
              </w:rPr>
            </w:pPr>
            <w:r>
              <w:rPr>
                <w:rFonts w:ascii="Arial" w:cs="Arial" w:eastAsia="Arial" w:hAnsi="Arial"/>
                <w:sz w:val="18"/>
                <w:szCs w:val="18"/>
                <w:color w:val="auto"/>
                <w:w w:val="96"/>
              </w:rPr>
              <w:t>Common stock of $0.33-1/3 par value; authorized 50,000,000 shares; issued and outstanding</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26,368,864 and 26,443,166 respectively</w:t>
            </w:r>
          </w:p>
        </w:tc>
        <w:tc>
          <w:tcPr>
            <w:tcW w:w="2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8,814</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154,016</w:t>
            </w:r>
          </w:p>
        </w:tc>
      </w:tr>
      <w:tr>
        <w:trPr>
          <w:trHeight w:val="243"/>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382,225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388,010</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Common stock held in trust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43"/>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Deferred compensation obligations</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685</w:t>
            </w:r>
          </w:p>
        </w:tc>
      </w:tr>
      <w:tr>
        <w:trPr>
          <w:trHeight w:val="27"/>
        </w:trPr>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(34,062)</w:t>
            </w:r>
          </w:p>
        </w:tc>
      </w:tr>
      <w:tr>
        <w:trPr>
          <w:trHeight w:val="236"/>
        </w:trPr>
        <w:tc>
          <w:tcPr>
            <w:tcW w:w="5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504,144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516,778</w:t>
            </w:r>
          </w:p>
        </w:tc>
      </w:tr>
      <w:tr>
        <w:trPr>
          <w:trHeight w:val="27"/>
        </w:trPr>
        <w:tc>
          <w:tcPr>
            <w:tcW w:w="54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1,071,624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1,128,991</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37465</wp:posOffset>
            </wp:positionV>
            <wp:extent cx="2348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June 1, 2019</w:t>
            </w:r>
          </w:p>
        </w:tc>
        <w:tc>
          <w:tcPr>
            <w:tcW w:w="0" w:type="dxa"/>
            <w:vAlign w:val="bottom"/>
          </w:tcPr>
          <w:p>
            <w:pPr>
              <w:spacing w:after="0"/>
              <w:rPr>
                <w:sz w:val="1"/>
                <w:szCs w:val="1"/>
                <w:color w:val="auto"/>
              </w:rPr>
            </w:pP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355,365</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228,844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274,398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80,967</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53,782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57,926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23,041</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26,168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26,597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26,418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26,843</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60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EARNINGS </w:t>
      </w:r>
      <w:r>
        <w:rPr>
          <w:rFonts w:ascii="Arial" w:cs="Arial" w:eastAsia="Arial" w:hAnsi="Arial"/>
          <w:sz w:val="18"/>
          <w:szCs w:val="18"/>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gridSpan w:val="4"/>
          </w:tcPr>
          <w:p>
            <w:pPr>
              <w:jc w:val="right"/>
              <w:ind w:right="101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5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June 1, 2019</w:t>
            </w: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15,443</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earnings: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Unrealized gain on marketable securities, net of $26 and $47 of tax expense,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29"/>
        </w:trPr>
        <w:tc>
          <w:tcPr>
            <w:tcW w:w="7540" w:type="dxa"/>
            <w:vAlign w:val="bottom"/>
            <w:gridSpan w:val="2"/>
          </w:tcPr>
          <w:p>
            <w:pPr>
              <w:ind w:left="380"/>
              <w:spacing w:after="0"/>
              <w:rPr>
                <w:sz w:val="20"/>
                <w:szCs w:val="20"/>
                <w:color w:val="auto"/>
              </w:rPr>
            </w:pPr>
            <w:r>
              <w:rPr>
                <w:rFonts w:ascii="Arial" w:cs="Arial" w:eastAsia="Arial" w:hAnsi="Arial"/>
                <w:sz w:val="18"/>
                <w:szCs w:val="18"/>
                <w:color w:val="auto"/>
                <w:w w:val="95"/>
              </w:rPr>
              <w:t>Unrealized (loss) gain on derivative instruments, net of ($189) and $2 of tax (benefit) expense,</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540" w:type="dxa"/>
            <w:vAlign w:val="bottom"/>
            <w:gridSpan w:val="2"/>
          </w:tcPr>
          <w:p>
            <w:pPr>
              <w:ind w:left="5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w:t>
            </w: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(loss)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13,069</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gridSpan w:val="4"/>
          </w:tcPr>
          <w:p>
            <w:pPr>
              <w:jc w:val="right"/>
              <w:ind w:right="101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5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June 1, 2019</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15,443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lease expense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39,650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Refundable and accrued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7"/>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Net cash provided (used) by operating activities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(11,198)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7"/>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Net cash used by investing activities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Borrowings on line of credit</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139,500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Repurchase and retirement of common stock</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21,622</w:t>
            </w:r>
          </w:p>
        </w:tc>
        <w:tc>
          <w:tcPr>
            <w:tcW w:w="0" w:type="dxa"/>
            <w:vAlign w:val="bottom"/>
          </w:tcPr>
          <w:p>
            <w:pPr>
              <w:spacing w:after="0"/>
              <w:rPr>
                <w:sz w:val="1"/>
                <w:szCs w:val="1"/>
                <w:color w:val="auto"/>
              </w:rPr>
            </w:pP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14,952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29,241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Noncash Activity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 in 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Deferred</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700" w:type="dxa"/>
            <w:vAlign w:val="bottom"/>
          </w:tcPr>
          <w:p>
            <w:pPr>
              <w:jc w:val="center"/>
              <w:ind w:right="112"/>
              <w:spacing w:after="0"/>
              <w:rPr>
                <w:sz w:val="20"/>
                <w:szCs w:val="20"/>
                <w:color w:val="auto"/>
              </w:rPr>
            </w:pPr>
            <w:r>
              <w:rPr>
                <w:rFonts w:ascii="Arial" w:cs="Arial" w:eastAsia="Arial" w:hAnsi="Arial"/>
                <w:sz w:val="13"/>
                <w:szCs w:val="13"/>
                <w:b w:val="1"/>
                <w:bCs w:val="1"/>
                <w:color w:val="auto"/>
                <w:w w:val="89"/>
              </w:rPr>
              <w:t>Total</w:t>
            </w: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Stock Held in</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Compensation</w:t>
            </w:r>
          </w:p>
        </w:tc>
        <w:tc>
          <w:tcPr>
            <w:tcW w:w="10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Comprehensive</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w w:val="95"/>
              </w:rPr>
              <w:t>Shareholders'</w:t>
            </w:r>
          </w:p>
        </w:tc>
      </w:tr>
      <w:tr>
        <w:trPr>
          <w:trHeight w:val="18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2"/>
              </w:rPr>
              <w:t>Trust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96"/>
              </w:rPr>
              <w:t>Obligation</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(Loss) Income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rPr>
              <w:t>Equity</w:t>
            </w: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February 29, 2020</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26,443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8,814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154,016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388,010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685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516,778</w:t>
            </w:r>
          </w:p>
        </w:tc>
      </w:tr>
      <w:tr>
        <w:trPr>
          <w:trHeight w:val="263"/>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2,876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2,876</w:t>
            </w:r>
          </w:p>
        </w:tc>
      </w:tr>
      <w:tr>
        <w:trPr>
          <w:trHeight w:val="1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rPr>
              <w:t>Unrealized gain on marketable securities, net of $26 tax</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8"/>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97</w:t>
            </w:r>
          </w:p>
        </w:tc>
      </w:tr>
      <w:tr>
        <w:trPr>
          <w:trHeight w:val="163"/>
        </w:trPr>
        <w:tc>
          <w:tcPr>
            <w:tcW w:w="3280" w:type="dxa"/>
            <w:vAlign w:val="bottom"/>
            <w:gridSpan w:val="2"/>
          </w:tcPr>
          <w:p>
            <w:pPr>
              <w:ind w:left="40"/>
              <w:spacing w:after="0"/>
              <w:rPr>
                <w:sz w:val="20"/>
                <w:szCs w:val="20"/>
                <w:color w:val="auto"/>
              </w:rPr>
            </w:pPr>
            <w:r>
              <w:rPr>
                <w:rFonts w:ascii="Arial" w:cs="Arial" w:eastAsia="Arial" w:hAnsi="Arial"/>
                <w:sz w:val="14"/>
                <w:szCs w:val="14"/>
                <w:color w:val="auto"/>
                <w:w w:val="94"/>
              </w:rPr>
              <w:t>Unrealized loss on foreign currency hedge, net of $189</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1"/>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tax benefit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(617)</w:t>
            </w:r>
          </w:p>
        </w:tc>
      </w:tr>
      <w:tr>
        <w:trPr>
          <w:trHeight w:val="27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r>
      <w:tr>
        <w:trPr>
          <w:trHeight w:val="263"/>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23</w:t>
            </w:r>
          </w:p>
        </w:tc>
      </w:tr>
      <w:tr>
        <w:trPr>
          <w:trHeight w:val="27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1,406</w:t>
            </w:r>
          </w:p>
        </w:tc>
      </w:tr>
      <w:tr>
        <w:trPr>
          <w:trHeight w:val="263"/>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Share repurchases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(4,731)</w:t>
            </w:r>
          </w:p>
        </w:tc>
      </w:tr>
      <w:tr>
        <w:trPr>
          <w:trHeight w:val="27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r>
      <w:tr>
        <w:trPr>
          <w:trHeight w:val="263"/>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(4,872)</w:t>
            </w:r>
          </w:p>
        </w:tc>
      </w:tr>
      <w:tr>
        <w:trPr>
          <w:trHeight w:val="243"/>
        </w:trPr>
        <w:tc>
          <w:tcPr>
            <w:tcW w:w="3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May 30, 2020</w:t>
            </w:r>
          </w:p>
        </w:tc>
        <w:tc>
          <w:tcPr>
            <w:tcW w:w="9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26,369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8,790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153,862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382,225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504,144</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9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Deferred</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700" w:type="dxa"/>
            <w:vAlign w:val="bottom"/>
          </w:tcPr>
          <w:p>
            <w:pPr>
              <w:jc w:val="center"/>
              <w:ind w:right="112"/>
              <w:spacing w:after="0"/>
              <w:rPr>
                <w:sz w:val="20"/>
                <w:szCs w:val="20"/>
                <w:color w:val="auto"/>
              </w:rPr>
            </w:pPr>
            <w:r>
              <w:rPr>
                <w:rFonts w:ascii="Arial" w:cs="Arial" w:eastAsia="Arial" w:hAnsi="Arial"/>
                <w:sz w:val="13"/>
                <w:szCs w:val="13"/>
                <w:b w:val="1"/>
                <w:bCs w:val="1"/>
                <w:color w:val="auto"/>
                <w:w w:val="89"/>
              </w:rPr>
              <w:t>Total</w:t>
            </w: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Stock Held in</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Compensation</w:t>
            </w:r>
          </w:p>
        </w:tc>
        <w:tc>
          <w:tcPr>
            <w:tcW w:w="10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Comprehensive</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w w:val="95"/>
              </w:rPr>
              <w:t>Shareholders'</w:t>
            </w:r>
          </w:p>
        </w:tc>
      </w:tr>
      <w:tr>
        <w:trPr>
          <w:trHeight w:val="18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2"/>
              </w:rPr>
              <w:t>Trust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96"/>
              </w:rPr>
              <w:t>Obligation</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(Loss) Income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rPr>
              <w:t>Equity</w:t>
            </w: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2, 2019</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27,015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9,005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151,842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367,597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755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496,317</w:t>
            </w:r>
          </w:p>
        </w:tc>
      </w:tr>
      <w:tr>
        <w:trPr>
          <w:trHeight w:val="263"/>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15,443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15,443</w:t>
            </w:r>
          </w:p>
        </w:tc>
      </w:tr>
      <w:tr>
        <w:trPr>
          <w:trHeight w:val="1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rPr>
              <w:t>Unrealized gain on marketable securities, net of $47 tax</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8"/>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181</w:t>
            </w:r>
          </w:p>
        </w:tc>
      </w:tr>
      <w:tr>
        <w:trPr>
          <w:trHeight w:val="163"/>
        </w:trPr>
        <w:tc>
          <w:tcPr>
            <w:tcW w:w="3280" w:type="dxa"/>
            <w:vAlign w:val="bottom"/>
            <w:gridSpan w:val="2"/>
          </w:tcPr>
          <w:p>
            <w:pPr>
              <w:ind w:left="40"/>
              <w:spacing w:after="0"/>
              <w:rPr>
                <w:sz w:val="20"/>
                <w:szCs w:val="20"/>
                <w:color w:val="auto"/>
              </w:rPr>
            </w:pPr>
            <w:r>
              <w:rPr>
                <w:rFonts w:ascii="Arial" w:cs="Arial" w:eastAsia="Arial" w:hAnsi="Arial"/>
                <w:sz w:val="14"/>
                <w:szCs w:val="14"/>
                <w:color w:val="auto"/>
                <w:w w:val="98"/>
              </w:rPr>
              <w:t>Unrealized gain on foreign currency hedge, net of $2</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1"/>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tax expense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w:t>
            </w:r>
          </w:p>
        </w:tc>
      </w:tr>
      <w:tr>
        <w:trPr>
          <w:trHeight w:val="27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r>
      <w:tr>
        <w:trPr>
          <w:trHeight w:val="263"/>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40</w:t>
            </w:r>
          </w:p>
        </w:tc>
      </w:tr>
      <w:tr>
        <w:trPr>
          <w:trHeight w:val="27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1,618</w:t>
            </w:r>
          </w:p>
        </w:tc>
      </w:tr>
      <w:tr>
        <w:trPr>
          <w:trHeight w:val="263"/>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Share repurchases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(20,010)</w:t>
            </w:r>
          </w:p>
        </w:tc>
      </w:tr>
      <w:tr>
        <w:trPr>
          <w:trHeight w:val="27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r>
      <w:tr>
        <w:trPr>
          <w:trHeight w:val="264"/>
        </w:trPr>
        <w:tc>
          <w:tcPr>
            <w:tcW w:w="328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(4,598)</w:t>
            </w:r>
          </w:p>
        </w:tc>
      </w:tr>
      <w:tr>
        <w:trPr>
          <w:trHeight w:val="243"/>
        </w:trPr>
        <w:tc>
          <w:tcPr>
            <w:tcW w:w="3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1, 2019</w:t>
            </w:r>
          </w:p>
        </w:tc>
        <w:tc>
          <w:tcPr>
            <w:tcW w:w="9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26,530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8,843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150,240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360,394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484,976</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29, 2020. We use the same accounting policies in preparing quarterly and annual financial statements. All adjustments necessary for a fair presentation of quarterly operating results are reflected herein and are of a normal, recurring nature. The results of operations for the three-month period ended May 30, 2020 are not necessarily indicative of the results to be expected for the full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ongoing COVID-19 pandemic continues to cause volatility and uncertainty in global markets impacting worldwide economic activity. We have experienced some delays in commercial construction projects and orders as a result of COVID-19. In our Architectural Glass and Architectural Framing segments, orders have been delayed or have slowed, as customers and end markets face some uncertainty and delays in timing of work. In our Architectural Services segment, some construction site closures or project delays have occurred, and job sites have had to adjust to increased physical distancing and health-related precautions. Within our LSO segment, temporary closure of many retail locations resulted in the shutdown of our factories for most of the first quarter, in response to governmental “stay at home” directives. We have also been impacted by quarantine-related absenteeism among our workforce, resulting in labor and capacity constraints at some of our facilities. The extent to which COVID-19 will impact our business will depend on future developments and public health advancements, which are highly uncertain and cannot be predicted with confidence. However, towards the end of our first quarter and into the second quarter, we began to see some early signs of improvement, including the gradual reopening of retailers, moderating project delays and fewer workforce absences.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in response to COVID-19, we have implemented a variety of countermeasures to promote the health and safety of our employees during this pandemic, including health screening, physical distancing practices, enhanced cleaning, use of personal protective equipment, business travel restrictions, and remote work capabilities, in addition to quarantine-related paid leave and other employee assistance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current quarter, we adopted the guidance in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The guidance provides for a new impairment model on financial instruments which is based on expected credit losses, which was applied following a modified retrospective approach. Additionally, the new guidance makes targeted improvements to the impairment model for certain available-for-sale debt securities, including eliminating the concept of "other than temporary" from that model. The portion of the guidance related to available-for-sale debt securities was adopted following a prospective approach. The adoption of this ASU did not have a significant impact on earnings or financial condition. Refer to additional disclosures in Notes 2 and 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and determined that there were no subsequent events that required recognition or disclosure in the consolidated financial statements other than as described in Note 8.</w:t>
      </w:r>
    </w:p>
    <w:p>
      <w:pPr>
        <w:spacing w:after="0" w:line="1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12 for disclosure of revenue by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June 1, 2019</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at shipment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155,265</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Recognized over time</w:t>
            </w:r>
          </w:p>
        </w:tc>
        <w:tc>
          <w:tcPr>
            <w:tcW w:w="30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172,932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200,100</w:t>
            </w: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289,095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355,365</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February 29, 2020</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141,126</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Construction contracts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retainage</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37,341</w:t>
            </w:r>
          </w:p>
        </w:tc>
        <w:tc>
          <w:tcPr>
            <w:tcW w:w="0" w:type="dxa"/>
            <w:vAlign w:val="bottom"/>
          </w:tcPr>
          <w:p>
            <w:pPr>
              <w:spacing w:after="0"/>
              <w:rPr>
                <w:sz w:val="1"/>
                <w:szCs w:val="1"/>
                <w:color w:val="auto"/>
              </w:rPr>
            </w:pP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 receivables</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158,500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199,275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allowance for credit losses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Net receivables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156,304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196,806</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activity in the allowance for credit losses:</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May 30, 2020</w:t>
            </w:r>
          </w:p>
        </w:tc>
        <w:tc>
          <w:tcPr>
            <w:tcW w:w="0" w:type="dxa"/>
            <w:vAlign w:val="bottom"/>
          </w:tcPr>
          <w:p>
            <w:pPr>
              <w:spacing w:after="0"/>
              <w:rPr>
                <w:sz w:val="1"/>
                <w:szCs w:val="1"/>
                <w:color w:val="auto"/>
              </w:rPr>
            </w:pP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Additions charged to costs and expenses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Deductions from allowance,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0"/>
        </w:trPr>
        <w:tc>
          <w:tcPr>
            <w:tcW w:w="75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 changes </w:t>
            </w:r>
            <w:r>
              <w:rPr>
                <w:rFonts w:ascii="Arial" w:cs="Arial" w:eastAsia="Arial" w:hAnsi="Arial"/>
                <w:sz w:val="25"/>
                <w:szCs w:val="25"/>
                <w:color w:val="auto"/>
                <w:vertAlign w:val="superscript"/>
              </w:rPr>
              <w:t>(1)</w:t>
            </w:r>
          </w:p>
        </w:tc>
        <w:tc>
          <w:tcPr>
            <w:tcW w:w="30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4"/>
          <w:szCs w:val="14"/>
          <w:color w:val="auto"/>
        </w:rPr>
        <w:t>Result of foreign currency effects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February 29, 2020</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110,923</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18,209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35,954</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contract assets was mainly due to a reduction in contract retainage. The change in contract liabilities was due to timing of project activity within our businesses that operate under long-term contracts.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contract-related disclosures</w:t>
            </w:r>
          </w:p>
        </w:tc>
        <w:tc>
          <w:tcPr>
            <w:tcW w:w="30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4"/>
          </w:tcPr>
          <w:p>
            <w:pPr>
              <w:jc w:val="right"/>
              <w:ind w:right="1096"/>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June 1, 2019</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recognized related to contract liabilities from prior year-end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14,194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Revenue recognized related to prior satisfaction of performance obligations</w:t>
            </w:r>
          </w:p>
        </w:tc>
        <w:tc>
          <w:tcPr>
            <w:tcW w:w="30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1,949</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May 30, 2020, the transaction price associated with unsatisfied performance obligations was approximately $995.9 million. The performance obligations are expected to be satisfied, and the corresponding revenue to be recognized, over the following estimated time periods: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May 30, 2020</w:t>
            </w:r>
          </w:p>
        </w:tc>
        <w:tc>
          <w:tcPr>
            <w:tcW w:w="0" w:type="dxa"/>
            <w:vAlign w:val="bottom"/>
          </w:tcPr>
          <w:p>
            <w:pPr>
              <w:spacing w:after="0"/>
              <w:rPr>
                <w:sz w:val="1"/>
                <w:szCs w:val="1"/>
                <w:color w:val="auto"/>
              </w:rPr>
            </w:pP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434,077</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Within two years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417,457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Beyond</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144,325</w:t>
            </w:r>
          </w:p>
        </w:tc>
        <w:tc>
          <w:tcPr>
            <w:tcW w:w="0" w:type="dxa"/>
            <w:vAlign w:val="bottom"/>
          </w:tcPr>
          <w:p>
            <w:pPr>
              <w:spacing w:after="0"/>
              <w:rPr>
                <w:sz w:val="1"/>
                <w:szCs w:val="1"/>
                <w:color w:val="auto"/>
              </w:rPr>
            </w:pP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995,859</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Supplemental Balance Sheet Information</w:t>
            </w: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February 29, 2020</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36,611</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17,520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16,958</w:t>
            </w:r>
          </w:p>
        </w:tc>
        <w:tc>
          <w:tcPr>
            <w:tcW w:w="0" w:type="dxa"/>
            <w:vAlign w:val="bottom"/>
          </w:tcPr>
          <w:p>
            <w:pPr>
              <w:spacing w:after="0"/>
              <w:rPr>
                <w:sz w:val="1"/>
                <w:szCs w:val="1"/>
                <w:color w:val="auto"/>
              </w:rPr>
            </w:pP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75,285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71,089</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February 29, 2020</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12,822</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Accrued project losses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48,054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48,962</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other taxes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Accrued self-insurance reserves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42,271</w:t>
            </w:r>
          </w:p>
        </w:tc>
        <w:tc>
          <w:tcPr>
            <w:tcW w:w="0" w:type="dxa"/>
            <w:vAlign w:val="bottom"/>
          </w:tcPr>
          <w:p>
            <w:pPr>
              <w:spacing w:after="0"/>
              <w:rPr>
                <w:sz w:val="1"/>
                <w:szCs w:val="1"/>
                <w:color w:val="auto"/>
              </w:rPr>
            </w:pP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 other current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110,348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118,314</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February 29, 2020</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benefit from New Market Tax Credit transactions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Retirement plan obligations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13,915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16,459</w:t>
            </w:r>
          </w:p>
        </w:tc>
        <w:tc>
          <w:tcPr>
            <w:tcW w:w="0" w:type="dxa"/>
            <w:vAlign w:val="bottom"/>
          </w:tcPr>
          <w:p>
            <w:pPr>
              <w:spacing w:after="0"/>
              <w:rPr>
                <w:sz w:val="1"/>
                <w:szCs w:val="1"/>
                <w:color w:val="auto"/>
              </w:rPr>
            </w:pPr>
          </w:p>
        </w:tc>
      </w:tr>
      <w:tr>
        <w:trPr>
          <w:trHeight w:val="236"/>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 other non-current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67,496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Through our wholly-owned insurance subsidiary, Prism Assurance, Ltd. (Prism), we hold the following available-for-sale marketable securities, made up of municipal and corporate bonds: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Gross Unrealized Gains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8"/>
              </w:rPr>
              <w:t>Gross Unrealized Losses</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49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30, 2020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12,993</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February 29, 2020</w:t>
            </w:r>
          </w:p>
        </w:tc>
        <w:tc>
          <w:tcPr>
            <w:tcW w:w="26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11,692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these bonds at May 30, 2020, by contractual maturity, are shown below. Expected maturities may differ from contractual maturities, as borrowers may have the right to call or prepay obligations with or without penalty.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Estimated Fair Value</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7,255</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4,019</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Due beyond 15 years</w:t>
            </w:r>
          </w:p>
        </w:tc>
        <w:tc>
          <w:tcPr>
            <w:tcW w:w="26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808</w:t>
            </w: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8"/>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12,993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August 2019, we entered into an interest rate swap to hedge exposure to variability in cash flows from interest payments on our floating-rate revolving credit facility. As of May 30, 2020, the interest rate swap contract had a notional value of $65 million.</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periodically enter into forward purchase foreign currency cash flow hedge contracts, generally with an original maturity date of less than one year, to hedge foreign currency exchange rate risk. As of May 30, 2020, we held foreign exchange forward contracts with a U.S. dollar notional value of $34.3 million, with the objective of reducing the exposure to fluctuations in the Canadian dollar and the Euro.</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4"/>
                <w:szCs w:val="1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Observable Inputs</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May 30, 2020</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12,993</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Cash surrender value of life insurance</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15,777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13,889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forward/option contract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Interest rate swap contract</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29, 2020</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Municipal and corporate bonds</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11,967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surrender value of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43"/>
        </w:trPr>
        <w:tc>
          <w:tcPr>
            <w:tcW w:w="5640" w:type="dxa"/>
            <w:vAlign w:val="bottom"/>
            <w:gridSpan w:val="2"/>
          </w:tcPr>
          <w:p>
            <w:pPr>
              <w:ind w:left="380"/>
              <w:spacing w:after="0"/>
              <w:rPr>
                <w:sz w:val="20"/>
                <w:szCs w:val="20"/>
                <w:color w:val="auto"/>
              </w:rPr>
            </w:pPr>
            <w:r>
              <w:rPr>
                <w:rFonts w:ascii="Arial" w:cs="Arial" w:eastAsia="Arial" w:hAnsi="Arial"/>
                <w:sz w:val="18"/>
                <w:szCs w:val="18"/>
                <w:color w:val="auto"/>
              </w:rPr>
              <w:t>Foreign currency forward/option contract</w:t>
            </w:r>
          </w:p>
        </w:tc>
        <w:tc>
          <w:tcPr>
            <w:tcW w:w="2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contract</w:t>
            </w:r>
          </w:p>
        </w:tc>
        <w:tc>
          <w:tcPr>
            <w:tcW w:w="2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funds and commercial paper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and corporate bonds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and deferred compensation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interest rate swap is measured at fair value using other observable market inputs, based off of benchmark interest rates. Forward foreign exchange contracts are measured at fair value using other observable market inputs, such as quotations on forward foreign exchange points and foreign currency exchange rates. Derivative positions are primarily valued using standard calculations and models that use as their basis readily observable market parameters. Industry standard data providers are our primary source for forward and spot rate information for both interest and currency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assets are measured at fair value on a nonrecurring basis and are subject to fair value adjustments in certain circumstances. These include certain long-lived assets that are written down to estimated fair value when they are determined to be impaired, utilizing a valuation approach incorporating Level 3 inputs.</w:t>
      </w:r>
    </w:p>
    <w:p>
      <w:pPr>
        <w:spacing w:after="0" w:line="18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Architectural</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Large-Scale</w:t>
            </w:r>
          </w:p>
        </w:tc>
        <w:tc>
          <w:tcPr>
            <w:tcW w:w="280" w:type="dxa"/>
            <w:vAlign w:val="bottom"/>
          </w:tcPr>
          <w:p>
            <w:pPr>
              <w:spacing w:after="0"/>
              <w:rPr>
                <w:sz w:val="14"/>
                <w:szCs w:val="14"/>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Framing Systems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Glass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Optical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2,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185,832</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29, 2020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185,516</w:t>
            </w:r>
          </w:p>
        </w:tc>
        <w:tc>
          <w:tcPr>
            <w:tcW w:w="0" w:type="dxa"/>
            <w:vAlign w:val="bottom"/>
          </w:tcPr>
          <w:p>
            <w:pPr>
              <w:spacing w:after="0"/>
              <w:rPr>
                <w:sz w:val="1"/>
                <w:szCs w:val="1"/>
                <w:color w:val="auto"/>
              </w:rPr>
            </w:pPr>
          </w:p>
        </w:tc>
      </w:tr>
      <w:tr>
        <w:trPr>
          <w:trHeight w:val="270"/>
        </w:trPr>
        <w:tc>
          <w:tcPr>
            <w:tcW w:w="4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37"/>
        </w:trPr>
        <w:tc>
          <w:tcPr>
            <w:tcW w:w="47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May 30, 2020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153,543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25,324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10,557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190,544</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right="280" w:hanging="5"/>
        <w:spacing w:after="0" w:line="253" w:lineRule="auto"/>
        <w:tabs>
          <w:tab w:leader="none" w:pos="180" w:val="left"/>
        </w:tabs>
        <w:numPr>
          <w:ilvl w:val="0"/>
          <w:numId w:val="7"/>
        </w:numPr>
        <w:rPr>
          <w:rFonts w:ascii="Arial" w:cs="Arial" w:eastAsia="Arial" w:hAnsi="Arial"/>
          <w:sz w:val="9"/>
          <w:szCs w:val="9"/>
          <w:color w:val="auto"/>
        </w:rPr>
      </w:pPr>
      <w:r>
        <w:rPr>
          <w:rFonts w:ascii="Arial" w:cs="Arial" w:eastAsia="Arial" w:hAnsi="Arial"/>
          <w:sz w:val="14"/>
          <w:szCs w:val="14"/>
          <w:color w:val="auto"/>
        </w:rPr>
        <w:t>During the quarter ended May 30, 2020, we recorded a $6.3 million increase to goodwill and corresponding increase to deferred tax liabilities to correct an immaterial error related to prior periods. The error was not material to any previously reported annual or interim consolidated financial statements.</w:t>
      </w:r>
    </w:p>
    <w:p>
      <w:pPr>
        <w:spacing w:after="0" w:line="200" w:lineRule="exact"/>
        <w:rPr>
          <w:sz w:val="20"/>
          <w:szCs w:val="20"/>
          <w:color w:val="auto"/>
        </w:rPr>
      </w:pP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 goodwill for impairment annually at our year-end, or more frequently if events or changes in circumstances indicate the carrying value of the goodwill may not be recoverable. During the first quarter of fiscal 2021, we identified qualitative indicators of impairment, including a significant decline in our stock price and market capitalization, along with concerns resulting from the COVID-19 pandemic at four of our nine identified reporting units. Therefore, we performed a quantitative goodwill impairment evaluation as of May 30, 2020 at these four reporting units, EFCO Corporation ("EFCO"), Alumicor Limited ("Alumicor"), Sotawall Limited ("Sotawall") and Viracon, Inc ("Viracon").</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management on a regular basis. If the fair value of a reporting unit exceeds the carrying value, goodwill impairment is not indicated.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base our determination of fair value on a discounted cash flow methodology that involves significant judgment and projections of future performance. We also consider a market approach in our analysis by reviewing available data from recent transactions of comparable public companies when available. Assumptions about future revenues and expenses, capital expenditures and changes in working capital are based on the annual operating plan and long-term business plan for each reporting unit. These plans take into consideration numerous factors, including historical experience, current and future operational plans, anticipated future economic conditions and growth expectations for the industries and end markets in which we participate. These plans also take into consideration our assessment of risks inherent in our projections of future cash flows. Due to the inherent uncertainties involved in making estimates and assumptions, actual results may differ from those assumed in the forecasts. Inputs used to estimate these fair values included significant unobservable inputs that reflect the Company's assumptions about the inputs that market participants would use and, therefore, the fair value assessments are classified within Level 3 of the fair value hierarchy. We derived the discount rates using a capital asset pricing model and analyzing published rates for industries relevant to the reporting units to estimate the cost of equity financing. We used discount rates that are commensurate with the risks and uncertainties inherent in the respective businesses and in the internally developed forecasts, updated for recent events.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 results of the interim quantitative goodwill impairment analysis, the estimated fair value of each reporting unit exceeded its carrying value and, therefore, goodwill impairment was not indicated as of May 30, 2020. We utilized a discount rate of 11.0 percent in determining the discounted cash flows for EFCO and Alumicor, and a discount rate of 10.4 percent in determining the discounted cash flows for Sotawall and Viracon. We utilized a long-term growth rate of 3.0 percent in our fair value analysis for all reporting units. While these discount rates have increased from the time of our annual goodwill impairment evaluation at year-end, impairment is not indicated at this time due to the long-term future performance expectations for these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360" w:type="dxa"/>
            <w:vAlign w:val="bottom"/>
          </w:tcPr>
          <w:p>
            <w:pPr>
              <w:spacing w:after="0"/>
              <w:rPr>
                <w:sz w:val="12"/>
                <w:szCs w:val="12"/>
                <w:color w:val="auto"/>
              </w:rPr>
            </w:pPr>
          </w:p>
        </w:tc>
        <w:tc>
          <w:tcPr>
            <w:tcW w:w="10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May 30, 2020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83,207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41,095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91,207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44,864</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206,042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136,071</w:t>
            </w: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February 29, 2020</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86,526</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94,890</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45,301</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206,729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140,191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hold intangible assets for certain acquired trade names and trademarks which are determined to have indefinite useful lives. We evaluate the reasonableness of the useful life and test indefinite-lived intangible assets for impairment annually at our year-end, or more frequently if events or changes in circumstances indicate that it is more likely than not that the asset is impaired. During the first quarter of fiscal 2021, we identified qualitative indicators of impairment, including deteriorating macroeconomic conditions resulting from the COVID-19 pandemic. Therefore, we performed an interim impairment evaluation on indefinite-lived intangible assets as of May 30, 2020. If the carrying amount of an indefinite-lived intangible asset exceeds its fair value, an impairment loss is recognized in an amount equal to that excess. If an impairment loss is recognized, the adjusted carrying amount becomes the asset's new accounting basis.</w:t>
      </w:r>
    </w:p>
    <w:p>
      <w:pPr>
        <w:spacing w:after="0" w:line="195" w:lineRule="exact"/>
        <w:rPr>
          <w:sz w:val="20"/>
          <w:szCs w:val="20"/>
          <w:color w:val="auto"/>
        </w:rPr>
      </w:pPr>
    </w:p>
    <w:p>
      <w:pPr>
        <w:ind w:right="2040"/>
        <w:spacing w:after="0" w:line="291" w:lineRule="auto"/>
        <w:rPr>
          <w:sz w:val="20"/>
          <w:szCs w:val="20"/>
          <w:color w:val="auto"/>
        </w:rPr>
      </w:pPr>
      <w:r>
        <w:rPr>
          <w:rFonts w:ascii="Arial" w:cs="Arial" w:eastAsia="Arial" w:hAnsi="Arial"/>
          <w:sz w:val="16"/>
          <w:szCs w:val="16"/>
          <w:color w:val="auto"/>
        </w:rPr>
        <w:t>Fair value is measured using the relief-from-royalty method. This method assumes the trade name or trademark has value to the extent that the owner is relieved of the obligation to pay royalties for the benefits received from the asset. This method requires</w:t>
      </w:r>
    </w:p>
    <w:p>
      <w:pPr>
        <w:jc w:val="both"/>
        <w:spacing w:after="0" w:line="255" w:lineRule="auto"/>
        <w:rPr>
          <w:sz w:val="20"/>
          <w:szCs w:val="20"/>
          <w:color w:val="auto"/>
        </w:rPr>
      </w:pPr>
      <w:r>
        <w:rPr>
          <w:rFonts w:ascii="Arial" w:cs="Arial" w:eastAsia="Arial" w:hAnsi="Arial"/>
          <w:sz w:val="18"/>
          <w:szCs w:val="18"/>
          <w:color w:val="auto"/>
        </w:rPr>
        <w:t>us to estimate the future revenue from the related asset, the appropriate royalty rate, and the weighted average cost of capital. The assessment of fair value involves significant judgment and projections about future performance. In determining the discounted future revenue in our fair value analysis, we utilized a discount rate of 11.5 percent for EFCO and Alumicor and a discount rate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of 10.9 percent for Sotawall. A royalty rate of 1.5 percent was utilized for Alumicor and EFCO and a royalty rate of 2.0 percent was utilized for Sotawall. We utilized a long-term growth rate of 3.0 percent in the fair value analysis for all reporting units. Based on our analysis, the fair value of each of our trade names and trademarks exceeded its carrying amount and impairment was not indicated. We continue to conclude that the useful life of our indefinite-lived intangible assets is appropriate. If future revenue were to fall below forecasted levels or if market conditions were to decline in a material or sustained manner, due to COVID-19 or otherwise, impairment could be indicated on one or more of our indefinite-lived intangible assets.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on definite-lived intangible assets was $1.8 million and $1.9 million for the three-month periods ended May 30, 2020 and June 1, 2019, respectively. Amortization expense of other identifiable intangible assets is included in selling, general and administrative expenses. At May 30, 2020, the estimated future amortization expense for definite-lived intangible assets was: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Remainder of</w:t>
            </w: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2022</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2023</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Fiscal 2024</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Fiscal 2025</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Fiscal 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5,858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May 30, 2020, we had a committed revolving credit facility with maximum borrowings of up to $235 million, maturing in June 2024, and a $150 million term loan maturing in April 2021. As of May 30, 2020, our total debt outstanding was $210.9 million, compared to $217.9 million as of February 29, 2020. Outstanding borrowings under the revolving credit facility were $40.5 million, as of May 30, 2020, and $47.5 million, as of February 29, 2020.</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revolving credit facility and term loan contain two financial covenants that require us to stay below a maximum debt-to-EBITDA ratio and maintain a minimum ratio of interest expense-to-EBITDA. Both ratios are computed quarterly, with EBITDA calculated on a rolling four-quarter basis. At May 30, 2020, we were in compliance with both financial covenants. Additionally, at May 30, 2020, we had a total of $24.7 million of ongoing letters of credit related to industrial revenue bonds, construction contracts and insurance collateral that expire in fiscal years 2021 to 2032 and reduce borrowing capacity under the revolving credit facility.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30, 2020, debt included $20.4 million of industrial revenue bonds that mature in fiscal years 2021 through 2043. The fair value of the industrial revenue bonds approximated carrying value at May 30, 2020, due to the variable interest rates on these instruments. All debt would be classified as Level 2 within the fair value hierarchy described in Note 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two Canadian committed, revolving credit facilities totaling $25.0 million (USD). As of May 30, 2020 and February 29, 2020, no borrowings were outstanding under the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$1.4 million and $2.4 million for the three months ended May 30, 2020 and June 1,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and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We are not a lessor in any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w w:val="98"/>
              </w:rPr>
              <w:t>May 30,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8"/>
              </w:rPr>
              <w:t>June 1, 2019</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 lease cost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Other supplemental information related to leases was as follows:</w:t>
            </w: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7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 except weighted-average data)</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May 30, 2020</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1, 2019</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3,327</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 years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 years</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675"/>
        </w:trPr>
        <w:tc>
          <w:tcPr>
            <w:tcW w:w="7540" w:type="dxa"/>
            <w:vAlign w:val="bottom"/>
            <w:gridSpan w:val="2"/>
          </w:tcPr>
          <w:p>
            <w:pPr>
              <w:spacing w:after="0"/>
              <w:rPr>
                <w:sz w:val="20"/>
                <w:szCs w:val="20"/>
                <w:color w:val="auto"/>
              </w:rPr>
            </w:pPr>
            <w:r>
              <w:rPr>
                <w:rFonts w:ascii="Arial" w:cs="Arial" w:eastAsia="Arial" w:hAnsi="Arial"/>
                <w:sz w:val="18"/>
                <w:szCs w:val="18"/>
                <w:color w:val="auto"/>
              </w:rPr>
              <w:t>Future maturities of lease liabilities are as follows: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May 30, 2020</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Fiscal 2021</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Fiscal 2022</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Fiscal 2024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2025</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Fiscal 2026</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 lease payments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55,903</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51,276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May 30, 2020, we have $5.7 million additional future operating lease commitments for leases that have not yet commenced.</w:t>
      </w:r>
    </w:p>
    <w:p>
      <w:pPr>
        <w:spacing w:after="0" w:line="22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May 30, 2020, $1.0 billion of these types of bonds were outstanding, of which $582.3 million is in our backlog. These bonds do not have stated expiration dates. We have never been required to make payments under surety or performance bonds with respect to our existing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1, 2019</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16,737</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Additional accruals</w:t>
            </w:r>
          </w:p>
        </w:tc>
        <w:tc>
          <w:tcPr>
            <w:tcW w:w="30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1,787</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r>
      <w:tr>
        <w:trPr>
          <w:trHeight w:val="236"/>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15,201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15,753</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The liability for these types of project-related contingencies was $48.1 million and $49.0 million as of May 30, 2020 and February 29, 2020, respectively. Subsequent to the end of the quarter, in June 2020, we settled contract claims related to a majority of these project-related contingencies on a legacy EFCO project for an amount equal to the contingency recorded at May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May 30, 2020, we had $24.7 million of ongoing letters of credit, all of which have been issued under our committed revolving credit facility, as discussed in Note 6. Subsequent to the end of the quarter, in connection with the settlement of contract claims related to a legacy EFCO project referenced above, the original project performance and payment bond was replaced, which required a $25.0 million letter of credit. The letter of credit for the replacement bond was issued outside of our committed revolving credit facility, with no impact on our borrowing capacity and debt covenants.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$177.2 million as of May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(NMTC) transactions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entered into four separate NMTC programs to support our operational expansion. Proceeds received from investors on these transactions are included within other current and non-current liabilities on our consolidated balance sheets. The NMTC arrangements are subject to 100 percent tax recapture for a period of seven years from the date of each respective transaction. Therefore, upon the termination of each arrangement, these proceeds will be recognized in earnings in exchange for the transfer of tax credits. The direct and incremental costs incurred in structuring these arrangements have been deferred and are included in other current and non-current assets on our consolidated balance sheets. These costs will be recognized in conjunction with the recognition of the related proceeds on each arrangement. During the construction phase,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our outstanding NMTC transactions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Inception date</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Termination date</w:t>
            </w:r>
          </w:p>
        </w:tc>
        <w:tc>
          <w:tcPr>
            <w:tcW w:w="20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Proceeds received</w:t>
            </w:r>
          </w:p>
        </w:tc>
        <w:tc>
          <w:tcPr>
            <w:tcW w:w="1520" w:type="dxa"/>
            <w:vAlign w:val="bottom"/>
          </w:tcPr>
          <w:p>
            <w:pPr>
              <w:jc w:val="right"/>
              <w:spacing w:after="0"/>
              <w:rPr>
                <w:sz w:val="20"/>
                <w:szCs w:val="20"/>
                <w:color w:val="auto"/>
              </w:rPr>
            </w:pPr>
            <w:r>
              <w:rPr>
                <w:rFonts w:ascii="Arial" w:cs="Arial" w:eastAsia="Arial" w:hAnsi="Arial"/>
                <w:sz w:val="18"/>
                <w:szCs w:val="18"/>
                <w:color w:val="auto"/>
              </w:rPr>
              <w:t>Deferred costs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Net benefit</w:t>
            </w:r>
          </w:p>
        </w:tc>
      </w:tr>
      <w:tr>
        <w:trPr>
          <w:trHeight w:val="27"/>
        </w:trPr>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2013</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June 2016</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May 2023</w:t>
            </w:r>
          </w:p>
        </w:tc>
        <w:tc>
          <w:tcPr>
            <w:tcW w:w="20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2025</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September 2018</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August 2025</w:t>
            </w:r>
          </w:p>
        </w:tc>
        <w:tc>
          <w:tcPr>
            <w:tcW w:w="20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5, 2018, a shareholder filed a purported securities class action against the Company and certain named executive officers. On March 25, 2020, the District Court granted the Company's motion to dismiss without prejudice this matter. On May 5, 2020, the District Court entered final judgment. Plaintiffs’ have waived their right to appeal. The Company views this matter as closed.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17, 2018, a different shareholder filed a derivative lawsuit, purportedly on behalf of the Company, against certain of our executive officers and directors claiming breaches of fiduciary duty, waste of corporate assets and unjust enrichment. On May 29, 2020, the parties filed a joint stipulation and order dismissing this matter without prejudice. The Company views this matter as closed.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$1.4 million for the three-month period ended May 30, 2020 and $1.6 million for the three-month period ended June 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three-month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8"/>
        </w:trPr>
        <w:tc>
          <w:tcPr>
            <w:tcW w:w="51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February 29, 2020</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100,341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Awards exercised</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May 30, 2020</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100,341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1.3 years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1,235,198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 awards were issued or exercised during the three-months ended May 30, 2020 and June 1, 2019,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 and share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Nonvested share activity for the current three-month period is summarized as follows: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Nonvested shares and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auto"/>
        </w:rPr>
        <w:t>Number of Shares and</w:t>
      </w:r>
      <w:r>
        <w:rPr>
          <w:sz w:val="20"/>
          <w:szCs w:val="20"/>
          <w:color w:val="auto"/>
        </w:rPr>
        <w:tab/>
      </w:r>
      <w:r>
        <w:rPr>
          <w:rFonts w:ascii="Arial" w:cs="Arial" w:eastAsia="Arial" w:hAnsi="Arial"/>
          <w:sz w:val="12"/>
          <w:szCs w:val="12"/>
          <w:b w:val="1"/>
          <w:bCs w:val="1"/>
          <w:color w:val="auto"/>
        </w:rPr>
        <w:t>Weighted Average</w:t>
      </w:r>
    </w:p>
    <w:p>
      <w:pPr>
        <w:spacing w:after="0" w:line="4" w:lineRule="exact"/>
        <w:rPr>
          <w:sz w:val="20"/>
          <w:szCs w:val="20"/>
          <w:color w:val="auto"/>
        </w:rPr>
      </w:pPr>
    </w:p>
    <w:p>
      <w:pPr>
        <w:jc w:val="both"/>
        <w:ind w:left="540"/>
        <w:spacing w:after="0"/>
        <w:tabs>
          <w:tab w:leader="none" w:pos="1600" w:val="left"/>
        </w:tabs>
        <w:rPr>
          <w:sz w:val="20"/>
          <w:szCs w:val="20"/>
          <w:color w:val="auto"/>
        </w:rPr>
      </w:pPr>
      <w:r>
        <w:rPr>
          <w:rFonts w:ascii="Arial" w:cs="Arial" w:eastAsia="Arial" w:hAnsi="Arial"/>
          <w:sz w:val="14"/>
          <w:szCs w:val="14"/>
          <w:b w:val="1"/>
          <w:bCs w:val="1"/>
          <w:color w:val="auto"/>
        </w:rPr>
        <w:t>Units</w:t>
      </w:r>
      <w:r>
        <w:rPr>
          <w:sz w:val="20"/>
          <w:szCs w:val="20"/>
          <w:color w:val="auto"/>
        </w:rPr>
        <w:tab/>
      </w:r>
      <w:r>
        <w:rPr>
          <w:rFonts w:ascii="Arial" w:cs="Arial" w:eastAsia="Arial" w:hAnsi="Arial"/>
          <w:sz w:val="14"/>
          <w:szCs w:val="14"/>
          <w:b w:val="1"/>
          <w:bCs w:val="1"/>
          <w:color w:val="auto"/>
        </w:rPr>
        <w:t>Grant Date Fair Value</w:t>
      </w:r>
    </w:p>
    <w:p>
      <w:pPr>
        <w:spacing w:after="0" w:line="9" w:lineRule="exact"/>
        <w:rPr>
          <w:sz w:val="20"/>
          <w:szCs w:val="20"/>
          <w:color w:val="auto"/>
        </w:rPr>
      </w:pPr>
    </w:p>
    <w:p>
      <w:pPr>
        <w:sectPr>
          <w:pgSz w:w="11900" w:h="16838" w:orient="portrait"/>
          <w:cols w:equalWidth="0" w:num="2">
            <w:col w:w="8140" w:space="0"/>
            <w:col w:w="31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7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February 29, 2020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40.58</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182,693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18.86</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(61,318)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w:t>
            </w:r>
          </w:p>
        </w:tc>
      </w:tr>
      <w:tr>
        <w:trPr>
          <w:trHeight w:val="25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Nonvested at May 30, 2020</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430,634</w:t>
            </w:r>
          </w:p>
        </w:tc>
        <w:tc>
          <w:tcPr>
            <w:tcW w:w="7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30.93</w:t>
            </w:r>
          </w:p>
        </w:tc>
      </w:tr>
      <w:tr>
        <w:trPr>
          <w:trHeight w:val="20"/>
        </w:trPr>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30, 2020, there was $2.7 million of total unrecognized compensation cost related to nonvested share and nonvested share unit awards, which is expected to be recognized over a weighted average period of approximately 26 months. The total fair value of shares vested during the three months ended May 30, 2020 was $1.3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2017, or state and local income tax examinations for years prior to fiscal 2013. The Company is not currently under U.S. federal examination for years subsequent to fiscal year 2016, and there is limited audit activity of the Company’s income tax returns in U.S. state jurisdictions or international jurisdictions.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total liability for unrecognized tax benefits was $4.1 million at May 30, 2020 and at February 29, 2020. Penalties and interest related to unrecognized tax benefits are recorded in income tax expense. The total liability for unrecognized tax benefits is expected to decrease by approximately $0.4 million during the next 12 months due to lapsing of statutes.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10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May 30, 2020</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June 1, 2019</w:t>
            </w: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 – weighted average common shares outstanding</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26,168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26,597</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Weighted average effect of nonvested share grants and assumed exercise of stock options</w:t>
            </w: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 – weighted average common shares and potential common shares</w:t>
            </w:r>
          </w:p>
        </w:tc>
        <w:tc>
          <w:tcPr>
            <w:tcW w:w="17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26,418</w:t>
            </w:r>
          </w:p>
        </w:tc>
        <w:tc>
          <w:tcPr>
            <w:tcW w:w="120" w:type="dxa"/>
            <w:vAlign w:val="bottom"/>
            <w:shd w:val="clear" w:color="auto" w:fill="CCEEFF"/>
          </w:tcPr>
          <w:p>
            <w:pPr>
              <w:spacing w:after="0"/>
              <w:rPr>
                <w:sz w:val="18"/>
                <w:szCs w:val="18"/>
                <w:color w:val="auto"/>
              </w:rPr>
            </w:pPr>
          </w:p>
        </w:tc>
        <w:tc>
          <w:tcPr>
            <w:tcW w:w="17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26,843</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Stock awards excluded from the calculation of earnings per share because the effect was anti-dilutive</w:t>
            </w: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gridSpan w:val="2"/>
            <w:vMerge w:val="continue"/>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00"/>
              <w:spacing w:after="0"/>
              <w:rPr>
                <w:sz w:val="20"/>
                <w:szCs w:val="20"/>
                <w:color w:val="auto"/>
              </w:rPr>
            </w:pPr>
            <w:r>
              <w:rPr>
                <w:rFonts w:ascii="Arial" w:cs="Arial" w:eastAsia="Arial" w:hAnsi="Arial"/>
                <w:sz w:val="18"/>
                <w:szCs w:val="18"/>
                <w:color w:val="auto"/>
              </w:rPr>
              <w:t>(award price greater than average market price of the shares)</w:t>
            </w: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four reporting segments: Architectural Framing Systems, Architectural Glass, Architectural Services and Large-Scale Optical (LSO).</w:t>
      </w:r>
    </w:p>
    <w:p>
      <w:pPr>
        <w:spacing w:after="0" w:line="46" w:lineRule="exact"/>
        <w:rPr>
          <w:sz w:val="20"/>
          <w:szCs w:val="20"/>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LSO segment manufactures value-added glass and acrylic products primarily for framing and display applications.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June 1, 2019</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Architectural Framing Systems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150,164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180,522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Glass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100,291</w:t>
            </w:r>
          </w:p>
        </w:tc>
        <w:tc>
          <w:tcPr>
            <w:tcW w:w="0" w:type="dxa"/>
            <w:vAlign w:val="bottom"/>
          </w:tcPr>
          <w:p>
            <w:pPr>
              <w:spacing w:after="0"/>
              <w:rPr>
                <w:sz w:val="1"/>
                <w:szCs w:val="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Architectural Services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63,551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65,147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Large-Scale Optical</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21,259</w:t>
            </w:r>
          </w:p>
        </w:tc>
        <w:tc>
          <w:tcPr>
            <w:tcW w:w="0" w:type="dxa"/>
            <w:vAlign w:val="bottom"/>
          </w:tcPr>
          <w:p>
            <w:pPr>
              <w:spacing w:after="0"/>
              <w:rPr>
                <w:sz w:val="1"/>
                <w:szCs w:val="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Intersegment eliminations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289,095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355,365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Operating income (loss) from operations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Framing Systems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Architectural Glass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Large-Scale Optical</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37"/>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23,041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February 29, 2020.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8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February 29, 2020.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ongoing COVID-19 pandemic continues to cause volatility and uncertainty in global markets impacting worldwide economic activity. We have experienced some delays in commercial construction projects and orders as a result of COVID-19. In our Architectural Glass and Architectural Framing segments, orders have been delayed or have slowed, as customers and end markets face some uncertainty and delays in timing of work. In our Architectural Services segment, some construction site closures or project delays have occurred, and job sites have had to adjust to increased physical distancing and health-related precautions. Within our LSO segment, temporary closure of many retail locations resulted in the shutdown of our factories for most of the first quarter, in response to governmental “stay at home” directives. We have also been impacted by quarantine-related absenteeism among our workforce, resulting in labor and capacity constraints at some of our facilities. The extent to which COVID-19 will impact our business will depend on future developments and public health advancements, which are highly uncertain and cannot be predicted with confidence. However, towards the end of our first quarter and into the second quarter, we began to see some early signs of improvement, including the gradual reopening of retailers, moderating project delays and fewer workforce absences.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in response to COVID-19, we have implemented a variety of countermeasures to promote the health and safety of our employees during this pandemic, including health screening, physical distancing practices, enhanced cleaning, use of personal protective equipment, business travel restrictions, and remote work capabilities, in addition to quarantine-related paid leave and other employee assistance programs.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February 29, 2020 and the consolidated financial statements, including the notes to consolidated financial statements, included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First Quarter of Fiscal 2021 Compared to First Quarter of Fiscal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Consolidated net sales were $289.1 million, a decrease of 18.6 percent, or $66.3 million, for the first quarter ended May 30, 2020, compared to net sales of $355.4 million in the prior year period, reflecting COVID-19 related volume declines in each of the company's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800" w:type="dxa"/>
            <w:vAlign w:val="bottom"/>
            <w:tcBorders>
              <w:bottom w:val="single" w:sz="8" w:color="auto"/>
            </w:tcBorders>
            <w:gridSpan w:val="3"/>
          </w:tcPr>
          <w:p>
            <w:pPr>
              <w:jc w:val="right"/>
              <w:ind w:right="11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960" w:type="dxa"/>
            <w:vAlign w:val="bottom"/>
            <w:gridSpan w:val="2"/>
          </w:tcPr>
          <w:p>
            <w:pPr>
              <w:ind w:left="500"/>
              <w:spacing w:after="0"/>
              <w:rPr>
                <w:sz w:val="20"/>
                <w:szCs w:val="20"/>
                <w:color w:val="auto"/>
              </w:rPr>
            </w:pPr>
            <w:r>
              <w:rPr>
                <w:rFonts w:ascii="Arial" w:cs="Arial" w:eastAsia="Arial" w:hAnsi="Arial"/>
                <w:sz w:val="14"/>
                <w:szCs w:val="14"/>
                <w:b w:val="1"/>
                <w:bCs w:val="1"/>
                <w:color w:val="auto"/>
              </w:rPr>
              <w:t>May 30, 2020</w:t>
            </w:r>
          </w:p>
        </w:tc>
        <w:tc>
          <w:tcPr>
            <w:tcW w:w="1840" w:type="dxa"/>
            <w:vAlign w:val="bottom"/>
          </w:tcPr>
          <w:p>
            <w:pPr>
              <w:jc w:val="right"/>
              <w:ind w:right="452"/>
              <w:spacing w:after="0"/>
              <w:rPr>
                <w:sz w:val="20"/>
                <w:szCs w:val="20"/>
                <w:color w:val="auto"/>
              </w:rPr>
            </w:pPr>
            <w:r>
              <w:rPr>
                <w:rFonts w:ascii="Arial" w:cs="Arial" w:eastAsia="Arial" w:hAnsi="Arial"/>
                <w:sz w:val="14"/>
                <w:szCs w:val="14"/>
                <w:b w:val="1"/>
                <w:bCs w:val="1"/>
                <w:color w:val="auto"/>
              </w:rPr>
              <w:t>June 1, 2019</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40" w:type="dxa"/>
            <w:vAlign w:val="bottom"/>
          </w:tcPr>
          <w:p>
            <w:pPr>
              <w:jc w:val="right"/>
              <w:ind w:right="93"/>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40" w:type="dxa"/>
            <w:vAlign w:val="bottom"/>
          </w:tcPr>
          <w:p>
            <w:pPr>
              <w:jc w:val="right"/>
              <w:ind w:right="93"/>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84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Effective tax rate</w:t>
            </w: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vMerge w:val="continue"/>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ind w:left="60"/>
        <w:spacing w:after="0" w:line="290" w:lineRule="auto"/>
        <w:rPr>
          <w:sz w:val="20"/>
          <w:szCs w:val="20"/>
          <w:color w:val="auto"/>
        </w:rPr>
      </w:pPr>
      <w:r>
        <w:rPr>
          <w:rFonts w:ascii="Arial" w:cs="Arial" w:eastAsia="Arial" w:hAnsi="Arial"/>
          <w:sz w:val="17"/>
          <w:szCs w:val="17"/>
          <w:color w:val="auto"/>
        </w:rPr>
        <w:t>Gross profit as a percent of sales was 20.8 percent for the three-month period ended May 30, 2020, compared to 22.8 percent for the three-month period ended June 1, 2019. This decrease was largely driven by lower volumes in the first quarter due to COVID-19-related project delays.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27" w:lineRule="exact"/>
        <w:rPr>
          <w:sz w:val="20"/>
          <w:szCs w:val="20"/>
          <w:color w:val="auto"/>
        </w:rPr>
      </w:pPr>
    </w:p>
    <w:p>
      <w:pPr>
        <w:jc w:val="both"/>
        <w:ind w:left="60"/>
        <w:spacing w:after="0" w:line="277" w:lineRule="auto"/>
        <w:rPr>
          <w:sz w:val="20"/>
          <w:szCs w:val="20"/>
          <w:color w:val="auto"/>
        </w:rPr>
      </w:pPr>
      <w:r>
        <w:rPr>
          <w:rFonts w:ascii="Arial" w:cs="Arial" w:eastAsia="Arial" w:hAnsi="Arial"/>
          <w:sz w:val="17"/>
          <w:szCs w:val="17"/>
          <w:color w:val="auto"/>
        </w:rPr>
        <w:t>SG&amp;A expenses as a percent of sales were 18.6 percent for the three-month period ended May 30, 2020, compared to 16.3 percent in the prior year three-month period. SG&amp;A increased as a percent of sales compared to the same period in the prior year, due to leverage on lower sales, partially offset by the impact of cost cutting measures put in place by the Company in response to the current COVID-19 environment.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effective tax rate in the first quarter of fiscal 2021 was 28.2 percent, compared to 24.4 percent in the prior year period. The increase in the tax rate was primarily driven by discrete tax expense relative to earnings for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Borders>
              <w:bottom w:val="single" w:sz="8" w:color="auto"/>
            </w:tcBorders>
          </w:tcPr>
          <w:p>
            <w:pPr>
              <w:spacing w:after="0"/>
              <w:rPr>
                <w:sz w:val="16"/>
                <w:szCs w:val="16"/>
                <w:color w:val="auto"/>
              </w:rPr>
            </w:pPr>
          </w:p>
        </w:tc>
      </w:tr>
      <w:tr>
        <w:trPr>
          <w:trHeight w:val="263"/>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May 30, 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June 1, 2019</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150,164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180,522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540" w:type="dxa"/>
            <w:vAlign w:val="bottom"/>
          </w:tcPr>
          <w:p>
            <w:pPr>
              <w:jc w:val="right"/>
              <w:ind w:right="115"/>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
        </w:trPr>
        <w:tc>
          <w:tcPr>
            <w:tcW w:w="5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0"/>
        <w:spacing w:after="0" w:line="263" w:lineRule="auto"/>
        <w:rPr>
          <w:sz w:val="20"/>
          <w:szCs w:val="20"/>
          <w:color w:val="auto"/>
        </w:rPr>
      </w:pPr>
      <w:r>
        <w:rPr>
          <w:rFonts w:ascii="Arial" w:cs="Arial" w:eastAsia="Arial" w:hAnsi="Arial"/>
          <w:sz w:val="18"/>
          <w:szCs w:val="18"/>
          <w:color w:val="auto"/>
        </w:rPr>
        <w:t>Architectural Framing Systems net sales declined $30.4 million, or 16.8 percent, for the three-month period ended May 30, 2020, compared to the prior-year period, reflecting lower volume due to several COVID-19 related project delays and disruptions, particularly in regions with more state and local government restrictions on construction activity.</w:t>
      </w:r>
    </w:p>
    <w:p>
      <w:pPr>
        <w:spacing w:after="0" w:line="76"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Operating margin decreased 190 basis points for the three-month period of the current year, compared to the same period in the prior year, reflecting the lower volume, partially offset by the impact of cost reduction actions.</w:t>
      </w:r>
    </w:p>
    <w:p>
      <w:pPr>
        <w:spacing w:after="0" w:line="62" w:lineRule="exact"/>
        <w:rPr>
          <w:sz w:val="20"/>
          <w:szCs w:val="20"/>
          <w:color w:val="auto"/>
        </w:rPr>
      </w:pPr>
    </w:p>
    <w:p>
      <w:pPr>
        <w:jc w:val="both"/>
        <w:ind w:left="60"/>
        <w:spacing w:after="0" w:line="275" w:lineRule="auto"/>
        <w:rPr>
          <w:sz w:val="20"/>
          <w:szCs w:val="20"/>
          <w:color w:val="auto"/>
        </w:rPr>
      </w:pPr>
      <w:r>
        <w:rPr>
          <w:rFonts w:ascii="Arial" w:cs="Arial" w:eastAsia="Arial" w:hAnsi="Arial"/>
          <w:sz w:val="17"/>
          <w:szCs w:val="17"/>
          <w:color w:val="auto"/>
        </w:rPr>
        <w:t>As of May 30, 2020, segment backlog was approximately $421 million, compared to approximately $430 million last quarter.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Architectural Glass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3"/>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May 30, 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June 1, 2019</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76,911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100,291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6,399</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7"/>
        </w:trPr>
        <w:tc>
          <w:tcPr>
            <w:tcW w:w="5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0" w:right="20"/>
        <w:spacing w:after="0" w:line="263" w:lineRule="auto"/>
        <w:rPr>
          <w:sz w:val="20"/>
          <w:szCs w:val="20"/>
          <w:color w:val="auto"/>
        </w:rPr>
      </w:pPr>
      <w:r>
        <w:rPr>
          <w:rFonts w:ascii="Arial" w:cs="Arial" w:eastAsia="Arial" w:hAnsi="Arial"/>
          <w:sz w:val="18"/>
          <w:szCs w:val="18"/>
          <w:color w:val="auto"/>
        </w:rPr>
        <w:t>Net sales decreased $23.4 million, or 23.3 percent, for the three-month period ended May 30, 2020, compared to the same period in the prior year. The decrease reflects lower volumes due to project timing and delays and significant production disruptions caused by COVID-19 related workforce absences at its largest facility.</w:t>
      </w:r>
    </w:p>
    <w:p>
      <w:pPr>
        <w:spacing w:after="0" w:line="76"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The segment had an operating loss of $0.5 million and operating margin was (0.6) percent, down from operating income of $6.4 million and margin of 6.4 percent in last year's first quarter, due to leverage on the lower volume and the impact of COVID-19 related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May 30, 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June 1, 2019</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4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63,551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65,147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4,573</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16.8 %</w:t>
            </w:r>
          </w:p>
        </w:tc>
      </w:tr>
      <w:tr>
        <w:trPr>
          <w:trHeight w:val="27"/>
        </w:trPr>
        <w:tc>
          <w:tcPr>
            <w:tcW w:w="3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432"/>
        </w:trPr>
        <w:tc>
          <w:tcPr>
            <w:tcW w:w="34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color w:val="auto"/>
        </w:rPr>
        <w:t>Architectural Services net sales declined $1.6 million, or 2.4 percent, for the three-month period ended May 30, 2020, over the same period in the prior year, reflecting certain COVID-19 related project delays.</w:t>
      </w:r>
    </w:p>
    <w:p>
      <w:pPr>
        <w:spacing w:after="0" w:line="62"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color w:val="auto"/>
        </w:rPr>
        <w:t>Operating margin increased 140 basis points for the three-month period of the current year, compared to the same period in the prior year, driven by strong project execution, disciplined project selection, and effective cost management.</w:t>
      </w:r>
    </w:p>
    <w:p>
      <w:pPr>
        <w:spacing w:after="0" w:line="62"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As of May 30, 2020, segment backlog was approximately $685 million, compared to approximately $660 million last quarter. Backlog is defined within the Architectural Framing Systems discussion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May 30, 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June 1, 2019</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6,312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21,259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95"/>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7"/>
        </w:trPr>
        <w:tc>
          <w:tcPr>
            <w:tcW w:w="5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0"/>
        <w:spacing w:after="0" w:line="279" w:lineRule="auto"/>
        <w:rPr>
          <w:sz w:val="20"/>
          <w:szCs w:val="20"/>
          <w:color w:val="auto"/>
        </w:rPr>
      </w:pPr>
      <w:r>
        <w:rPr>
          <w:rFonts w:ascii="Arial" w:cs="Arial" w:eastAsia="Arial" w:hAnsi="Arial"/>
          <w:sz w:val="17"/>
          <w:szCs w:val="17"/>
          <w:color w:val="auto"/>
        </w:rPr>
        <w:t>LSO net sales decreased $14.9 million or 70.3 percent for the three-month period ended May 30, 2020, over the same period in the prior year, as most of the segment's retail customers were closed for a large part of the quarter to comply with various state and local government directives. In response to the lower demand, and to comply with state government directives, the segment closed its two manufacturing locations in March 2020, through the remainder of the first quarter. These facilities are expected to resume operations late in the second quarter.</w:t>
      </w:r>
    </w:p>
    <w:p>
      <w:pPr>
        <w:spacing w:after="0" w:line="63" w:lineRule="exact"/>
        <w:rPr>
          <w:sz w:val="20"/>
          <w:szCs w:val="20"/>
          <w:color w:val="auto"/>
        </w:rPr>
      </w:pPr>
    </w:p>
    <w:p>
      <w:pPr>
        <w:jc w:val="both"/>
        <w:ind w:left="60"/>
        <w:spacing w:after="0" w:line="308" w:lineRule="auto"/>
        <w:rPr>
          <w:sz w:val="20"/>
          <w:szCs w:val="20"/>
          <w:color w:val="auto"/>
        </w:rPr>
      </w:pPr>
      <w:r>
        <w:rPr>
          <w:rFonts w:ascii="Arial" w:cs="Arial" w:eastAsia="Arial" w:hAnsi="Arial"/>
          <w:sz w:val="17"/>
          <w:szCs w:val="17"/>
          <w:color w:val="auto"/>
        </w:rPr>
        <w:t>The segment had an operating loss of $3.1 million and operating margin of (49.6) percent for the three-month period ended May 30, 2020, compared to operating income of $4.2 million and operating margin of 19.6 percent in last year's first quarter, reflecting the impact of the lower volume.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9"/>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Selected cash flow data</w:t>
            </w: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May 30, 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1, 2019</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23,976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(9,742)</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(11,198)</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Borrowings on line of credit</w:t>
            </w: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139,500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103,000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line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r>
      <w:tr>
        <w:trPr>
          <w:trHeight w:val="243"/>
        </w:trPr>
        <w:tc>
          <w:tcPr>
            <w:tcW w:w="8000" w:type="dxa"/>
            <w:vAlign w:val="bottom"/>
            <w:gridSpan w:val="2"/>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(20,010)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r>
      <w:tr>
        <w:trPr>
          <w:trHeight w:val="27"/>
        </w:trPr>
        <w:tc>
          <w:tcPr>
            <w:tcW w:w="7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was $24.0 million for the first three months of fiscal 2021, an increase of $33.7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prior-year period, primarily due to strong working capital management.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$9.7 million for the first three months of fiscal 2021, primarily due to capital expenditures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$8.6 million, while in the first three months of the prior year, net cash used by investing activities was $12.0 million, primarily due to capital expenditures of $11.2 million.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used in financing activities was $17.3 million for the first three months of fiscal 2021, compared to net cash provided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activities of $21.6 million for the prior-year period, primarily due to $7.0 million of net payments on the line of credit in the current year compared to net borrowings of $47.5 million in the prior year period. During April 2020, the Company extended the maturity of its $150 million term loan to April 2021. At May 30, 2020, we were in compliance with the financial covenants in our credit facility and term loan.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paid dividends totaling $4.9 million ($0.1875 per share) in the first three months of fiscal 2021 compared to $4.6 million ($0.175 per share) in the comparable prior-year period. In March 2020, we repurchased 231,492 shares under our authorized share repurchase program, for a total cost of $4.7 million. We have since temporarily suspended share repurchases. In the first three months of fiscal 2020, we repurchased 531,997 shares under our authorized share repurchase program, for a total cost of $20.0 million. We have purchased a total of 6,186,404 shares, at a total cost of $179.1 million, since the fiscal 2004 inception of this</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We currently have remaining authority to repurchase an additional 2,063,596 shares under this program. We will continue to evaluate making future share repurchases, considering our cash flow and debt levels, market conditions, including the continuing effects of the COVID-19 pandemic, and other potential uses of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Financing Activities. </w:t>
      </w:r>
      <w:r>
        <w:rPr>
          <w:rFonts w:ascii="Arial" w:cs="Arial" w:eastAsia="Arial" w:hAnsi="Arial"/>
          <w:sz w:val="18"/>
          <w:szCs w:val="18"/>
          <w:color w:val="auto"/>
        </w:rPr>
        <w:t>The following summarizes our significant contractual obligations that impact our liquidity as of May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Payments Due by Fiscal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3"/>
                <w:szCs w:val="13"/>
                <w:color w:val="auto"/>
              </w:rPr>
            </w:pPr>
          </w:p>
        </w:tc>
        <w:tc>
          <w:tcPr>
            <w:tcW w:w="8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Fiscal 2022</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Fiscal 2023</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0"/>
              </w:rPr>
              <w:t>Fiscal 2024</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0"/>
              </w:rPr>
              <w:t>Fiscal 2025</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Fiscal 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210,900</w:t>
            </w: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Operating leases (undiscounted)</w:t>
            </w: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9,168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10,933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55,903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146,927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177,199</w:t>
            </w:r>
          </w:p>
        </w:tc>
        <w:tc>
          <w:tcPr>
            <w:tcW w:w="0" w:type="dxa"/>
            <w:vAlign w:val="bottom"/>
          </w:tcPr>
          <w:p>
            <w:pPr>
              <w:spacing w:after="0"/>
              <w:rPr>
                <w:sz w:val="1"/>
                <w:szCs w:val="1"/>
                <w:color w:val="auto"/>
              </w:rPr>
            </w:pPr>
          </w:p>
        </w:tc>
      </w:tr>
      <w:tr>
        <w:trPr>
          <w:trHeight w:val="237"/>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Total cash obligations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161,495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192,801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11,347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46,756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23,386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444,002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$0.7 million to our defined-benefit pension plans in fiscal 2021, which will equal or exceed our minimum funding requirements.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30, 2020, we had reserves of $4.1 million and $0.9 million for unrecognized tax benefits and environmental liabilities, respectively. We currently expect approximately $0.4 million of the unrecognized tax benefits to lapse during the next 12 months. We are unable to reasonably estimate in which future periods the remaining unrecognized tax benefits and environmental liabilities will ultimately be settled.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required, in the ordinary course of business, to provide surety or performance bonds that commit payments to our customers for any non-performance. At May 30, 2020, $1.0 billion of these types of bonds were outstanding, of which $582.3 million is in our backlog. These bonds do not have stated expiration dates. We have never been required to make payments under surety or performance bonds with respect to our existing businesses.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COVID-19 Consideration. </w:t>
      </w:r>
      <w:r>
        <w:rPr>
          <w:rFonts w:ascii="Arial" w:cs="Arial" w:eastAsia="Arial" w:hAnsi="Arial"/>
          <w:sz w:val="17"/>
          <w:szCs w:val="17"/>
          <w:color w:val="auto"/>
        </w:rPr>
        <w:t>While we believe we have adequate sources of liquidity to continue to fund our business for at least the next 12 months,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extent to which the ongoing COVID-19 situation may impact our results of operations or liquidity is uncertain. To date, we have experienced some delays in commercial construction projects and orders due to COVID-19. While the construction and construction-related industries are considered an "essential business or service" in most jurisdictions in which we operate, site closures or project and order delays have occurred and increased social distancing and health-related precautions are required on many work sites, which may cause additional project delays and additional costs to be incurred. Within the LSO segment, we have also experienced the temporary closure of many of our customer's retail locations and we temporarily shut down our factories in this segment. We expect this global pandemic to have an impact on our revenue and our results of operations, the size and duration of which we are currently unable to predict. At this time, we do not expect that the impact from the coronavirus outbreak will have a significant effect on our liquidity. As demonstrated in the first quarter, we are proactively taking steps to increase available cash on hand including, but not limited to, active working capital management and targeted reductions in discretionary operating expenses and capital expenditures. Given the speed and frequency of continuously evolving developments with respect to this pandemic, we cannot reasonably estimate the magnitude of the impact to our results of operations, liquidity or financial position. To the extent that our customers and suppliers are adversely impacted by the coronavirus outbreak, this could reduce the availability, or result in delays, of materials or supplies, or delays in customer payments, which in turn could materially interrupt our business operations and/or impact our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February 29,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line="7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No material changes have occurred in the disclosure of our critical accounting policies set forth in our Annual Report on Form 10-K for the fiscal year ended February 29, 2020, other than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evaluate goodwill for impairment annually at our year-end, or more frequently if events or changes in circumstances indicate the carrying value of the goodwill may not be recoverable. During the first quarter of fiscal 2021, we identified qualitative indicators of impairment, including a significant decline in our stock price and market capitalization, along with concerns resulting from the COVID-19 pandemic at four of our nine identified reporting units. Therefore, we performed an interim goodwill impairment evaluation as of May 30, 2020. If the fair value of a reporting unit exceeds the carrying value, goodwill impairment is not indicated. Our accounting policy related to goodwill has not changed from that disclosed in our Annual Report on Form 10-K.</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on the results of the interim quantitative goodwill impairment analysis, the estimated fair value of each reporting unit exceeded its carrying value and, therefore, goodwill impairment was not indicated as of May 30, 2020. However, the estimated fair value did not exceed carrying value by a significant margin at two reporting units within the Architectural Framing Systems segment, EFCO and Sotawall, which had goodwill balances of $90.4 million and $26.7 million, respectively, at May 30, 2020. We utilized a discount rate of 11.0 percent in determining the discounted cash flows for EFCO and a discount rate of 10.4 percent in determining the discounted cash flows for Sotawall. We utilized a long-term growth rate of 3.0 percent in our fair value analysis for all reporting units. If our discount rates were to increase by 100 basis points at Sotawall and EFCO, the fair value of these reporting units would fall below carrying value, which would indicate impairment of the goodwill. Additionally, this discounted cash flow analysis is dependent upon achieving forecasted levels of revenue and profitability. If revenue or profitability were to fall below forecasted levels, or if market conditions were to decline in a material or sustained manner, impairment could be indicated at these reporting units, and potentially at other reporting units. If the impacts that we have experienced from COVID-19 continue at the current or worsening levels, this will likely have a negative impact on our forecasted revenue and profitability and this could result in an indication of goodwill impairment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hold intangible assets for certain acquired trade names and trademarks which are determined to have indefinite useful lives. We evaluate the reasonableness of the useful life and test indefinite-lived intangible assets for impairment annually at our year-end, or more frequently if events or changes in circumstances indicate that it is more likely than not that the asset is impaired. During the first quarter of fiscal 2021, we identified qualitative indicators of impairment, including deteriorating macroeconomic conditions resulting from the COVID-19 pandemic. Therefore, the Company performed a quantitative indefinite-lived intangible asset impairment evaluation as of May 30, 2020. If the carrying amount of an indefinite-lived intangible asset exceeds its fair value, an impairment loss is recognized in an amount equal to that excess. If an impairment loss is recognized, the adjusted carrying amount becomes the asset's new accounting basis. Our accounting policy for indefinite-lived intangible assets has not changed from that disclosed in our Annual Report on Form 10-K.</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Fair value is measured using the relief-from-royalty method. This method assumes the trade name or trademark has value to the extent that the owner is relieved of the obligation to pay royalties for the benefits received from the asset. This method requires us to estimate the future revenue from the related asset, the appropriate royalty rate, and the weighted average cost of capital. The assessment of fair value involves significant judgment and projections about future performance. In determining the discounted future revenue in our fair value analysis, we used discount rates that are appropriate with the risks and uncertainties inherent in the respective businesses in the range of 10.9 percent to 11.5 percent, royalty rates of 1.5 to 2.0 percent, and a long-term growth rate of 3.0 percent. Based on our analysis, the fair value of each of our trade names exceeded its carrying amount and impairment was not indicated. We continue to conclude that the useful life of our indefinite-lived intangible assets is appropriate. If future revenue were to fall below forecasted levels or if market conditions were to decline in a material or sustained manner, due to COVID-19 or otherwise, impairment could be indicated on one or more of our indefinite-lived intangible assets.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material changes have occurred to the disclosures of quantitative and qualitative market risk set forth in our Annual Report on Form 10-K for the fiscal year ended February 29, 2020.</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70"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72"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May 30, 2020, that has materially affected, or is reasonably likely to materially affect, the Company’s internal control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Murray Mayer v. Apogee Enterprises, Inc., et al</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5, 2018, Murray Mayer, individually and on behalf of all others similarly situated, filed a purported securities class action lawsuit against the Company and our Chief Executive Officer and our Chief Financial Officer in the United States District Court for the District of Minnesota. On February 26, 2019, the Court appointed as lead plaintiffs the City of Cape Coral Municipal Firefighters’ Retirement Plan and the City of Cape Coral Municipal</w:t>
      </w:r>
    </w:p>
    <w:p>
      <w:pPr>
        <w:sectPr>
          <w:pgSz w:w="11900" w:h="16917" w:orient="portrait"/>
          <w:cols w:equalWidth="0" w:num="1">
            <w:col w:w="11240"/>
          </w:cols>
          <w:pgMar w:left="320" w:top="125" w:right="339" w:bottom="0" w:gutter="0" w:footer="0" w:header="0"/>
        </w:sectPr>
      </w:pPr>
    </w:p>
    <w:bookmarkStart w:id="24" w:name="page25"/>
    <w:bookmarkEnd w:id="24"/>
    <w:p>
      <w:pPr>
        <w:jc w:val="both"/>
        <w:ind w:right="20"/>
        <w:spacing w:after="0" w:line="308" w:lineRule="auto"/>
        <w:rPr>
          <w:sz w:val="20"/>
          <w:szCs w:val="20"/>
          <w:color w:val="auto"/>
        </w:rPr>
      </w:pPr>
      <w:r>
        <w:rPr>
          <w:rFonts w:ascii="Arial" w:cs="Arial" w:eastAsia="Arial" w:hAnsi="Arial"/>
          <w:sz w:val="17"/>
          <w:szCs w:val="17"/>
          <w:color w:val="auto"/>
        </w:rPr>
        <w:t>Police Officers’ Retirement Plan. On March 25, 2020, the District Court granted the Company's motion to dismiss without prejudice this matter. On May 5, 2020, the District Court entered final judgment. Plaintiffs have waived their right to appeal. The Company views this matter as closed.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Buley v. Apogee Enterprises, Inc. et 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17, 2018, Justin Buley filed a derivative lawsuit, purportedly on behalf of the Company, against our Chief Executive Officer, our Chief Financial Officer and eight of the nine non-executive members of our Board of Directors, in the Fourth Judicial District of the State of Minnesota. The complaint alleged claims for breach of fiduciary duty, waste of corporate assets and unjust enrichment. On May 29, 2020, the parties filed a joint stipulation and order dismissing this matter without prejudice. The Company views this matter as closed.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or additions to our risk factors discussed in our Annual Report on Form 10-K for the fiscal year ended February 29, 2020, except as noted below.</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The novel coronavirus (COVID-19) pandemic, efforts to mitigate the pandemic, and the related weakening economic conditions, have impacted our business and could have a significant negative impact on our operations, liquidity, financial condition and financial results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last quarter of our fiscal 2020, a novel strain of coronavirus, COVID-19, started to impact the global economic environment causing extreme volatility and uncertainty in global markets. In March 2020, the World Health Organization declared COVID-19 to be a global pandemic and we started to see certain impacts to our business. This contagious disease outbreak, which has continued to spread, and the related adverse public health developments, and government orders to "stay in place" have adversely affected work forces, economies and financial markets globally. Quarantines and "stay in place" orders, the timing and length of containment and eradication solutions, travel restrictions, absenteeism by infected workers, labor shortages or other disruptions to our supply chain or our customers, have adversely impacted our sales and operating results and have resulted in some project delays. 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 the pandemic has resulted in an economic downturn that could affect the ability of our customers to obtain financing for projects and therefore impact demand for our products and services. Order lead times could be extended or delayed and our pricing or pricing of suppliers for needed materials could increase. Some critical materials, products or services may become unavailable if the regional or global spread were significant enough to prevent alternative sourcing. Accordingly, we are considering alternative product sourcing in the event that material supply becomes problematic.</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date, we have experienced some delays in commercial construction projects due to COVID-19. While the construction and construction-related industries are considered an "essential business or service" in most jurisdictions in which we operate, site closures or project delays have occurred and increased social distancing and health-related precautions are required on many work sites, which may cause additional project delays and additional costs to be incurred. Within the LSO segment, we also experienced the temporary closure of many of our customer's retail locations and we temporarily shut down our factories in this segment to comply with government "stay in place" orders. We expect this global pandemic to have an impact on our revenue and our results of operations, the size and duration of which we are currently unable to predict. The global outbreak of COVID-19 continues to rapidly evolve. The extent to which COVID-19 will impact our business will depend on future developments, which are highly uncertain and cannot be predicted with confidence, such as the ultimate severity and spread of the disease, the duration of the outbreak, travel restrictions and social distancing requirements in the United States and other countries, business closures or business disruptions and the effectiveness of actions taken in the United States and other countries to contain and treat the disease.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speed and frequency of the continuously evolving developments with respect to this pandemic, we cannot reasonably estimate the magnitude of the impact to our results of operations, liquidity or financial position. To the extent that our customers and suppliers are adversely impacted by the coronavirus outbreak, this could reduce the availability, or result in delays, of materials or supplies, or delays in customer payments, which in turn could materially interrupt our business operations and/or impact our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assets include a significant amount of goodwill and indefinite-lived intangible assets. We evaluate goodwill and indefinite-lived intangibles for impairment annually at our year-end, or more frequently if events or changes in circumstances indicate that the carrying value of a reporting unit may not be recoverable. During the first quarter of fiscal 2021, we identified qualitative indicators of impairment, including a significant decline in our stock price and market capitalization, along with concerns resulting from the COVID-19 pandemic at four of our nine identified reporting units. The assessment of impairment requires determination of estimated fair value, generally using a discounted cash flow analysis, which involves significant judgment and projections about future performance.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management on a regular basis. Each of our nine business units represents a reporting unit for the goodwill impairment analysis. Based on the results of the interim quantitative goodwill impairment analysis, the estimated fair value of each reporting unit exceeded its carrying value and, therefore, goodwill impairment was not indicated as of May 30, 2020. However, the estimated fair value did not exceed carrying value by a significant margin at two reporting units within the Architectural Framing Systems segment, EFCO and Sotawall, which had goodwill balances of $90.4 million and $26.7 million, respectively, at May 30, 2020. We utilized a discount rate of 11.0 percent in determining the discounted cash flows for EFCO and a discount rate of 10.4 percent in determining the discounted cash flows for Sotawall. We utilized a long-term growth rate of 3.0 percent in our fair value analysis for all reporting units. If our discount rates were to increase by 100 basis points at Sotawall and EFCO, the fair value of these reporting units would fall below carrying value, which would indicate impairment of the goodwill. Additionally, this discounted cash flow analysis is dependent upon achieving forecasted levels of revenue and profitability. If revenue or profitability were to fall below forecasted levels, or if market conditions were to decline in a material or sustained manner, impairment could be indicated at these reporting units, and potentially at other reporting units. If the impacts that we have experienced from COVID-19 continue at the current or worsening levels, this will likely have a negative impact on our forecasted revenue and profitability and this could result in an indication of goodwill impairment in future periods.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Fair value of our indefinite-lived intangible assets is measured using the relief-from-royalty method. This method assumes the trade name or trademark has value to the extent that the owner is relieved of the obligation to pay royalties for the benefits received from the asset. This method requires estimation of the future revenue from the related asset, the appropriate royalty rate, and the weighted average cost of capital. During the first quarter of fiscal 2021, we identified qualitative indicators of impairment, including deteriorating macroeconomic conditions resulting from the COVID-19 pandemic. Therefore, the Company performed a quantitative indefinite-lived intangible asset impairment evaluation as of May 30, 2020. Based on our analysis, the fair value of each of our trade names exceeded its carrying amount and impairment was not indicated. In determining the discounted future revenue in our fair value analysis, we used discount rates that are appropriate with the risks and uncertainties inherent in the respective businesses in the range of 10.9 percent to 11.5 percent, royalty rates of 1.5 to 2.0 percent, and a long-term growth 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3.0 percent. We continue to conclude that the useful life of our indefinite-lived intangible assets is appropriate. If future revenue were to fall below forecasted levels or if market conditions were to decline in a material or sustained manner, due to COVID-19 or otherwise, impairment could be indicated on one or more of our indefinite-lived intangible assets.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first quarter of fiscal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8"/>
        </w:trPr>
        <w:tc>
          <w:tcPr>
            <w:tcW w:w="4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 or</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Shares Purchased (a)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 (b)</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2020 to March 28, 2020</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234,272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231,492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2,063,596</w:t>
            </w:r>
          </w:p>
        </w:tc>
        <w:tc>
          <w:tcPr>
            <w:tcW w:w="0" w:type="dxa"/>
            <w:vAlign w:val="bottom"/>
          </w:tcPr>
          <w:p>
            <w:pPr>
              <w:spacing w:after="0"/>
              <w:rPr>
                <w:sz w:val="1"/>
                <w:szCs w:val="1"/>
                <w:color w:val="auto"/>
              </w:rPr>
            </w:pP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March 29, 2020 to April 25, 2020</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9"/>
              <w:spacing w:after="0"/>
              <w:rPr>
                <w:sz w:val="20"/>
                <w:szCs w:val="20"/>
                <w:color w:val="auto"/>
              </w:rPr>
            </w:pPr>
            <w:r>
              <w:rPr>
                <w:rFonts w:ascii="Arial" w:cs="Arial" w:eastAsia="Arial" w:hAnsi="Arial"/>
                <w:sz w:val="18"/>
                <w:szCs w:val="18"/>
                <w:color w:val="auto"/>
              </w:rPr>
              <w:t>2,063,596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26, 2020 to May 30, 2020</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2,063,596</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256,995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231,492</w:t>
            </w:r>
          </w:p>
        </w:tc>
        <w:tc>
          <w:tcPr>
            <w:tcW w:w="120" w:type="dxa"/>
            <w:vAlign w:val="bottom"/>
          </w:tcPr>
          <w:p>
            <w:pPr>
              <w:spacing w:after="0"/>
              <w:rPr>
                <w:sz w:val="20"/>
                <w:szCs w:val="20"/>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2,063,596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hanging="652"/>
        <w:spacing w:after="0" w:line="250"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jc w:val="both"/>
        <w:ind w:left="660" w:hanging="652"/>
        <w:spacing w:after="0" w:line="248"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and January 14, 2020; and by 2,000,000 shares, announced on October 3, 2018. The repurchase program does not have an expiration date.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gridSpan w:val="10"/>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80" w:type="dxa"/>
            <w:vAlign w:val="bottom"/>
            <w:shd w:val="clear" w:color="auto" w:fill="CCEEFF"/>
          </w:tcPr>
          <w:p>
            <w:pPr>
              <w:jc w:val="right"/>
              <w:ind w:right="250"/>
              <w:spacing w:after="0" w:line="202" w:lineRule="exact"/>
              <w:rPr>
                <w:rFonts w:ascii="Arial" w:cs="Arial" w:eastAsia="Arial" w:hAnsi="Arial"/>
                <w:sz w:val="18"/>
                <w:szCs w:val="18"/>
                <w:u w:val="single" w:color="auto"/>
                <w:color w:val="0000FF"/>
                <w:w w:val="91"/>
              </w:rPr>
            </w:pPr>
            <w:hyperlink r:id="rId13">
              <w:r>
                <w:rPr>
                  <w:rFonts w:ascii="Arial" w:cs="Arial" w:eastAsia="Arial" w:hAnsi="Arial"/>
                  <w:sz w:val="18"/>
                  <w:szCs w:val="18"/>
                  <w:u w:val="single" w:color="auto"/>
                  <w:color w:val="0000FF"/>
                  <w:w w:val="91"/>
                </w:rPr>
                <w:t>10.1</w:t>
              </w:r>
            </w:hyperlink>
          </w:p>
        </w:tc>
        <w:tc>
          <w:tcPr>
            <w:tcW w:w="820" w:type="dxa"/>
            <w:vAlign w:val="bottom"/>
            <w:shd w:val="clear" w:color="auto" w:fill="CCEEFF"/>
          </w:tcPr>
          <w:p>
            <w:pPr>
              <w:spacing w:after="0"/>
              <w:rPr>
                <w:sz w:val="17"/>
                <w:szCs w:val="17"/>
                <w:color w:val="auto"/>
              </w:rPr>
            </w:pPr>
          </w:p>
        </w:tc>
        <w:tc>
          <w:tcPr>
            <w:tcW w:w="9740" w:type="dxa"/>
            <w:vAlign w:val="bottom"/>
            <w:gridSpan w:val="9"/>
            <w:shd w:val="clear" w:color="auto" w:fill="CCEEFF"/>
          </w:tcPr>
          <w:p>
            <w:pPr>
              <w:spacing w:after="0" w:line="202" w:lineRule="exact"/>
              <w:rPr>
                <w:rFonts w:ascii="Arial" w:cs="Arial" w:eastAsia="Arial" w:hAnsi="Arial"/>
                <w:sz w:val="18"/>
                <w:szCs w:val="18"/>
                <w:color w:val="0000FF"/>
              </w:rPr>
            </w:pPr>
            <w:hyperlink r:id="rId13">
              <w:r>
                <w:rPr>
                  <w:rFonts w:ascii="Arial" w:cs="Arial" w:eastAsia="Arial" w:hAnsi="Arial"/>
                  <w:sz w:val="18"/>
                  <w:szCs w:val="18"/>
                  <w:color w:val="0000FF"/>
                </w:rPr>
                <w:t>Restricted Stock Deferral Program Under the Apogee Enterprises, Inc. 2019 Non-Employee Director Stock Incentive Plan.</w:t>
              </w:r>
            </w:hyperlink>
          </w:p>
        </w:tc>
      </w:tr>
      <w:tr>
        <w:trPr>
          <w:trHeight w:val="243"/>
        </w:trPr>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792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Incorporated by reference to Exhibit 10.1 to Registrant's Current Report on Form 8-K filed on April 29, 2020.</w:t>
              </w:r>
            </w:hyperlink>
          </w:p>
        </w:tc>
        <w:tc>
          <w:tcPr>
            <w:tcW w:w="17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680" w:type="dxa"/>
            <w:vAlign w:val="bottom"/>
          </w:tcPr>
          <w:p>
            <w:pPr>
              <w:jc w:val="right"/>
              <w:ind w:right="250"/>
              <w:spacing w:after="0" w:line="202" w:lineRule="exact"/>
              <w:rPr>
                <w:rFonts w:ascii="Arial" w:cs="Arial" w:eastAsia="Arial" w:hAnsi="Arial"/>
                <w:sz w:val="18"/>
                <w:szCs w:val="18"/>
                <w:u w:val="single" w:color="auto"/>
                <w:color w:val="0000FF"/>
                <w:w w:val="91"/>
              </w:rPr>
            </w:pPr>
            <w:hyperlink r:id="rId14">
              <w:r>
                <w:rPr>
                  <w:rFonts w:ascii="Arial" w:cs="Arial" w:eastAsia="Arial" w:hAnsi="Arial"/>
                  <w:sz w:val="18"/>
                  <w:szCs w:val="18"/>
                  <w:u w:val="single" w:color="auto"/>
                  <w:color w:val="0000FF"/>
                  <w:w w:val="91"/>
                </w:rPr>
                <w:t>10.2</w:t>
              </w:r>
            </w:hyperlink>
          </w:p>
        </w:tc>
        <w:tc>
          <w:tcPr>
            <w:tcW w:w="820" w:type="dxa"/>
            <w:vAlign w:val="bottom"/>
          </w:tcPr>
          <w:p>
            <w:pPr>
              <w:spacing w:after="0"/>
              <w:rPr>
                <w:sz w:val="17"/>
                <w:szCs w:val="17"/>
                <w:color w:val="auto"/>
              </w:rPr>
            </w:pPr>
          </w:p>
        </w:tc>
        <w:tc>
          <w:tcPr>
            <w:tcW w:w="9740" w:type="dxa"/>
            <w:vAlign w:val="bottom"/>
            <w:gridSpan w:val="9"/>
          </w:tcPr>
          <w:p>
            <w:pPr>
              <w:spacing w:after="0" w:line="202"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Form of Restricted Stock Unit Agreement under the Apogee Enterprises, Inc. 2019 Non-Employee Director Stock Plan. Incorporated</w:t>
              </w:r>
            </w:hyperlink>
          </w:p>
        </w:tc>
      </w:tr>
      <w:tr>
        <w:trPr>
          <w:trHeight w:val="196"/>
        </w:trPr>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0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by reference to Exhibit 10.2 to Registrant's Current Report on Form 8-K filed on April 29, 2020.</w:t>
              </w:r>
            </w:hyperlink>
          </w:p>
        </w:tc>
        <w:tc>
          <w:tcPr>
            <w:tcW w:w="40" w:type="dxa"/>
            <w:vAlign w:val="bottom"/>
            <w:gridSpan w:val="2"/>
          </w:tcPr>
          <w:p>
            <w:pPr>
              <w:spacing w:after="0"/>
              <w:rPr>
                <w:sz w:val="17"/>
                <w:szCs w:val="17"/>
                <w:color w:val="auto"/>
              </w:rPr>
            </w:pPr>
          </w:p>
        </w:tc>
      </w:tr>
      <w:tr>
        <w:trPr>
          <w:trHeight w:val="48"/>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2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80" w:type="dxa"/>
            <w:vAlign w:val="bottom"/>
            <w:tcBorders>
              <w:bottom w:val="single" w:sz="8" w:color="CCEEFF"/>
            </w:tcBorders>
            <w:shd w:val="clear" w:color="auto" w:fill="CCEEFF"/>
          </w:tcPr>
          <w:p>
            <w:pPr>
              <w:jc w:val="right"/>
              <w:ind w:right="250"/>
              <w:spacing w:after="0"/>
              <w:rPr>
                <w:rFonts w:ascii="Arial" w:cs="Arial" w:eastAsia="Arial" w:hAnsi="Arial"/>
                <w:sz w:val="18"/>
                <w:szCs w:val="18"/>
                <w:u w:val="single" w:color="auto"/>
                <w:color w:val="0000FF"/>
                <w:w w:val="91"/>
              </w:rPr>
            </w:pPr>
            <w:hyperlink w:anchor="page29">
              <w:r>
                <w:rPr>
                  <w:rFonts w:ascii="Arial" w:cs="Arial" w:eastAsia="Arial" w:hAnsi="Arial"/>
                  <w:sz w:val="18"/>
                  <w:szCs w:val="18"/>
                  <w:u w:val="single" w:color="auto"/>
                  <w:color w:val="0000FF"/>
                  <w:w w:val="91"/>
                </w:rPr>
                <w:t>10.3</w:t>
              </w:r>
            </w:hyperlink>
          </w:p>
        </w:tc>
        <w:tc>
          <w:tcPr>
            <w:tcW w:w="820" w:type="dxa"/>
            <w:vAlign w:val="bottom"/>
            <w:tcBorders>
              <w:bottom w:val="single" w:sz="8" w:color="CCEEFF"/>
            </w:tcBorders>
            <w:shd w:val="clear" w:color="auto" w:fill="CCEEFF"/>
          </w:tcPr>
          <w:p>
            <w:pPr>
              <w:spacing w:after="0"/>
              <w:rPr>
                <w:sz w:val="21"/>
                <w:szCs w:val="21"/>
                <w:color w:val="auto"/>
              </w:rPr>
            </w:pPr>
          </w:p>
        </w:tc>
        <w:tc>
          <w:tcPr>
            <w:tcW w:w="9740" w:type="dxa"/>
            <w:vAlign w:val="bottom"/>
            <w:tcBorders>
              <w:bottom w:val="single" w:sz="8" w:color="CCEEFF"/>
            </w:tcBorders>
            <w:gridSpan w:val="9"/>
            <w:shd w:val="clear" w:color="auto" w:fill="CCEEFF"/>
          </w:tcPr>
          <w:p>
            <w:pPr>
              <w:spacing w:after="0"/>
              <w:rPr>
                <w:rFonts w:ascii="Arial" w:cs="Arial" w:eastAsia="Arial" w:hAnsi="Arial"/>
                <w:sz w:val="18"/>
                <w:szCs w:val="18"/>
                <w:color w:val="0000FF"/>
              </w:rPr>
            </w:pPr>
            <w:hyperlink w:anchor="page29">
              <w:r>
                <w:rPr>
                  <w:rFonts w:ascii="Arial" w:cs="Arial" w:eastAsia="Arial" w:hAnsi="Arial"/>
                  <w:sz w:val="18"/>
                  <w:szCs w:val="18"/>
                  <w:u w:val="single" w:color="auto"/>
                  <w:color w:val="0000FF"/>
                </w:rPr>
                <w:t>Offer Letter dated May 27, 2020 between Apogee Enterprises, Inc. and Nisheet Gupta</w:t>
              </w:r>
              <w:r>
                <w:rPr>
                  <w:rFonts w:ascii="Arial" w:cs="Arial" w:eastAsia="Arial" w:hAnsi="Arial"/>
                  <w:sz w:val="18"/>
                  <w:szCs w:val="18"/>
                  <w:color w:val="0000FF"/>
                </w:rPr>
                <w:t>.</w:t>
              </w:r>
            </w:hyperlink>
          </w:p>
        </w:tc>
      </w:tr>
      <w:tr>
        <w:trPr>
          <w:trHeight w:val="203"/>
        </w:trPr>
        <w:tc>
          <w:tcPr>
            <w:tcW w:w="680" w:type="dxa"/>
            <w:vAlign w:val="bottom"/>
          </w:tcPr>
          <w:p>
            <w:pPr>
              <w:jc w:val="right"/>
              <w:ind w:right="250"/>
              <w:spacing w:after="0" w:line="202" w:lineRule="exact"/>
              <w:rPr>
                <w:rFonts w:ascii="Arial" w:cs="Arial" w:eastAsia="Arial" w:hAnsi="Arial"/>
                <w:sz w:val="18"/>
                <w:szCs w:val="18"/>
                <w:u w:val="single" w:color="auto"/>
                <w:color w:val="0000FF"/>
                <w:w w:val="91"/>
              </w:rPr>
            </w:pPr>
            <w:hyperlink r:id="rId15">
              <w:r>
                <w:rPr>
                  <w:rFonts w:ascii="Arial" w:cs="Arial" w:eastAsia="Arial" w:hAnsi="Arial"/>
                  <w:sz w:val="18"/>
                  <w:szCs w:val="18"/>
                  <w:u w:val="single" w:color="auto"/>
                  <w:color w:val="0000FF"/>
                  <w:w w:val="91"/>
                </w:rPr>
                <w:t>10.4</w:t>
              </w:r>
            </w:hyperlink>
          </w:p>
        </w:tc>
        <w:tc>
          <w:tcPr>
            <w:tcW w:w="820" w:type="dxa"/>
            <w:vAlign w:val="bottom"/>
          </w:tcPr>
          <w:p>
            <w:pPr>
              <w:spacing w:after="0"/>
              <w:rPr>
                <w:sz w:val="17"/>
                <w:szCs w:val="17"/>
                <w:color w:val="auto"/>
              </w:rPr>
            </w:pPr>
          </w:p>
        </w:tc>
        <w:tc>
          <w:tcPr>
            <w:tcW w:w="9740" w:type="dxa"/>
            <w:vAlign w:val="bottom"/>
            <w:gridSpan w:val="9"/>
          </w:tcPr>
          <w:p>
            <w:pPr>
              <w:spacing w:after="0" w:line="202"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Form of Stock Option Agreement under the Apogee Enterprises, Inc. 2019 Stock Incentive Plan. Incorporated by reference to Exhibit</w:t>
              </w:r>
            </w:hyperlink>
          </w:p>
        </w:tc>
      </w:tr>
      <w:tr>
        <w:trPr>
          <w:trHeight w:val="196"/>
        </w:trPr>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0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Registrant's Current Report on Form 8-K filed on July 7, 2020.</w:t>
              </w:r>
            </w:hyperlink>
          </w:p>
        </w:tc>
        <w:tc>
          <w:tcPr>
            <w:tcW w:w="40" w:type="dxa"/>
            <w:vAlign w:val="bottom"/>
            <w:gridSpan w:val="2"/>
          </w:tcPr>
          <w:p>
            <w:pPr>
              <w:spacing w:after="0"/>
              <w:rPr>
                <w:sz w:val="17"/>
                <w:szCs w:val="17"/>
                <w:color w:val="auto"/>
              </w:rPr>
            </w:pPr>
          </w:p>
        </w:tc>
      </w:tr>
      <w:tr>
        <w:trPr>
          <w:trHeight w:val="48"/>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20" w:type="dxa"/>
            <w:vAlign w:val="bottom"/>
            <w:tcBorders>
              <w:top w:val="single" w:sz="8" w:color="0000FF"/>
            </w:tcBorders>
          </w:tcPr>
          <w:p>
            <w:pPr>
              <w:spacing w:after="0"/>
              <w:rPr>
                <w:sz w:val="4"/>
                <w:szCs w:val="4"/>
                <w:color w:val="auto"/>
              </w:rPr>
            </w:pPr>
          </w:p>
        </w:tc>
        <w:tc>
          <w:tcPr>
            <w:tcW w:w="1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680" w:type="dxa"/>
            <w:vAlign w:val="bottom"/>
            <w:tcBorders>
              <w:bottom w:val="single" w:sz="8" w:color="CCEEFF"/>
            </w:tcBorders>
            <w:shd w:val="clear" w:color="auto" w:fill="CCEEFF"/>
          </w:tcPr>
          <w:p>
            <w:pPr>
              <w:jc w:val="right"/>
              <w:ind w:right="250"/>
              <w:spacing w:after="0" w:line="202" w:lineRule="exact"/>
              <w:rPr>
                <w:rFonts w:ascii="Arial" w:cs="Arial" w:eastAsia="Arial" w:hAnsi="Arial"/>
                <w:sz w:val="18"/>
                <w:szCs w:val="18"/>
                <w:u w:val="single" w:color="auto"/>
                <w:color w:val="0000FF"/>
                <w:w w:val="91"/>
              </w:rPr>
            </w:pPr>
            <w:hyperlink r:id="rId16">
              <w:r>
                <w:rPr>
                  <w:rFonts w:ascii="Arial" w:cs="Arial" w:eastAsia="Arial" w:hAnsi="Arial"/>
                  <w:sz w:val="18"/>
                  <w:szCs w:val="18"/>
                  <w:u w:val="single" w:color="auto"/>
                  <w:color w:val="0000FF"/>
                  <w:w w:val="91"/>
                </w:rPr>
                <w:t>10.5</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Form of Annual Cash Incentive Award Agreement. Incorporated by reference to Exhibit 10.2 to Registrant's Current Report on Form</w:t>
              </w:r>
            </w:hyperlink>
          </w:p>
        </w:tc>
      </w:tr>
      <w:tr>
        <w:trPr>
          <w:trHeight w:val="196"/>
        </w:trPr>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740" w:type="dxa"/>
            <w:vAlign w:val="bottom"/>
            <w:gridSpan w:val="9"/>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8-K filed on July 7, 2020.</w:t>
              </w:r>
            </w:hyperlink>
          </w:p>
        </w:tc>
      </w:tr>
      <w:tr>
        <w:trPr>
          <w:trHeight w:val="48"/>
        </w:trPr>
        <w:tc>
          <w:tcPr>
            <w:tcW w:w="6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680" w:type="dxa"/>
            <w:vAlign w:val="bottom"/>
          </w:tcPr>
          <w:p>
            <w:pPr>
              <w:jc w:val="right"/>
              <w:ind w:right="250"/>
              <w:spacing w:after="0"/>
              <w:rPr>
                <w:rFonts w:ascii="Arial" w:cs="Arial" w:eastAsia="Arial" w:hAnsi="Arial"/>
                <w:sz w:val="18"/>
                <w:szCs w:val="18"/>
                <w:u w:val="single" w:color="auto"/>
                <w:color w:val="0000FF"/>
                <w:w w:val="91"/>
              </w:rPr>
            </w:pPr>
            <w:hyperlink w:anchor="page32">
              <w:r>
                <w:rPr>
                  <w:rFonts w:ascii="Arial" w:cs="Arial" w:eastAsia="Arial" w:hAnsi="Arial"/>
                  <w:sz w:val="18"/>
                  <w:szCs w:val="18"/>
                  <w:u w:val="single" w:color="auto"/>
                  <w:color w:val="0000FF"/>
                  <w:w w:val="91"/>
                </w:rPr>
                <w:t>31.1</w:t>
              </w:r>
            </w:hyperlink>
          </w:p>
        </w:tc>
        <w:tc>
          <w:tcPr>
            <w:tcW w:w="820" w:type="dxa"/>
            <w:vAlign w:val="bottom"/>
          </w:tcPr>
          <w:p>
            <w:pPr>
              <w:spacing w:after="0"/>
              <w:rPr>
                <w:sz w:val="21"/>
                <w:szCs w:val="21"/>
                <w:color w:val="auto"/>
              </w:rPr>
            </w:pPr>
          </w:p>
        </w:tc>
        <w:tc>
          <w:tcPr>
            <w:tcW w:w="9740" w:type="dxa"/>
            <w:vAlign w:val="bottom"/>
            <w:gridSpan w:val="9"/>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Chief Executive Officer pursuant to Rule 13a-14(a) under the Securities Exchange Act of 1934.</w:t>
              </w:r>
            </w:hyperlink>
          </w:p>
        </w:tc>
      </w:tr>
      <w:tr>
        <w:trPr>
          <w:trHeight w:val="27"/>
        </w:trPr>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ind w:right="250"/>
              <w:spacing w:after="0"/>
              <w:rPr>
                <w:rFonts w:ascii="Arial" w:cs="Arial" w:eastAsia="Arial" w:hAnsi="Arial"/>
                <w:sz w:val="18"/>
                <w:szCs w:val="18"/>
                <w:u w:val="single" w:color="auto"/>
                <w:color w:val="0000FF"/>
                <w:w w:val="91"/>
              </w:rPr>
            </w:pPr>
            <w:hyperlink w:anchor="page33">
              <w:r>
                <w:rPr>
                  <w:rFonts w:ascii="Arial" w:cs="Arial" w:eastAsia="Arial" w:hAnsi="Arial"/>
                  <w:sz w:val="18"/>
                  <w:szCs w:val="18"/>
                  <w:u w:val="single" w:color="auto"/>
                  <w:color w:val="0000FF"/>
                  <w:w w:val="91"/>
                </w:rPr>
                <w:t>31.2</w:t>
              </w:r>
            </w:hyperlink>
          </w:p>
        </w:tc>
        <w:tc>
          <w:tcPr>
            <w:tcW w:w="820" w:type="dxa"/>
            <w:vAlign w:val="bottom"/>
            <w:tcBorders>
              <w:bottom w:val="single" w:sz="8" w:color="CCEEFF"/>
            </w:tcBorders>
            <w:shd w:val="clear" w:color="auto" w:fill="CCEEFF"/>
          </w:tcPr>
          <w:p>
            <w:pPr>
              <w:spacing w:after="0"/>
              <w:rPr>
                <w:sz w:val="21"/>
                <w:szCs w:val="21"/>
                <w:color w:val="auto"/>
              </w:rPr>
            </w:pPr>
          </w:p>
        </w:tc>
        <w:tc>
          <w:tcPr>
            <w:tcW w:w="974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Chief Financial Officer pursuant to Rule 13a-14(a) under the Securities Exchange Act of 1934.</w:t>
              </w:r>
            </w:hyperlink>
          </w:p>
        </w:tc>
      </w:tr>
      <w:tr>
        <w:trPr>
          <w:trHeight w:val="203"/>
        </w:trPr>
        <w:tc>
          <w:tcPr>
            <w:tcW w:w="680" w:type="dxa"/>
            <w:vAlign w:val="bottom"/>
          </w:tcPr>
          <w:p>
            <w:pPr>
              <w:jc w:val="right"/>
              <w:ind w:right="250"/>
              <w:spacing w:after="0" w:line="202" w:lineRule="exact"/>
              <w:rPr>
                <w:rFonts w:ascii="Arial" w:cs="Arial" w:eastAsia="Arial" w:hAnsi="Arial"/>
                <w:sz w:val="18"/>
                <w:szCs w:val="18"/>
                <w:u w:val="single" w:color="auto"/>
                <w:color w:val="0000FF"/>
                <w:w w:val="91"/>
              </w:rPr>
            </w:pPr>
            <w:hyperlink w:anchor="page34">
              <w:r>
                <w:rPr>
                  <w:rFonts w:ascii="Arial" w:cs="Arial" w:eastAsia="Arial" w:hAnsi="Arial"/>
                  <w:sz w:val="18"/>
                  <w:szCs w:val="18"/>
                  <w:u w:val="single" w:color="auto"/>
                  <w:color w:val="0000FF"/>
                  <w:w w:val="91"/>
                </w:rPr>
                <w:t>32.1</w:t>
              </w:r>
            </w:hyperlink>
          </w:p>
        </w:tc>
        <w:tc>
          <w:tcPr>
            <w:tcW w:w="820" w:type="dxa"/>
            <w:vAlign w:val="bottom"/>
          </w:tcPr>
          <w:p>
            <w:pPr>
              <w:spacing w:after="0"/>
              <w:rPr>
                <w:sz w:val="17"/>
                <w:szCs w:val="17"/>
                <w:color w:val="auto"/>
              </w:rPr>
            </w:pPr>
          </w:p>
        </w:tc>
        <w:tc>
          <w:tcPr>
            <w:tcW w:w="9720" w:type="dxa"/>
            <w:vAlign w:val="bottom"/>
            <w:tcBorders>
              <w:bottom w:val="single" w:sz="8" w:color="0000FF"/>
            </w:tcBorders>
            <w:gridSpan w:val="8"/>
          </w:tcPr>
          <w:p>
            <w:pPr>
              <w:spacing w:after="0" w:line="202" w:lineRule="exact"/>
              <w:rPr>
                <w:rFonts w:ascii="Arial" w:cs="Arial" w:eastAsia="Arial" w:hAnsi="Arial"/>
                <w:sz w:val="18"/>
                <w:szCs w:val="18"/>
                <w:color w:val="0000FF"/>
                <w:w w:val="94"/>
              </w:rPr>
            </w:pPr>
            <w:hyperlink w:anchor="page34">
              <w:r>
                <w:rPr>
                  <w:rFonts w:ascii="Arial" w:cs="Arial" w:eastAsia="Arial" w:hAnsi="Arial"/>
                  <w:sz w:val="18"/>
                  <w:szCs w:val="18"/>
                  <w:color w:val="0000FF"/>
                  <w:w w:val="94"/>
                </w:rPr>
                <w:t>Certification of Chief Executive Officer pursuant to 18 U.S.C. Section 1350, as adopted pursuant to Section 906 of the Sarbanes-</w:t>
              </w:r>
            </w:hyperlink>
          </w:p>
        </w:tc>
        <w:tc>
          <w:tcPr>
            <w:tcW w:w="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FF"/>
              </w:rPr>
            </w:pPr>
            <w:hyperlink w:anchor="page34">
              <w:r>
                <w:rPr>
                  <w:rFonts w:ascii="Arial" w:cs="Arial" w:eastAsia="Arial" w:hAnsi="Arial"/>
                  <w:sz w:val="18"/>
                  <w:szCs w:val="18"/>
                  <w:color w:val="0000FF"/>
                </w:rPr>
                <w:t>Oxley Act of 2002.</w:t>
              </w:r>
            </w:hyperlink>
          </w:p>
        </w:tc>
      </w:tr>
      <w:tr>
        <w:trPr>
          <w:trHeight w:val="48"/>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680" w:type="dxa"/>
            <w:vAlign w:val="bottom"/>
            <w:shd w:val="clear" w:color="auto" w:fill="CCEEFF"/>
          </w:tcPr>
          <w:p>
            <w:pPr>
              <w:jc w:val="right"/>
              <w:ind w:right="250"/>
              <w:spacing w:after="0" w:line="202" w:lineRule="exact"/>
              <w:rPr>
                <w:rFonts w:ascii="Arial" w:cs="Arial" w:eastAsia="Arial" w:hAnsi="Arial"/>
                <w:sz w:val="18"/>
                <w:szCs w:val="18"/>
                <w:u w:val="single" w:color="auto"/>
                <w:color w:val="0000FF"/>
                <w:w w:val="91"/>
              </w:rPr>
            </w:pPr>
            <w:hyperlink w:anchor="page35">
              <w:r>
                <w:rPr>
                  <w:rFonts w:ascii="Arial" w:cs="Arial" w:eastAsia="Arial" w:hAnsi="Arial"/>
                  <w:sz w:val="18"/>
                  <w:szCs w:val="18"/>
                  <w:u w:val="single" w:color="auto"/>
                  <w:color w:val="0000FF"/>
                  <w:w w:val="91"/>
                </w:rPr>
                <w:t>32.2</w:t>
              </w:r>
            </w:hyperlink>
          </w:p>
        </w:tc>
        <w:tc>
          <w:tcPr>
            <w:tcW w:w="820" w:type="dxa"/>
            <w:vAlign w:val="bottom"/>
            <w:shd w:val="clear" w:color="auto" w:fill="CCEEFF"/>
          </w:tcPr>
          <w:p>
            <w:pPr>
              <w:spacing w:after="0"/>
              <w:rPr>
                <w:sz w:val="17"/>
                <w:szCs w:val="17"/>
                <w:color w:val="auto"/>
              </w:rPr>
            </w:pPr>
          </w:p>
        </w:tc>
        <w:tc>
          <w:tcPr>
            <w:tcW w:w="9740" w:type="dxa"/>
            <w:vAlign w:val="bottom"/>
            <w:gridSpan w:val="9"/>
            <w:shd w:val="clear" w:color="auto" w:fill="CCEEFF"/>
          </w:tcPr>
          <w:p>
            <w:pPr>
              <w:spacing w:after="0" w:line="202" w:lineRule="exact"/>
              <w:rPr>
                <w:rFonts w:ascii="Arial" w:cs="Arial" w:eastAsia="Arial" w:hAnsi="Arial"/>
                <w:sz w:val="18"/>
                <w:szCs w:val="18"/>
                <w:color w:val="0000FF"/>
                <w:w w:val="91"/>
              </w:rPr>
            </w:pPr>
            <w:hyperlink w:anchor="page35">
              <w:r>
                <w:rPr>
                  <w:rFonts w:ascii="Arial" w:cs="Arial" w:eastAsia="Arial" w:hAnsi="Arial"/>
                  <w:sz w:val="18"/>
                  <w:szCs w:val="18"/>
                  <w:color w:val="0000FF"/>
                  <w:w w:val="91"/>
                </w:rPr>
                <w:t>Certification of Chief Financial Officer pursuant to 18 U.S.C. Section 1350, as adopted pursuant to Section 906 of the Sarbanes-Oxley</w:t>
              </w:r>
            </w:hyperlink>
          </w:p>
        </w:tc>
      </w:tr>
      <w:tr>
        <w:trPr>
          <w:trHeight w:val="196"/>
        </w:trPr>
        <w:tc>
          <w:tcPr>
            <w:tcW w:w="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70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Act of 2002.</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6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jc w:val="both"/>
        <w:ind w:left="1500" w:right="20" w:hanging="1465"/>
        <w:spacing w:after="0" w:line="287" w:lineRule="auto"/>
        <w:tabs>
          <w:tab w:leader="none" w:pos="1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Apogee Enterprises, Inc.’s Quarterly Report on Form 10-Q for the quarter ended May 30, 2020 are furnished herewith, formatted in XBRL (Extensible Business Reporting Language): (i) the Consolidated Balance Sheets as of May 30, 2020 and February 29, 2020, (ii) the Consolidated Results of Operations for the three-months ended May 30, 2020 and June 1, 2019,</w:t>
      </w:r>
    </w:p>
    <w:p>
      <w:pPr>
        <w:spacing w:after="0" w:line="2" w:lineRule="exact"/>
        <w:rPr>
          <w:rFonts w:ascii="Arial" w:cs="Arial" w:eastAsia="Arial" w:hAnsi="Arial"/>
          <w:sz w:val="16"/>
          <w:szCs w:val="16"/>
          <w:color w:val="auto"/>
        </w:rPr>
      </w:pPr>
    </w:p>
    <w:p>
      <w:pPr>
        <w:jc w:val="both"/>
        <w:ind w:left="1500" w:right="40" w:firstLine="6"/>
        <w:spacing w:after="0" w:line="253" w:lineRule="auto"/>
        <w:tabs>
          <w:tab w:leader="none" w:pos="183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Consolidated Statements of Comprehensive Earnings for the three-months ended May 30, 2020 and June 1, 2019, (iv) the Consolidated Statements of Cash Flows for the three-months ended May 30, 2020 and June 1, 2019, (v) the Consolidated Statements of Shareholders' Equity for the three-months ended May 30, 2020 and June 1, 2019,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5540" w:right="2280" w:hanging="5505"/>
        <w:spacing w:after="0" w:line="559" w:lineRule="auto"/>
        <w:tabs>
          <w:tab w:leader="none" w:pos="15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formatted as Inline Extensible Business Reporting Language and contained in Exhibit 101. 26</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APOGEE ENTERPRISES, INC.</w:t>
      </w:r>
    </w:p>
    <w:p>
      <w:pPr>
        <w:spacing w:after="0" w:line="387" w:lineRule="exact"/>
        <w:rPr>
          <w:sz w:val="20"/>
          <w:szCs w:val="20"/>
          <w:color w:val="auto"/>
        </w:rPr>
      </w:pPr>
    </w:p>
    <w:p>
      <w:pPr>
        <w:ind w:left="40"/>
        <w:spacing w:after="0"/>
        <w:tabs>
          <w:tab w:leader="none" w:pos="6040" w:val="left"/>
        </w:tabs>
        <w:rPr>
          <w:sz w:val="20"/>
          <w:szCs w:val="20"/>
          <w:color w:val="auto"/>
        </w:rPr>
      </w:pPr>
      <w:r>
        <w:rPr>
          <w:rFonts w:ascii="Arial" w:cs="Arial" w:eastAsia="Arial" w:hAnsi="Arial"/>
          <w:sz w:val="18"/>
          <w:szCs w:val="18"/>
          <w:color w:val="auto"/>
        </w:rPr>
        <w:t>Date: July 9, 2020</w:t>
      </w:r>
      <w:r>
        <w:rPr>
          <w:sz w:val="20"/>
          <w:szCs w:val="20"/>
          <w:color w:val="auto"/>
        </w:rPr>
        <w:tab/>
      </w:r>
      <w:r>
        <w:rPr>
          <w:rFonts w:ascii="Arial" w:cs="Arial" w:eastAsia="Arial" w:hAnsi="Arial"/>
          <w:sz w:val="15"/>
          <w:szCs w:val="15"/>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249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040" w:val="left"/>
        </w:tabs>
        <w:rPr>
          <w:sz w:val="20"/>
          <w:szCs w:val="20"/>
          <w:color w:val="auto"/>
        </w:rPr>
      </w:pPr>
      <w:r>
        <w:rPr>
          <w:rFonts w:ascii="Arial" w:cs="Arial" w:eastAsia="Arial" w:hAnsi="Arial"/>
          <w:sz w:val="18"/>
          <w:szCs w:val="18"/>
          <w:color w:val="auto"/>
        </w:rPr>
        <w:t>Date: July 9, 2020</w:t>
      </w:r>
      <w:r>
        <w:rPr>
          <w:sz w:val="20"/>
          <w:szCs w:val="20"/>
          <w:color w:val="auto"/>
        </w:rPr>
        <w:tab/>
      </w:r>
      <w:r>
        <w:rPr>
          <w:rFonts w:ascii="Arial" w:cs="Arial" w:eastAsia="Arial" w:hAnsi="Arial"/>
          <w:sz w:val="16"/>
          <w:szCs w:val="16"/>
          <w:color w:val="auto"/>
        </w:rPr>
        <w:t>By: /s/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249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24929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Nisheet Gupta</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 w:right="3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1208405" cy="908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0840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Joseph F. Puishys</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Chief Executive Officer</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May 27, 2020</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Nisheet Gupta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 Spring Marsh Lane</w:t>
      </w:r>
    </w:p>
    <w:p>
      <w:pPr>
        <w:spacing w:after="0"/>
        <w:rPr>
          <w:sz w:val="20"/>
          <w:szCs w:val="20"/>
          <w:color w:val="auto"/>
        </w:rPr>
      </w:pPr>
      <w:r>
        <w:rPr>
          <w:rFonts w:ascii="Arial" w:cs="Arial" w:eastAsia="Arial" w:hAnsi="Arial"/>
          <w:sz w:val="20"/>
          <w:szCs w:val="20"/>
          <w:color w:val="auto"/>
        </w:rPr>
        <w:t>North Oaks, MN 55127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Nisheet,</w:t>
      </w:r>
    </w:p>
    <w:p>
      <w:pPr>
        <w:spacing w:after="0" w:line="21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On behalf of Apogee Enterprises, Inc., I would like to offer you the position of Executive Vice President and Chief Financial Officer (CFO) responsible for building and executing an overall business strategy in collaboration with me and all other senior executives at Apogee. As you know from our interviews and your research, this leadership position is a key member of the executive team and will also be one of our five named executive officers of the company reporting directly to Apogee’s CEO and President as a Section 16 Officer. The anticipated start date will be set based on mutual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details of your offer:</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The monthly salary offered with this exempt position is $42,500.00 ($510,000/year).</w:t>
      </w:r>
    </w:p>
    <w:p>
      <w:pPr>
        <w:spacing w:after="0" w:line="216" w:lineRule="exact"/>
        <w:rPr>
          <w:sz w:val="20"/>
          <w:szCs w:val="20"/>
          <w:color w:val="auto"/>
        </w:rPr>
      </w:pPr>
    </w:p>
    <w:p>
      <w:pPr>
        <w:ind w:left="340" w:right="240"/>
        <w:spacing w:after="0" w:line="265" w:lineRule="auto"/>
        <w:rPr>
          <w:sz w:val="20"/>
          <w:szCs w:val="20"/>
          <w:color w:val="auto"/>
        </w:rPr>
      </w:pPr>
      <w:r>
        <w:rPr>
          <w:rFonts w:ascii="Arial" w:cs="Arial" w:eastAsia="Arial" w:hAnsi="Arial"/>
          <w:sz w:val="19"/>
          <w:szCs w:val="19"/>
          <w:b w:val="1"/>
          <w:bCs w:val="1"/>
          <w:color w:val="auto"/>
        </w:rPr>
        <w:t xml:space="preserve">Annual Short-Term Incentive Plan (AIP). </w:t>
      </w:r>
      <w:r>
        <w:rPr>
          <w:rFonts w:ascii="Arial" w:cs="Arial" w:eastAsia="Arial" w:hAnsi="Arial"/>
          <w:sz w:val="19"/>
          <w:szCs w:val="19"/>
          <w:color w:val="auto"/>
        </w:rPr>
        <w:t>The target cash incentive for your role is 75% of your base salary with a range of 0% to</w:t>
      </w:r>
      <w:r>
        <w:rPr>
          <w:rFonts w:ascii="Arial" w:cs="Arial" w:eastAsia="Arial" w:hAnsi="Arial"/>
          <w:sz w:val="19"/>
          <w:szCs w:val="19"/>
          <w:b w:val="1"/>
          <w:bCs w:val="1"/>
          <w:color w:val="auto"/>
        </w:rPr>
        <w:t xml:space="preserve"> </w:t>
      </w:r>
      <w:r>
        <w:rPr>
          <w:rFonts w:ascii="Arial" w:cs="Arial" w:eastAsia="Arial" w:hAnsi="Arial"/>
          <w:sz w:val="19"/>
          <w:szCs w:val="19"/>
          <w:color w:val="auto"/>
        </w:rPr>
        <w:t>200% of the target, subject to the Company’s financial performance. Financial metrics and targets are established by the Board of Directors each year and generally include net sales, earnings before taxes and days working capital. For fiscal 2021, we have agreed to pay your prorated annual incentive at the 75% target or the company calculation, whichever is greater.</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 xml:space="preserve">Long-Term Incentive Plan (LTIP). </w:t>
      </w:r>
      <w:r>
        <w:rPr>
          <w:rFonts w:ascii="Arial" w:cs="Arial" w:eastAsia="Arial" w:hAnsi="Arial"/>
          <w:sz w:val="19"/>
          <w:szCs w:val="19"/>
          <w:color w:val="auto"/>
        </w:rPr>
        <w:t>The annualized target for your role is 150% of your base salary, broken down as follows:</w:t>
      </w:r>
    </w:p>
    <w:p>
      <w:pPr>
        <w:spacing w:after="0" w:line="233" w:lineRule="exact"/>
        <w:rPr>
          <w:sz w:val="20"/>
          <w:szCs w:val="20"/>
          <w:color w:val="auto"/>
        </w:rPr>
      </w:pPr>
    </w:p>
    <w:p>
      <w:pPr>
        <w:ind w:left="980" w:right="60" w:hanging="324"/>
        <w:spacing w:after="0" w:line="250"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two-year cash-based performance award targeted at 180% (90% per year x 2 years) of base salary granted every other year. Fifty percent (50%) of the amount earned will be paid in May following the end of a performance period, and the remaining fifty percent (50%) will be paid approximately one year later.</w:t>
      </w:r>
    </w:p>
    <w:p>
      <w:pPr>
        <w:spacing w:after="0" w:line="185" w:lineRule="exact"/>
        <w:rPr>
          <w:rFonts w:ascii="Arial" w:cs="Arial" w:eastAsia="Arial" w:hAnsi="Arial"/>
          <w:sz w:val="20"/>
          <w:szCs w:val="20"/>
          <w:color w:val="auto"/>
        </w:rPr>
      </w:pPr>
    </w:p>
    <w:p>
      <w:pPr>
        <w:ind w:left="980" w:right="160" w:hanging="324"/>
        <w:spacing w:after="0" w:line="260"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 annual grant of restricted stock with a target value of 60% of base salary and a potential range of 0% to 200% of target. You will receive your first restricted stock program grant in April or May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4400 West 78th Street, Suite 520, Minneapolis, MN 55435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phone </w:t>
      </w:r>
      <w:r>
        <w:rPr>
          <w:rFonts w:ascii="Arial" w:cs="Arial" w:eastAsia="Arial" w:hAnsi="Arial"/>
          <w:sz w:val="14"/>
          <w:szCs w:val="14"/>
          <w:color w:val="auto"/>
        </w:rPr>
        <w:t>952-487-7508</w:t>
      </w:r>
      <w:r>
        <w:rPr>
          <w:rFonts w:ascii="Arial" w:cs="Arial" w:eastAsia="Arial" w:hAnsi="Arial"/>
          <w:sz w:val="14"/>
          <w:szCs w:val="14"/>
          <w:b w:val="1"/>
          <w:bCs w:val="1"/>
          <w:color w:val="auto"/>
        </w:rPr>
        <w:t xml:space="preserve"> · fax </w:t>
      </w:r>
      <w:r>
        <w:rPr>
          <w:rFonts w:ascii="Arial" w:cs="Arial" w:eastAsia="Arial" w:hAnsi="Arial"/>
          <w:sz w:val="14"/>
          <w:szCs w:val="14"/>
          <w:color w:val="auto"/>
        </w:rPr>
        <w:t>952-487-7509</w:t>
      </w:r>
      <w:r>
        <w:rPr>
          <w:rFonts w:ascii="Arial" w:cs="Arial" w:eastAsia="Arial" w:hAnsi="Arial"/>
          <w:sz w:val="14"/>
          <w:szCs w:val="14"/>
          <w:b w:val="1"/>
          <w:bCs w:val="1"/>
          <w:color w:val="auto"/>
        </w:rPr>
        <w:t xml:space="preserve"> email </w:t>
      </w:r>
      <w:r>
        <w:rPr>
          <w:rFonts w:ascii="Arial" w:cs="Arial" w:eastAsia="Arial" w:hAnsi="Arial"/>
          <w:sz w:val="14"/>
          <w:szCs w:val="14"/>
          <w:color w:val="auto"/>
        </w:rPr>
        <w:t>jpuishys@apog.com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EE3D42"/>
        </w:rPr>
        <w:t>distinctive solutions by apogee for enclosing commercial buildings and framing art</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Nisheet Gupta</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May 27, 2020</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384"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Please note that both the AIP and LTIP can be as low as zero and as high as 2X the numbers noted above based on financial results and individual performance.</w:t>
      </w:r>
    </w:p>
    <w:p>
      <w:pPr>
        <w:spacing w:after="0" w:line="171" w:lineRule="exact"/>
        <w:rPr>
          <w:sz w:val="20"/>
          <w:szCs w:val="20"/>
          <w:color w:val="auto"/>
        </w:rPr>
      </w:pPr>
    </w:p>
    <w:p>
      <w:pPr>
        <w:ind w:left="340" w:right="360"/>
        <w:spacing w:after="0" w:line="253" w:lineRule="auto"/>
        <w:rPr>
          <w:sz w:val="20"/>
          <w:szCs w:val="20"/>
          <w:color w:val="auto"/>
        </w:rPr>
      </w:pPr>
      <w:r>
        <w:rPr>
          <w:rFonts w:ascii="Arial" w:cs="Arial" w:eastAsia="Arial" w:hAnsi="Arial"/>
          <w:sz w:val="20"/>
          <w:szCs w:val="20"/>
          <w:b w:val="1"/>
          <w:bCs w:val="1"/>
          <w:color w:val="auto"/>
        </w:rPr>
        <w:t xml:space="preserve">Sign-on Incentive. </w:t>
      </w:r>
      <w:r>
        <w:rPr>
          <w:rFonts w:ascii="Arial" w:cs="Arial" w:eastAsia="Arial" w:hAnsi="Arial"/>
          <w:sz w:val="20"/>
          <w:szCs w:val="20"/>
          <w:color w:val="auto"/>
        </w:rPr>
        <w:t>Included with this offer is a sign-on incentive of $100,000 payable on the first practical pay period after your hire</w:t>
      </w:r>
      <w:r>
        <w:rPr>
          <w:rFonts w:ascii="Arial" w:cs="Arial" w:eastAsia="Arial" w:hAnsi="Arial"/>
          <w:sz w:val="20"/>
          <w:szCs w:val="20"/>
          <w:b w:val="1"/>
          <w:bCs w:val="1"/>
          <w:color w:val="auto"/>
        </w:rPr>
        <w:t xml:space="preserve"> </w:t>
      </w:r>
      <w:r>
        <w:rPr>
          <w:rFonts w:ascii="Arial" w:cs="Arial" w:eastAsia="Arial" w:hAnsi="Arial"/>
          <w:sz w:val="20"/>
          <w:szCs w:val="20"/>
          <w:color w:val="auto"/>
        </w:rPr>
        <w:t>date. If you leave the company during the first twelve months of your employment, this sign-on incentive will need to be repaid to Apogee.</w:t>
      </w:r>
    </w:p>
    <w:p>
      <w:pPr>
        <w:spacing w:after="0" w:line="177" w:lineRule="exact"/>
        <w:rPr>
          <w:sz w:val="20"/>
          <w:szCs w:val="20"/>
          <w:color w:val="auto"/>
        </w:rPr>
      </w:pPr>
    </w:p>
    <w:p>
      <w:pPr>
        <w:jc w:val="both"/>
        <w:ind w:left="340" w:right="300"/>
        <w:spacing w:after="0" w:line="253" w:lineRule="auto"/>
        <w:rPr>
          <w:sz w:val="20"/>
          <w:szCs w:val="20"/>
          <w:color w:val="auto"/>
        </w:rPr>
      </w:pPr>
      <w:r>
        <w:rPr>
          <w:rFonts w:ascii="Arial" w:cs="Arial" w:eastAsia="Arial" w:hAnsi="Arial"/>
          <w:sz w:val="20"/>
          <w:szCs w:val="20"/>
          <w:b w:val="1"/>
          <w:bCs w:val="1"/>
          <w:color w:val="auto"/>
        </w:rPr>
        <w:t xml:space="preserve">Initial Restricted Stock Grant. </w:t>
      </w:r>
      <w:r>
        <w:rPr>
          <w:rFonts w:ascii="Arial" w:cs="Arial" w:eastAsia="Arial" w:hAnsi="Arial"/>
          <w:sz w:val="20"/>
          <w:szCs w:val="20"/>
          <w:color w:val="auto"/>
        </w:rPr>
        <w:t>Included with this offer is a grant of 20,000 restricted shares of Apogee stock. One-third of this grant</w:t>
      </w:r>
      <w:r>
        <w:rPr>
          <w:rFonts w:ascii="Arial" w:cs="Arial" w:eastAsia="Arial" w:hAnsi="Arial"/>
          <w:sz w:val="20"/>
          <w:szCs w:val="20"/>
          <w:b w:val="1"/>
          <w:bCs w:val="1"/>
          <w:color w:val="auto"/>
        </w:rPr>
        <w:t xml:space="preserve"> </w:t>
      </w:r>
      <w:r>
        <w:rPr>
          <w:rFonts w:ascii="Arial" w:cs="Arial" w:eastAsia="Arial" w:hAnsi="Arial"/>
          <w:sz w:val="20"/>
          <w:szCs w:val="20"/>
          <w:color w:val="auto"/>
        </w:rPr>
        <w:t>will vest twelve months after your hire date, the second one-third will vest twenty-four months after your hire date, and the remaining one-third will vest thirty-six months after your hire date.</w:t>
      </w:r>
    </w:p>
    <w:p>
      <w:pPr>
        <w:spacing w:after="0" w:line="177" w:lineRule="exact"/>
        <w:rPr>
          <w:sz w:val="20"/>
          <w:szCs w:val="20"/>
          <w:color w:val="auto"/>
        </w:rPr>
      </w:pPr>
    </w:p>
    <w:p>
      <w:pPr>
        <w:ind w:left="340"/>
        <w:spacing w:after="0" w:line="248" w:lineRule="auto"/>
        <w:rPr>
          <w:sz w:val="20"/>
          <w:szCs w:val="20"/>
          <w:color w:val="auto"/>
        </w:rPr>
      </w:pPr>
      <w:r>
        <w:rPr>
          <w:rFonts w:ascii="Arial" w:cs="Arial" w:eastAsia="Arial" w:hAnsi="Arial"/>
          <w:sz w:val="20"/>
          <w:szCs w:val="20"/>
          <w:b w:val="1"/>
          <w:bCs w:val="1"/>
          <w:color w:val="auto"/>
        </w:rPr>
        <w:t xml:space="preserve">Change in Control Agreement. </w:t>
      </w:r>
      <w:r>
        <w:rPr>
          <w:rFonts w:ascii="Arial" w:cs="Arial" w:eastAsia="Arial" w:hAnsi="Arial"/>
          <w:sz w:val="20"/>
          <w:szCs w:val="20"/>
          <w:color w:val="auto"/>
        </w:rPr>
        <w:t>In addition, I will recommend that the Compensation Committee execute a Change in Control severance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(CIC) on your behalf to become effective in June or July of 2020. This agreement will have a “double trigger” and will have the same terms as described for other senior level executives – namely the CHRO, General Counsel and all Business Segment Presidents. The CIC agreement calls for severance of 2X base pay and target AIP.</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Additional Benefits. </w:t>
      </w:r>
      <w:r>
        <w:rPr>
          <w:rFonts w:ascii="Arial" w:cs="Arial" w:eastAsia="Arial" w:hAnsi="Arial"/>
          <w:sz w:val="20"/>
          <w:szCs w:val="20"/>
          <w:color w:val="auto"/>
        </w:rPr>
        <w:t>Also included with this offer:</w:t>
      </w:r>
    </w:p>
    <w:p>
      <w:pPr>
        <w:spacing w:after="0" w:line="22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Apogee medical, dental, life, disability and long-term care insurance</w:t>
      </w:r>
    </w:p>
    <w:p>
      <w:pPr>
        <w:spacing w:after="0" w:line="15" w:lineRule="exact"/>
        <w:rPr>
          <w:rFonts w:ascii="Arial" w:cs="Arial" w:eastAsia="Arial" w:hAnsi="Arial"/>
          <w:sz w:val="20"/>
          <w:szCs w:val="20"/>
          <w:color w:val="auto"/>
        </w:rPr>
      </w:pPr>
    </w:p>
    <w:p>
      <w:pPr>
        <w:ind w:left="980" w:hanging="324"/>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Apogee 401(k) retirement plan</w:t>
      </w:r>
    </w:p>
    <w:p>
      <w:pPr>
        <w:ind w:left="980" w:hanging="324"/>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Executive deferred compensation program</w:t>
      </w:r>
    </w:p>
    <w:p>
      <w:pPr>
        <w:ind w:left="980" w:hanging="324"/>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Employee stock purchase plan</w:t>
      </w:r>
    </w:p>
    <w:p>
      <w:pPr>
        <w:ind w:left="980" w:hanging="324"/>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Flexible spending plan</w:t>
      </w:r>
    </w:p>
    <w:p>
      <w:pPr>
        <w:ind w:left="980" w:hanging="324"/>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Executive paid time off program</w:t>
      </w:r>
    </w:p>
    <w:p>
      <w:pPr>
        <w:ind w:left="980" w:hanging="324"/>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Annual executive physical of up to $3,000/year</w:t>
      </w:r>
    </w:p>
    <w:p>
      <w:pPr>
        <w:ind w:left="980" w:hanging="324"/>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Annual financial planning benefit of up to $2,000/year</w:t>
      </w:r>
    </w:p>
    <w:p>
      <w:pPr>
        <w:spacing w:after="0" w:line="20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Please note that as a named executive officer of the company, your base salary, annual short-term incentive, long-term incentive and all other compensation will be subject to the approval of our Compensation Committee each year going forward.</w:t>
      </w:r>
    </w:p>
    <w:p>
      <w:pPr>
        <w:spacing w:after="0" w:line="177"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As a member of the Executive Team, you will be subject to the Company’s stock ownership guidelines, which encourage ownership of Apogee common stock in an amount having a market value of three times your annual base salary to be achieved within five years of your hire date.</w:t>
      </w:r>
    </w:p>
    <w:p>
      <w:pPr>
        <w:spacing w:after="0" w:line="186" w:lineRule="exact"/>
        <w:rPr>
          <w:sz w:val="20"/>
          <w:szCs w:val="20"/>
          <w:color w:val="auto"/>
        </w:rPr>
      </w:pPr>
    </w:p>
    <w:p>
      <w:pPr>
        <w:jc w:val="both"/>
        <w:ind w:right="360"/>
        <w:spacing w:after="0" w:line="263" w:lineRule="auto"/>
        <w:rPr>
          <w:sz w:val="20"/>
          <w:szCs w:val="20"/>
          <w:color w:val="auto"/>
        </w:rPr>
      </w:pPr>
      <w:r>
        <w:rPr>
          <w:rFonts w:ascii="Arial" w:cs="Arial" w:eastAsia="Arial" w:hAnsi="Arial"/>
          <w:sz w:val="19"/>
          <w:szCs w:val="19"/>
          <w:color w:val="auto"/>
        </w:rPr>
        <w:t>Nisheet, the purpose and scope of this position is to provide broad business leadership to our business segments and enterprise, as well as executive leadership as a member of my staff. Apogee is positioned to make significant positive changes for all of our stakeholders. Your responsibility in this role, should you accept the position, would be to effectively lead and develop our business and aid me in living and delivering the vision, mission and values of Apogee Enterprises, Inc. on a daily basis.</w:t>
      </w:r>
    </w:p>
    <w:p>
      <w:pPr>
        <w:spacing w:after="0" w:line="17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This offer is contingent upon the successful completion of a criminal, financial, education and driver’s license background check, as well as a drug and alcohol screen. This will be arranged by Human Resources at your earliest convenience. As a condition of this offer and the restricted stock grant, you will be required to sign a Non-Compete Agreement associated with your employment with Apogee that will have a 12 month non-compete term post-termination of employment.</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Nisheet Gupta</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May 27, 2020</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38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would like you to consider our offer and respond to me by Friday, May 29 with your decision. I look forward to your reply and hope you decide to join our team. Please call me at (952) 487-7508 if you have additional questions.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Joseph F. Puishys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Joseph F. Puishys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and President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Accepted: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997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Nisheet Gupta</w:t>
      </w:r>
    </w:p>
    <w:p>
      <w:pPr>
        <w:sectPr>
          <w:pgSz w:w="11900" w:h="16838" w:orient="portrait"/>
          <w:cols w:equalWidth="0" w:num="1">
            <w:col w:w="10940"/>
          </w:cols>
          <w:pgMar w:left="320" w:top="121" w:right="6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0" w:hanging="652"/>
        <w:spacing w:after="0" w:line="311"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652"/>
        <w:spacing w:after="0" w:line="311"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jc w:val="both"/>
        <w:ind w:left="2280" w:hanging="652"/>
        <w:spacing w:after="0" w:line="263"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60" w:hanging="652"/>
        <w:spacing w:after="0" w:line="311"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280" w:right="280" w:hanging="652"/>
        <w:spacing w:after="0" w:line="263"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60" w:hanging="652"/>
        <w:spacing w:after="0" w:line="277"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July 9, 2020</w:t>
      </w:r>
    </w:p>
    <w:p>
      <w:pPr>
        <w:spacing w:after="0" w:line="200" w:lineRule="exact"/>
        <w:rPr>
          <w:sz w:val="20"/>
          <w:szCs w:val="20"/>
          <w:color w:val="auto"/>
        </w:rPr>
      </w:pPr>
    </w:p>
    <w:p>
      <w:pPr>
        <w:spacing w:after="0" w:line="29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48895</wp:posOffset>
            </wp:positionV>
            <wp:extent cx="2760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6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Nisheet Gupta, certify that:</w:t>
      </w:r>
    </w:p>
    <w:p>
      <w:pPr>
        <w:spacing w:after="0" w:line="11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0" w:hanging="652"/>
        <w:spacing w:after="0" w:line="311" w:lineRule="auto"/>
        <w:tabs>
          <w:tab w:leader="none" w:pos="2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652"/>
        <w:spacing w:after="0" w:line="311" w:lineRule="auto"/>
        <w:tabs>
          <w:tab w:leader="none" w:pos="2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jc w:val="both"/>
        <w:ind w:left="2280" w:hanging="652"/>
        <w:spacing w:after="0" w:line="263"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60" w:hanging="652"/>
        <w:spacing w:after="0" w:line="311" w:lineRule="auto"/>
        <w:tabs>
          <w:tab w:leader="none" w:pos="2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280" w:right="280" w:hanging="652"/>
        <w:spacing w:after="0" w:line="263"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60" w:hanging="652"/>
        <w:spacing w:after="0" w:line="277"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Date: July 9, 2020</w:t>
      </w:r>
    </w:p>
    <w:p>
      <w:pPr>
        <w:spacing w:after="0" w:line="36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Nisheet Gupta</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May 30, 2020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3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85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9, 2020</w:t>
      </w:r>
    </w:p>
    <w:p>
      <w:pPr>
        <w:sectPr>
          <w:pgSz w:w="11900" w:h="16838" w:orient="portrait"/>
          <w:cols w:equalWidth="0" w:num="1">
            <w:col w:w="11240"/>
          </w:cols>
          <w:pgMar w:left="320" w:top="55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May 30, 2020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85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Nisheet Gupta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9,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101"/>
    </w:lvl>
    <w:lvl w:ilvl="1">
      <w:lvlJc w:val="left"/>
      <w:lvlText w:val="(%2)"/>
      <w:numFmt w:val="lowerRoman"/>
      <w:start w:val="3"/>
    </w:lvl>
  </w:abstractNum>
  <w:abstractNum w:abstractNumId="14">
    <w:nsid w:val="431BD7B7"/>
    <w:multiLevelType w:val="hybridMultilevel"/>
    <w:lvl w:ilvl="0">
      <w:lvlJc w:val="left"/>
      <w:lvlText w:val="%1"/>
      <w:numFmt w:val="decimal"/>
      <w:start w:val="104"/>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jpe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13" Type="http://schemas.openxmlformats.org/officeDocument/2006/relationships/hyperlink" Target="http://www.sec.gov/Archives/edgar/data/6845/000119312520126546/d823393dex101.htm" TargetMode="External"/><Relationship Id="rId14" Type="http://schemas.openxmlformats.org/officeDocument/2006/relationships/hyperlink" Target="http://www.sec.gov/Archives/edgar/data/6845/000119312520126546/d823393dex102.htm" TargetMode="External"/><Relationship Id="rId15" Type="http://schemas.openxmlformats.org/officeDocument/2006/relationships/hyperlink" Target="http://www.sec.gov/Archives/edgar/data/6845/000119312520188617/d918933dex101.htm" TargetMode="External"/><Relationship Id="rId16" Type="http://schemas.openxmlformats.org/officeDocument/2006/relationships/hyperlink" Target="http://www.sec.gov/Archives/edgar/data/6845/000119312520188617/d91893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2020-07-09T11:08:57Z</dcterms:created>
  <dcterms:modified xsi:type="dcterms:W3CDTF">2020-07-09T11:08:57Z</dcterms:modified>
</cp:coreProperties>
</file>