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ind w:left="500" w:hanging="474"/>
        <w:spacing w:after="0" w:line="190" w:lineRule="auto"/>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August 28, 2021</w:t>
      </w:r>
    </w:p>
    <w:p>
      <w:pPr>
        <w:ind w:left="480" w:hanging="454"/>
        <w:spacing w:after="0" w:line="204" w:lineRule="auto"/>
        <w:tabs>
          <w:tab w:leader="none" w:pos="4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26" w:lineRule="exact"/>
        <w:rPr>
          <w:sz w:val="24"/>
          <w:szCs w:val="24"/>
          <w:color w:val="auto"/>
        </w:rPr>
      </w:pPr>
    </w:p>
    <w:p>
      <w:pPr>
        <w:ind w:left="39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APOGEE ENTERPRISES,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21" w:lineRule="exact"/>
        <w:rPr>
          <w:sz w:val="24"/>
          <w:szCs w:val="24"/>
          <w:color w:val="auto"/>
        </w:rPr>
      </w:pPr>
    </w:p>
    <w:p>
      <w:pPr>
        <w:ind w:left="1860"/>
        <w:spacing w:after="0"/>
        <w:tabs>
          <w:tab w:leader="none" w:pos="8820" w:val="left"/>
        </w:tabs>
        <w:rPr>
          <w:sz w:val="20"/>
          <w:szCs w:val="20"/>
          <w:color w:val="auto"/>
        </w:rPr>
      </w:pP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7"/>
          <w:szCs w:val="17"/>
          <w:b w:val="1"/>
          <w:bCs w:val="1"/>
          <w:color w:val="auto"/>
        </w:rPr>
        <w:t>41-0919654</w:t>
      </w:r>
    </w:p>
    <w:p>
      <w:pPr>
        <w:spacing w:after="0" w:line="25" w:lineRule="exact"/>
        <w:rPr>
          <w:sz w:val="24"/>
          <w:szCs w:val="24"/>
          <w:color w:val="auto"/>
        </w:rPr>
      </w:pPr>
    </w:p>
    <w:p>
      <w:pPr>
        <w:ind w:left="540"/>
        <w:spacing w:after="0"/>
        <w:tabs>
          <w:tab w:leader="none" w:pos="82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78"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Arial" w:cs="Arial" w:eastAsia="Arial" w:hAnsi="Arial"/>
          <w:sz w:val="17"/>
          <w:szCs w:val="17"/>
          <w:b w:val="1"/>
          <w:bCs w:val="1"/>
          <w:color w:val="auto"/>
        </w:rPr>
        <w:t>4400 West 78th Street, Suite 520</w:t>
      </w:r>
      <w:r>
        <w:rPr>
          <w:sz w:val="20"/>
          <w:szCs w:val="20"/>
          <w:color w:val="auto"/>
        </w:rPr>
        <w:tab/>
      </w:r>
      <w:r>
        <w:rPr>
          <w:rFonts w:ascii="Arial" w:cs="Arial" w:eastAsia="Arial" w:hAnsi="Arial"/>
          <w:sz w:val="17"/>
          <w:szCs w:val="17"/>
          <w:b w:val="1"/>
          <w:bCs w:val="1"/>
          <w:color w:val="auto"/>
        </w:rPr>
        <w:t>Minneapolis</w:t>
      </w:r>
      <w:r>
        <w:rPr>
          <w:sz w:val="20"/>
          <w:szCs w:val="20"/>
          <w:color w:val="auto"/>
        </w:rPr>
        <w:tab/>
      </w: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5"/>
          <w:szCs w:val="15"/>
          <w:b w:val="1"/>
          <w:bCs w:val="1"/>
          <w:color w:val="auto"/>
        </w:rPr>
        <w:t>55435</w:t>
      </w:r>
    </w:p>
    <w:p>
      <w:pPr>
        <w:spacing w:after="0" w:line="25" w:lineRule="exact"/>
        <w:rPr>
          <w:sz w:val="24"/>
          <w:szCs w:val="24"/>
          <w:color w:val="auto"/>
        </w:rPr>
      </w:pPr>
    </w:p>
    <w:p>
      <w:pPr>
        <w:ind w:left="1100"/>
        <w:spacing w:after="0"/>
        <w:tabs>
          <w:tab w:leader="none" w:pos="892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7" w:lineRule="exact"/>
        <w:rPr>
          <w:sz w:val="24"/>
          <w:szCs w:val="24"/>
          <w:color w:val="auto"/>
        </w:rPr>
      </w:pPr>
    </w:p>
    <w:p>
      <w:pPr>
        <w:ind w:left="500"/>
        <w:spacing w:after="0"/>
        <w:tabs>
          <w:tab w:leader="none" w:pos="5320" w:val="left"/>
          <w:tab w:leader="none" w:pos="7920" w:val="left"/>
        </w:tabs>
        <w:rPr>
          <w:sz w:val="20"/>
          <w:szCs w:val="20"/>
          <w:color w:val="auto"/>
        </w:rPr>
      </w:pPr>
      <w:r>
        <w:rPr>
          <w:rFonts w:ascii="Arial" w:cs="Arial" w:eastAsia="Arial" w:hAnsi="Arial"/>
          <w:sz w:val="18"/>
          <w:szCs w:val="18"/>
          <w:color w:val="auto"/>
        </w:rPr>
        <w:t>Common stock, par value $0.33 1/3 per share</w:t>
      </w:r>
      <w:r>
        <w:rPr>
          <w:sz w:val="20"/>
          <w:szCs w:val="20"/>
          <w:color w:val="auto"/>
        </w:rPr>
        <w:tab/>
      </w:r>
      <w:r>
        <w:rPr>
          <w:rFonts w:ascii="Arial" w:cs="Arial" w:eastAsia="Arial" w:hAnsi="Arial"/>
          <w:sz w:val="18"/>
          <w:szCs w:val="18"/>
          <w:color w:val="auto"/>
        </w:rPr>
        <w:t>APOG</w:t>
      </w:r>
      <w:r>
        <w:rPr>
          <w:sz w:val="20"/>
          <w:szCs w:val="20"/>
          <w:color w:val="auto"/>
        </w:rPr>
        <w:tab/>
      </w:r>
      <w:r>
        <w:rPr>
          <w:rFonts w:ascii="Arial" w:cs="Arial" w:eastAsia="Arial" w:hAnsi="Arial"/>
          <w:sz w:val="16"/>
          <w:szCs w:val="16"/>
          <w:color w:val="auto"/>
        </w:rPr>
        <w:t>The Nasdaq Stock Market LLC</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3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4" w:right="339" w:bottom="1440" w:gutter="0" w:footer="0" w:header="0"/>
        </w:sectPr>
      </w:pP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Arial" w:cs="Arial" w:eastAsia="Arial" w:hAnsi="Arial"/>
                <w:sz w:val="18"/>
                <w:szCs w:val="18"/>
                <w:color w:val="auto"/>
              </w:rPr>
              <w:t>Accelerated filer</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Arial" w:cs="Arial" w:eastAsia="Arial" w:hAnsi="Arial"/>
                <w:sz w:val="18"/>
                <w:szCs w:val="18"/>
                <w:color w:val="auto"/>
                <w:w w:val="90"/>
              </w:rPr>
              <w:t>Smaller reporting company</w:t>
            </w:r>
          </w:p>
        </w:tc>
      </w:tr>
      <w:tr>
        <w:trPr>
          <w:trHeight w:val="299"/>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2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34"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14" w:right="339" w:bottom="1440" w:gutter="0" w:footer="0" w:header="0"/>
          <w:type w:val="continuous"/>
        </w:sectPr>
      </w:pPr>
    </w:p>
    <w:bookmarkStart w:id="1" w:name="page2"/>
    <w:bookmarkEnd w:id="1"/>
    <w:p>
      <w:pPr>
        <w:ind w:right="69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September 27, 2021, 25,334,664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40" w:type="dxa"/>
            <w:vAlign w:val="bottom"/>
            <w:gridSpan w:val="6"/>
          </w:tcPr>
          <w:p>
            <w:pPr>
              <w:ind w:left="260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4760" w:type="dxa"/>
            <w:vAlign w:val="bottom"/>
            <w:gridSpan w:val="10"/>
          </w:tcPr>
          <w:p>
            <w:pPr>
              <w:spacing w:after="0"/>
              <w:rPr>
                <w:sz w:val="18"/>
                <w:szCs w:val="18"/>
                <w:color w:val="auto"/>
              </w:rPr>
            </w:pPr>
          </w:p>
        </w:tc>
        <w:tc>
          <w:tcPr>
            <w:tcW w:w="2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w:t>
              </w:r>
            </w:hyperlink>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Results of Operations</w:t>
              </w:r>
            </w:hyperlink>
          </w:p>
        </w:tc>
        <w:tc>
          <w:tcPr>
            <w:tcW w:w="3440" w:type="dxa"/>
            <w:vAlign w:val="bottom"/>
            <w:gridSpan w:val="6"/>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Comprehensive Earnings</w:t>
              </w:r>
            </w:hyperlink>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3440" w:type="dxa"/>
            <w:vAlign w:val="bottom"/>
            <w:gridSpan w:val="6"/>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Shareholders' Equity</w:t>
              </w:r>
            </w:hyperlink>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340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400" w:type="dxa"/>
            <w:vAlign w:val="bottom"/>
            <w:gridSpan w:val="5"/>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6">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340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Risk Factors</w:t>
              </w:r>
            </w:hyperlink>
          </w:p>
        </w:tc>
        <w:tc>
          <w:tcPr>
            <w:tcW w:w="420" w:type="dxa"/>
            <w:vAlign w:val="bottom"/>
          </w:tcPr>
          <w:p>
            <w:pPr>
              <w:spacing w:after="0"/>
              <w:rPr>
                <w:sz w:val="22"/>
                <w:szCs w:val="22"/>
                <w:color w:val="auto"/>
              </w:rPr>
            </w:pPr>
          </w:p>
        </w:tc>
        <w:tc>
          <w:tcPr>
            <w:tcW w:w="5140" w:type="dxa"/>
            <w:vAlign w:val="bottom"/>
            <w:gridSpan w:val="12"/>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3740" w:type="dxa"/>
            <w:vAlign w:val="bottom"/>
            <w:gridSpan w:val="13"/>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40" w:type="dxa"/>
            <w:vAlign w:val="bottom"/>
          </w:tcPr>
          <w:p>
            <w:pPr>
              <w:spacing w:after="0"/>
              <w:rPr>
                <w:sz w:val="22"/>
                <w:szCs w:val="22"/>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Arial" w:cs="Arial" w:eastAsia="Arial" w:hAnsi="Arial"/>
                <w:sz w:val="15"/>
                <w:szCs w:val="15"/>
                <w:color w:val="auto"/>
                <w:w w:val="71"/>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8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800" w:type="dxa"/>
            <w:vAlign w:val="bottom"/>
            <w:gridSpan w:val="2"/>
          </w:tcPr>
          <w:p>
            <w:pPr>
              <w:ind w:left="282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6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8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8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808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stock data)</w:t>
            </w: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6"/>
                <w:szCs w:val="16"/>
                <w:b w:val="1"/>
                <w:bCs w:val="1"/>
                <w:color w:val="auto"/>
                <w:w w:val="91"/>
              </w:rPr>
              <w:t>February 27, 2021</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Assets</w:t>
            </w:r>
          </w:p>
        </w:tc>
        <w:tc>
          <w:tcPr>
            <w:tcW w:w="660" w:type="dxa"/>
            <w:vAlign w:val="bottom"/>
            <w:tcBorders>
              <w:top w:val="single" w:sz="8" w:color="auto"/>
            </w:tcBorders>
            <w:shd w:val="clear" w:color="auto" w:fill="CCEEFF"/>
          </w:tcPr>
          <w:p>
            <w:pPr>
              <w:spacing w:after="0"/>
              <w:rPr>
                <w:sz w:val="19"/>
                <w:szCs w:val="19"/>
                <w:color w:val="auto"/>
              </w:rPr>
            </w:pPr>
          </w:p>
        </w:tc>
        <w:tc>
          <w:tcPr>
            <w:tcW w:w="6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w:t>
            </w:r>
          </w:p>
        </w:tc>
        <w:tc>
          <w:tcPr>
            <w:tcW w:w="0" w:type="dxa"/>
            <w:vAlign w:val="bottom"/>
          </w:tcPr>
          <w:p>
            <w:pPr>
              <w:spacing w:after="0"/>
              <w:rPr>
                <w:sz w:val="1"/>
                <w:szCs w:val="1"/>
                <w:color w:val="auto"/>
              </w:rPr>
            </w:pPr>
          </w:p>
        </w:tc>
      </w:tr>
      <w:tr>
        <w:trPr>
          <w:trHeight w:val="229"/>
        </w:trPr>
        <w:tc>
          <w:tcPr>
            <w:tcW w:w="8080" w:type="dxa"/>
            <w:vAlign w:val="bottom"/>
            <w:gridSpan w:val="4"/>
          </w:tcPr>
          <w:p>
            <w:pPr>
              <w:ind w:left="36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160,858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175,917</w:t>
            </w:r>
          </w:p>
        </w:tc>
        <w:tc>
          <w:tcPr>
            <w:tcW w:w="0" w:type="dxa"/>
            <w:vAlign w:val="bottom"/>
          </w:tcPr>
          <w:p>
            <w:pPr>
              <w:spacing w:after="0"/>
              <w:rPr>
                <w:sz w:val="1"/>
                <w:szCs w:val="1"/>
                <w:color w:val="auto"/>
              </w:rPr>
            </w:pPr>
          </w:p>
        </w:tc>
      </w:tr>
      <w:tr>
        <w:trPr>
          <w:trHeight w:val="229"/>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72,823</w:t>
            </w:r>
          </w:p>
        </w:tc>
        <w:tc>
          <w:tcPr>
            <w:tcW w:w="0" w:type="dxa"/>
            <w:vAlign w:val="bottom"/>
          </w:tcPr>
          <w:p>
            <w:pPr>
              <w:spacing w:after="0"/>
              <w:rPr>
                <w:sz w:val="1"/>
                <w:szCs w:val="1"/>
                <w:color w:val="auto"/>
              </w:rPr>
            </w:pPr>
          </w:p>
        </w:tc>
      </w:tr>
      <w:tr>
        <w:trPr>
          <w:trHeight w:val="230"/>
        </w:trPr>
        <w:tc>
          <w:tcPr>
            <w:tcW w:w="8080" w:type="dxa"/>
            <w:vAlign w:val="bottom"/>
            <w:gridSpan w:val="4"/>
          </w:tcPr>
          <w:p>
            <w:pPr>
              <w:ind w:left="360"/>
              <w:spacing w:after="0"/>
              <w:rPr>
                <w:sz w:val="20"/>
                <w:szCs w:val="20"/>
                <w:color w:val="auto"/>
              </w:rPr>
            </w:pPr>
            <w:r>
              <w:rPr>
                <w:rFonts w:ascii="Arial" w:cs="Arial" w:eastAsia="Arial" w:hAnsi="Arial"/>
                <w:sz w:val="18"/>
                <w:szCs w:val="18"/>
                <w:color w:val="auto"/>
              </w:rPr>
              <w:t>Costs and earnings on contracts in excess of billings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29,497</w:t>
            </w:r>
          </w:p>
        </w:tc>
        <w:tc>
          <w:tcPr>
            <w:tcW w:w="0" w:type="dxa"/>
            <w:vAlign w:val="bottom"/>
          </w:tcPr>
          <w:p>
            <w:pPr>
              <w:spacing w:after="0"/>
              <w:rPr>
                <w:sz w:val="1"/>
                <w:szCs w:val="1"/>
                <w:color w:val="auto"/>
              </w:rPr>
            </w:pPr>
          </w:p>
        </w:tc>
      </w:tr>
      <w:tr>
        <w:trPr>
          <w:trHeight w:val="229"/>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350,674</w:t>
            </w:r>
          </w:p>
        </w:tc>
        <w:tc>
          <w:tcPr>
            <w:tcW w:w="0" w:type="dxa"/>
            <w:vAlign w:val="bottom"/>
          </w:tcPr>
          <w:p>
            <w:pPr>
              <w:spacing w:after="0"/>
              <w:rPr>
                <w:sz w:val="1"/>
                <w:szCs w:val="1"/>
                <w:color w:val="auto"/>
              </w:rPr>
            </w:pPr>
          </w:p>
        </w:tc>
      </w:tr>
      <w:tr>
        <w:trPr>
          <w:trHeight w:val="223"/>
        </w:trPr>
        <w:tc>
          <w:tcPr>
            <w:tcW w:w="8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298,443</w:t>
            </w:r>
          </w:p>
        </w:tc>
        <w:tc>
          <w:tcPr>
            <w:tcW w:w="0" w:type="dxa"/>
            <w:vAlign w:val="bottom"/>
          </w:tcPr>
          <w:p>
            <w:pPr>
              <w:spacing w:after="0"/>
              <w:rPr>
                <w:sz w:val="1"/>
                <w:szCs w:val="1"/>
                <w:color w:val="auto"/>
              </w:rPr>
            </w:pPr>
          </w:p>
        </w:tc>
      </w:tr>
      <w:tr>
        <w:trPr>
          <w:trHeight w:val="230"/>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58,864</w:t>
            </w:r>
          </w:p>
        </w:tc>
        <w:tc>
          <w:tcPr>
            <w:tcW w:w="0" w:type="dxa"/>
            <w:vAlign w:val="bottom"/>
          </w:tcPr>
          <w:p>
            <w:pPr>
              <w:spacing w:after="0"/>
              <w:rPr>
                <w:sz w:val="1"/>
                <w:szCs w:val="1"/>
                <w:color w:val="auto"/>
              </w:rPr>
            </w:pPr>
          </w:p>
        </w:tc>
      </w:tr>
      <w:tr>
        <w:trPr>
          <w:trHeight w:val="229"/>
        </w:trPr>
        <w:tc>
          <w:tcPr>
            <w:tcW w:w="8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29"/>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130,053</w:t>
            </w: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7460" w:type="dxa"/>
            <w:vAlign w:val="bottom"/>
            <w:gridSpan w:val="3"/>
          </w:tcPr>
          <w:p>
            <w:pPr>
              <w:ind w:left="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1,015,099</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76,204</w:t>
            </w:r>
          </w:p>
        </w:tc>
        <w:tc>
          <w:tcPr>
            <w:tcW w:w="0" w:type="dxa"/>
            <w:vAlign w:val="bottom"/>
          </w:tcPr>
          <w:p>
            <w:pPr>
              <w:spacing w:after="0"/>
              <w:rPr>
                <w:sz w:val="1"/>
                <w:szCs w:val="1"/>
                <w:color w:val="auto"/>
              </w:rPr>
            </w:pPr>
          </w:p>
        </w:tc>
      </w:tr>
      <w:tr>
        <w:trPr>
          <w:trHeight w:val="229"/>
        </w:trPr>
        <w:tc>
          <w:tcPr>
            <w:tcW w:w="8080" w:type="dxa"/>
            <w:vAlign w:val="bottom"/>
            <w:gridSpan w:val="4"/>
          </w:tcPr>
          <w:p>
            <w:pPr>
              <w:ind w:left="36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50,125</w:t>
            </w: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Billings on contracts in excess of costs and earnings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30"/>
        </w:trPr>
        <w:tc>
          <w:tcPr>
            <w:tcW w:w="8080" w:type="dxa"/>
            <w:vAlign w:val="bottom"/>
            <w:gridSpan w:val="4"/>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13,251</w:t>
            </w: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53,183</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217,552</w:t>
            </w:r>
          </w:p>
        </w:tc>
        <w:tc>
          <w:tcPr>
            <w:tcW w:w="0" w:type="dxa"/>
            <w:vAlign w:val="bottom"/>
          </w:tcPr>
          <w:p>
            <w:pPr>
              <w:spacing w:after="0"/>
              <w:rPr>
                <w:sz w:val="1"/>
                <w:szCs w:val="1"/>
                <w:color w:val="auto"/>
              </w:rPr>
            </w:pPr>
          </w:p>
        </w:tc>
      </w:tr>
      <w:tr>
        <w:trPr>
          <w:trHeight w:val="223"/>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29"/>
        </w:trPr>
        <w:tc>
          <w:tcPr>
            <w:tcW w:w="8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48,439</w:t>
            </w:r>
          </w:p>
        </w:tc>
        <w:tc>
          <w:tcPr>
            <w:tcW w:w="0" w:type="dxa"/>
            <w:vAlign w:val="bottom"/>
          </w:tcPr>
          <w:p>
            <w:pPr>
              <w:spacing w:after="0"/>
              <w:rPr>
                <w:sz w:val="1"/>
                <w:szCs w:val="1"/>
                <w:color w:val="auto"/>
              </w:rPr>
            </w:pPr>
          </w:p>
        </w:tc>
      </w:tr>
      <w:tr>
        <w:trPr>
          <w:trHeight w:val="230"/>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Non-current self-insurance reserves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24,880</w:t>
            </w: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30"/>
        </w:trPr>
        <w:tc>
          <w:tcPr>
            <w:tcW w:w="8080" w:type="dxa"/>
            <w:vAlign w:val="bottom"/>
            <w:gridSpan w:val="4"/>
          </w:tcPr>
          <w:p>
            <w:pPr>
              <w:ind w:left="20"/>
              <w:spacing w:after="0"/>
              <w:rPr>
                <w:sz w:val="20"/>
                <w:szCs w:val="20"/>
                <w:color w:val="auto"/>
              </w:rPr>
            </w:pPr>
            <w:r>
              <w:rPr>
                <w:rFonts w:ascii="Arial" w:cs="Arial" w:eastAsia="Arial" w:hAnsi="Arial"/>
                <w:sz w:val="18"/>
                <w:szCs w:val="18"/>
                <w:color w:val="auto"/>
              </w:rPr>
              <w:t>Commitments and contingent liabilities (Note 8)</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80" w:type="dxa"/>
            <w:vAlign w:val="bottom"/>
            <w:gridSpan w:val="4"/>
          </w:tcPr>
          <w:p>
            <w:pPr>
              <w:ind w:left="360"/>
              <w:spacing w:after="0" w:line="176" w:lineRule="exact"/>
              <w:rPr>
                <w:sz w:val="20"/>
                <w:szCs w:val="20"/>
                <w:color w:val="auto"/>
              </w:rPr>
            </w:pPr>
            <w:r>
              <w:rPr>
                <w:rFonts w:ascii="Arial" w:cs="Arial" w:eastAsia="Arial" w:hAnsi="Arial"/>
                <w:sz w:val="18"/>
                <w:szCs w:val="18"/>
                <w:color w:val="auto"/>
                <w:w w:val="91"/>
              </w:rPr>
              <w:t>Common stock of $0.33-1/3 par value; authorized 50,000,000 shares; issued and outstanding 25,394,275</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29"/>
        </w:trPr>
        <w:tc>
          <w:tcPr>
            <w:tcW w:w="8080" w:type="dxa"/>
            <w:vAlign w:val="bottom"/>
            <w:gridSpan w:val="4"/>
          </w:tcPr>
          <w:p>
            <w:pPr>
              <w:ind w:left="520"/>
              <w:spacing w:after="0"/>
              <w:rPr>
                <w:sz w:val="20"/>
                <w:szCs w:val="20"/>
                <w:color w:val="auto"/>
              </w:rPr>
            </w:pPr>
            <w:r>
              <w:rPr>
                <w:rFonts w:ascii="Arial" w:cs="Arial" w:eastAsia="Arial" w:hAnsi="Arial"/>
                <w:sz w:val="18"/>
                <w:szCs w:val="18"/>
                <w:color w:val="auto"/>
              </w:rPr>
              <w:t>and 25,713,688 respectively</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154,958</w:t>
            </w:r>
          </w:p>
        </w:tc>
        <w:tc>
          <w:tcPr>
            <w:tcW w:w="0" w:type="dxa"/>
            <w:vAlign w:val="bottom"/>
          </w:tcPr>
          <w:p>
            <w:pPr>
              <w:spacing w:after="0"/>
              <w:rPr>
                <w:sz w:val="1"/>
                <w:szCs w:val="1"/>
                <w:color w:val="auto"/>
              </w:rPr>
            </w:pPr>
          </w:p>
        </w:tc>
      </w:tr>
      <w:tr>
        <w:trPr>
          <w:trHeight w:val="230"/>
        </w:trPr>
        <w:tc>
          <w:tcPr>
            <w:tcW w:w="8080" w:type="dxa"/>
            <w:vAlign w:val="bottom"/>
            <w:gridSpan w:val="4"/>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336,398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357,243</w:t>
            </w:r>
          </w:p>
        </w:tc>
        <w:tc>
          <w:tcPr>
            <w:tcW w:w="0" w:type="dxa"/>
            <w:vAlign w:val="bottom"/>
          </w:tcPr>
          <w:p>
            <w:pPr>
              <w:spacing w:after="0"/>
              <w:rPr>
                <w:sz w:val="1"/>
                <w:szCs w:val="1"/>
                <w:color w:val="auto"/>
              </w:rPr>
            </w:pPr>
          </w:p>
        </w:tc>
      </w:tr>
      <w:tr>
        <w:trPr>
          <w:trHeight w:val="230"/>
        </w:trPr>
        <w:tc>
          <w:tcPr>
            <w:tcW w:w="80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(28,027)</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492,745</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1,015,099</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00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August 29,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28, 2021</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August 29, 2020</w:t>
            </w: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608,578</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472,141</w:t>
            </w:r>
          </w:p>
        </w:tc>
      </w:tr>
      <w:tr>
        <w:trPr>
          <w:trHeight w:val="223"/>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136,437</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106,754</w:t>
            </w:r>
          </w:p>
        </w:tc>
      </w:tr>
      <w:tr>
        <w:trPr>
          <w:trHeight w:val="223"/>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29,683</w:t>
            </w: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2,739</w:t>
            </w: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(Loss) earnings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27,157</w:t>
            </w: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r>
      <w:tr>
        <w:trPr>
          <w:trHeight w:val="223"/>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Net (loss)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earnings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(Loss) earnings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26,162</w:t>
            </w: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26,507</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560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EARNINGS </w:t>
      </w:r>
      <w:r>
        <w:rPr>
          <w:rFonts w:ascii="Arial" w:cs="Arial" w:eastAsia="Arial" w:hAnsi="Arial"/>
          <w:sz w:val="18"/>
          <w:szCs w:val="18"/>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8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August 29, 2020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August 29, 2020</w:t>
            </w:r>
          </w:p>
        </w:tc>
        <w:tc>
          <w:tcPr>
            <w:tcW w:w="0" w:type="dxa"/>
            <w:vAlign w:val="bottom"/>
          </w:tcPr>
          <w:p>
            <w:pPr>
              <w:spacing w:after="0"/>
              <w:rPr>
                <w:sz w:val="1"/>
                <w:szCs w:val="1"/>
                <w:color w:val="auto"/>
              </w:rPr>
            </w:pP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Unrealized gain on marketable securities, net of $2, $13, $1</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$39 of tax expense, respectively</w:t>
            </w: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Unrealized (loss) gain on derivative instruments, net of</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ind w:left="520"/>
              <w:spacing w:after="0" w:line="176" w:lineRule="exact"/>
              <w:rPr>
                <w:sz w:val="20"/>
                <w:szCs w:val="20"/>
                <w:color w:val="auto"/>
              </w:rPr>
            </w:pPr>
            <w:r>
              <w:rPr>
                <w:rFonts w:ascii="Arial" w:cs="Arial" w:eastAsia="Arial" w:hAnsi="Arial"/>
                <w:sz w:val="18"/>
                <w:szCs w:val="18"/>
                <w:color w:val="auto"/>
              </w:rPr>
              <w:t>$(203), $404, $8 and $215 of tax (benefit) expense,</w:t>
            </w: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4860" w:type="dxa"/>
            <w:vAlign w:val="bottom"/>
            <w:gridSpan w:val="2"/>
          </w:tcPr>
          <w:p>
            <w:pPr>
              <w:ind w:left="5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(loss) earnings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(loss)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28, 2021</w:t>
            </w:r>
          </w:p>
        </w:tc>
        <w:tc>
          <w:tcPr>
            <w:tcW w:w="22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Arial" w:cs="Arial" w:eastAsia="Arial" w:hAnsi="Arial"/>
                <w:sz w:val="16"/>
                <w:szCs w:val="16"/>
                <w:b w:val="1"/>
                <w:bCs w:val="1"/>
                <w:color w:val="auto"/>
                <w:w w:val="96"/>
              </w:rPr>
              <w:t>August 29, 2020</w:t>
            </w: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20,534</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25,284</w:t>
            </w:r>
          </w:p>
        </w:tc>
      </w:tr>
      <w:tr>
        <w:trPr>
          <w:trHeight w:val="229"/>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7,966</w:t>
            </w:r>
          </w:p>
        </w:tc>
      </w:tr>
      <w:tr>
        <w:trPr>
          <w:trHeight w:val="229"/>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Asset impairment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(Gain) loss on disposal of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r>
      <w:tr>
        <w:trPr>
          <w:trHeight w:val="229"/>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31,212</w:t>
            </w:r>
          </w:p>
        </w:tc>
      </w:tr>
      <w:tr>
        <w:trPr>
          <w:trHeight w:val="229"/>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Costs and earnings on contracts in excess of billings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43,091</w:t>
            </w:r>
          </w:p>
        </w:tc>
      </w:tr>
      <w:tr>
        <w:trPr>
          <w:trHeight w:val="229"/>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r>
      <w:tr>
        <w:trPr>
          <w:trHeight w:val="229"/>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Billings on contracts in excess of costs and earnings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(9,105)</w:t>
            </w:r>
          </w:p>
        </w:tc>
      </w:tr>
      <w:tr>
        <w:trPr>
          <w:trHeight w:val="230"/>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Refundable and accrued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29"/>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30"/>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76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85,330</w:t>
            </w:r>
          </w:p>
        </w:tc>
      </w:tr>
      <w:tr>
        <w:trPr>
          <w:trHeight w:val="21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(14,224)</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r>
      <w:tr>
        <w:trPr>
          <w:trHeight w:val="223"/>
        </w:trPr>
        <w:tc>
          <w:tcPr>
            <w:tcW w:w="76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Net cash used by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 on line of credit</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192,581</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Repayments on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line of credit</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and retirement of common stock</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(9,751)</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23"/>
        </w:trPr>
        <w:tc>
          <w:tcPr>
            <w:tcW w:w="76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Net cash used by financing activities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(66,062)</w:t>
            </w:r>
          </w:p>
        </w:tc>
      </w:tr>
      <w:tr>
        <w:trPr>
          <w:trHeight w:val="223"/>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w:t>
            </w: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Noncash Activity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Capital expenditures in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657</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Deferred</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7"/>
              </w:rPr>
              <w:t>Stock Held in</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34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Trust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Obligation</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(Loss) Income</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February 27, 2021</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25,714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8,571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154,958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357,243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(28,027)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492,745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10,817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10,817</w:t>
            </w: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Unrealized gain on marketable securities, net of $—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6"/>
              </w:rPr>
              <w:t>Unrealized gain on foreign currency hedge, net of $211</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tax 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76"/>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May 29, 2021</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25,606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8,535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158,341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352,130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(21,455)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497,551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7"/>
              </w:rPr>
              <w:t>Unrealized gain on marketable securities, net of $2 tax</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0"/>
              </w:rPr>
              <w:t>Unrealized loss on foreign currency hedge, net of $203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0" w:type="dxa"/>
            <w:vAlign w:val="bottom"/>
          </w:tcPr>
          <w:p>
            <w:pPr>
              <w:spacing w:after="0"/>
              <w:rPr>
                <w:sz w:val="1"/>
                <w:szCs w:val="1"/>
                <w:color w:val="auto"/>
              </w:rPr>
            </w:pPr>
          </w:p>
        </w:tc>
      </w:tr>
      <w:tr>
        <w:trPr>
          <w:trHeight w:val="189"/>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August 28, 2021</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25,394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8,465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158,115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336,398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192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(26,417)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476,561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Deferred</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7"/>
              </w:rPr>
              <w:t>Stock Held in</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34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Trust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Obligation</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(Loss) Income</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February 29, 2020</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26,443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154,016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388,010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685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516,778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2,876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Unrealized gain on marketable securities, net of $26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0"/>
              </w:rPr>
              <w:t>Unrealized loss on foreign currency hedge, net of $189 tax</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May 30, 2020</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26,369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8,790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153,862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382,225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696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(40,733)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504,144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17,658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17,658</w:t>
            </w: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Unrealized gain on marketable securities, net of $13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6"/>
              </w:rPr>
              <w:t>Unrealized gain on foreign currency hedge, net of $404</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tax 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w:t>
            </w:r>
          </w:p>
        </w:tc>
        <w:tc>
          <w:tcPr>
            <w:tcW w:w="0" w:type="dxa"/>
            <w:vAlign w:val="bottom"/>
          </w:tcPr>
          <w:p>
            <w:pPr>
              <w:spacing w:after="0"/>
              <w:rPr>
                <w:sz w:val="1"/>
                <w:szCs w:val="1"/>
                <w:color w:val="auto"/>
              </w:rPr>
            </w:pPr>
          </w:p>
        </w:tc>
      </w:tr>
      <w:tr>
        <w:trPr>
          <w:trHeight w:val="189"/>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August 29, 2020</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26,467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155,956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394,614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707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(33,225)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526,168</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27, 2021.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six-month periods ended August 28, 2021 are not necessarily indicative of the results to be expected for the full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fiscal 2021, as a result of the global COVID-19 pandemic, we experienced some delays in commercial construction projects and orders and other disruptions to our business, including various physical distancing and health-related precautions, and we were required to close operations at two facilities in our Large-Scale Optical (LSO) segment for a portion of fiscal 2021 due to governmental orders. We were also impacted by quarantine-related absenteeism among our production workforce, resulting in labor constraints at some of our facilities. In the first two quarters of fiscal 2022, the negative impacts on our business directly due to the COVID-19 pandemic have moderated. The extent to which COVID-19 will continue to impact our businesses in the future will depend on numerous evolving factors including, but not limited to, the emergence of new variants of the coronavirus, such as the Delta variant, and the effectiveness of ongoing public health initiatives, which have been boosted by vaccine production and 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At the beginning of fiscal 2022, we adopted the guidance in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ASU removed exceptions on intra-period tax allocations and reporting and provided simplification on accounting for franchise taxes, tax basis goodwill and tax law changes. The adoption of this ASU did not have a significant impact on the consolidated financial statements.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the beginning of fiscal 2022, we adopted the guidance in ASU 2020-04, </w:t>
      </w:r>
      <w:r>
        <w:rPr>
          <w:rFonts w:ascii="Arial" w:cs="Arial" w:eastAsia="Arial" w:hAnsi="Arial"/>
          <w:sz w:val="18"/>
          <w:szCs w:val="18"/>
          <w:i w:val="1"/>
          <w:iCs w:val="1"/>
          <w:color w:val="auto"/>
        </w:rPr>
        <w:t>Reference Rate Reform (Topic 848): Facilitation of the Effects of Reference</w:t>
      </w:r>
      <w:r>
        <w:rPr>
          <w:rFonts w:ascii="Arial" w:cs="Arial" w:eastAsia="Arial" w:hAnsi="Arial"/>
          <w:sz w:val="18"/>
          <w:szCs w:val="18"/>
          <w:color w:val="auto"/>
        </w:rPr>
        <w:t xml:space="preserve"> </w:t>
      </w:r>
      <w:r>
        <w:rPr>
          <w:rFonts w:ascii="Arial" w:cs="Arial" w:eastAsia="Arial" w:hAnsi="Arial"/>
          <w:sz w:val="18"/>
          <w:szCs w:val="18"/>
          <w:i w:val="1"/>
          <w:iCs w:val="1"/>
          <w:color w:val="auto"/>
        </w:rPr>
        <w:t>Rate Reform on Financial Reporting</w:t>
      </w:r>
      <w:r>
        <w:rPr>
          <w:rFonts w:ascii="Arial" w:cs="Arial" w:eastAsia="Arial" w:hAnsi="Arial"/>
          <w:sz w:val="18"/>
          <w:szCs w:val="18"/>
          <w:color w:val="auto"/>
        </w:rPr>
        <w:t>. The amendments in this ASU apply only to contracts, hedging relationships, and other transactions that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LIBOR or another reference rate expected to be discontinued because of reference rate reform. The adoption of this ASU did not have a significant impact on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12 for disclosure of revenue by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98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8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August 29,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August 29, 2020</w:t>
            </w: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250,160</w:t>
            </w:r>
          </w:p>
        </w:tc>
      </w:tr>
      <w:tr>
        <w:trPr>
          <w:trHeight w:val="230"/>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Recognized over time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358,418</w:t>
            </w:r>
          </w:p>
        </w:tc>
      </w:tr>
      <w:tr>
        <w:trPr>
          <w:trHeight w:val="24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608,578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40" w:type="dxa"/>
            <w:vAlign w:val="bottom"/>
          </w:tcPr>
          <w:p>
            <w:pPr>
              <w:spacing w:after="0"/>
              <w:rPr>
                <w:sz w:val="16"/>
                <w:szCs w:val="16"/>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120,534</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Construction contracts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retainage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receivables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162,961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177,864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receivables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175,917</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4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Additions charged to costs and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Deductions from allowance, net of recoveries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changes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80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7"/>
        </w:trPr>
        <w:tc>
          <w:tcPr>
            <w:tcW w:w="8080" w:type="dxa"/>
            <w:vAlign w:val="bottom"/>
            <w:gridSpan w:val="2"/>
            <w:vMerge w:val="restart"/>
          </w:tcPr>
          <w:p>
            <w:pPr>
              <w:ind w:left="20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Result of foreign currency effects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40" w:type="dxa"/>
            <w:vAlign w:val="bottom"/>
          </w:tcPr>
          <w:p>
            <w:pPr>
              <w:spacing w:after="0"/>
              <w:rPr>
                <w:sz w:val="16"/>
                <w:szCs w:val="16"/>
                <w:color w:val="auto"/>
              </w:rPr>
            </w:pPr>
          </w:p>
        </w:tc>
        <w:tc>
          <w:tcPr>
            <w:tcW w:w="138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February 27, 2021</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74,664</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contract assets and contract liabilities was mainly due to timing of project activity within our businesses that operate under long-term contracts.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contract-related disclosures</w:t>
            </w:r>
          </w:p>
        </w:tc>
        <w:tc>
          <w:tcPr>
            <w:tcW w:w="180" w:type="dxa"/>
            <w:vAlign w:val="bottom"/>
          </w:tcPr>
          <w:p>
            <w:pPr>
              <w:spacing w:after="0"/>
              <w:rPr>
                <w:sz w:val="20"/>
                <w:szCs w:val="20"/>
                <w:color w:val="auto"/>
              </w:rPr>
            </w:pPr>
          </w:p>
        </w:tc>
        <w:tc>
          <w:tcPr>
            <w:tcW w:w="30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0"/>
                <w:szCs w:val="20"/>
                <w:color w:val="auto"/>
              </w:rPr>
            </w:pPr>
          </w:p>
        </w:tc>
        <w:tc>
          <w:tcPr>
            <w:tcW w:w="29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1"/>
        </w:trPr>
        <w:tc>
          <w:tcPr>
            <w:tcW w:w="48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August 29, 2020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7"/>
              </w:rPr>
              <w:t>August 29, 2020</w:t>
            </w:r>
          </w:p>
        </w:tc>
        <w:tc>
          <w:tcPr>
            <w:tcW w:w="0" w:type="dxa"/>
            <w:vAlign w:val="bottom"/>
          </w:tcPr>
          <w:p>
            <w:pPr>
              <w:spacing w:after="0"/>
              <w:rPr>
                <w:sz w:val="1"/>
                <w:szCs w:val="1"/>
                <w:color w:val="auto"/>
              </w:rPr>
            </w:pPr>
          </w:p>
        </w:tc>
      </w:tr>
      <w:tr>
        <w:trPr>
          <w:trHeight w:val="170"/>
        </w:trPr>
        <w:tc>
          <w:tcPr>
            <w:tcW w:w="47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Revenue recognized related to contract liabilities from prior</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year-end</w:t>
            </w: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Revenue recognized related to prior satisfaction of performance</w:t>
            </w: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August 28, 2021, the transaction price associated with unsatisfied performance obligations was approximately $857.2 million. The performance obligations are expected to be satisfied, and the corresponding revenue to be recognized, over the following estimated time periods: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6"/>
                <w:szCs w:val="16"/>
                <w:color w:val="auto"/>
              </w:rPr>
            </w:pPr>
          </w:p>
        </w:tc>
        <w:tc>
          <w:tcPr>
            <w:tcW w:w="134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August 28, 2021</w:t>
            </w:r>
          </w:p>
        </w:tc>
      </w:tr>
      <w:tr>
        <w:trPr>
          <w:trHeight w:val="229"/>
        </w:trPr>
        <w:tc>
          <w:tcPr>
            <w:tcW w:w="9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500,758</w:t>
            </w: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Within two years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341,749</w:t>
            </w:r>
          </w:p>
        </w:tc>
      </w:tr>
      <w:tr>
        <w:trPr>
          <w:trHeight w:val="22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Beyond</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r>
      <w:tr>
        <w:trPr>
          <w:trHeight w:val="223"/>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857,181</w:t>
            </w: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Supplemental Balance Sheet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40" w:type="dxa"/>
            <w:vAlign w:val="bottom"/>
          </w:tcPr>
          <w:p>
            <w:pPr>
              <w:spacing w:after="0"/>
              <w:rPr>
                <w:sz w:val="16"/>
                <w:szCs w:val="16"/>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18,932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72,823</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4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Accrued project losses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other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Accrued self-insurance reserves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4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benefit from New Market Tax Credit transactions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Retirement plan obligations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payroll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4"/>
                <w:szCs w:val="14"/>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48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28, 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February 27, 2021</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bonds at August 28, 2021, by contractual maturity, are shown below. Expected maturities may differ from contractual maturities, as borrowers may have the right to call or prepay obligations with or without penalty.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420" w:type="dxa"/>
            <w:vAlign w:val="bottom"/>
          </w:tcPr>
          <w:p>
            <w:pPr>
              <w:jc w:val="right"/>
              <w:ind w:right="13"/>
              <w:spacing w:after="0"/>
              <w:rPr>
                <w:sz w:val="20"/>
                <w:szCs w:val="20"/>
                <w:color w:val="auto"/>
              </w:rPr>
            </w:pPr>
            <w:r>
              <w:rPr>
                <w:rFonts w:ascii="Arial" w:cs="Arial" w:eastAsia="Arial" w:hAnsi="Arial"/>
                <w:sz w:val="14"/>
                <w:szCs w:val="14"/>
                <w:b w:val="1"/>
                <w:bCs w:val="1"/>
                <w:color w:val="auto"/>
                <w:w w:val="94"/>
              </w:rPr>
              <w:t>Estimated Fair Value</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8,908</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after five years through 10 years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Due beyond 15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2020, we entered into an interest rate swap to hedge exposure to variability in cash flows from interest payments on our floating-rate revolving credit facility and term loan. As of August 28, 2021, the interest rate swap contract had a notional value of $37.5 million.</w:t>
      </w:r>
    </w:p>
    <w:p>
      <w:pPr>
        <w:spacing w:after="0" w:line="18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August 28, 2021, we held foreign exchange forward contracts and aluminum fixed/floating swaps with U.S. dollar notional values of $9.0 million and $6.9 million, respectively.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Other Observable</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88"/>
        </w:trPr>
        <w:tc>
          <w:tcPr>
            <w:tcW w:w="64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2)</w:t>
            </w:r>
          </w:p>
        </w:tc>
        <w:tc>
          <w:tcPr>
            <w:tcW w:w="2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August 28,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0" w:type="dxa"/>
            <w:vAlign w:val="bottom"/>
          </w:tcPr>
          <w:p>
            <w:pPr>
              <w:spacing w:after="0"/>
              <w:rPr>
                <w:sz w:val="1"/>
                <w:szCs w:val="1"/>
                <w:color w:val="auto"/>
              </w:rPr>
            </w:pPr>
          </w:p>
        </w:tc>
      </w:tr>
      <w:tr>
        <w:trPr>
          <w:trHeight w:val="229"/>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Municipal and corporate bonds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30"/>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Aluminum hedge contracts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forward/option contracts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Interest rate swap contract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27, 2021</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26,034</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Municipal and corporate bonds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30"/>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18,632</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forward/option contracts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Aluminum hedge contracts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swap contract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and deferred compensation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interest rate swap is measured at fair value using other observable market inputs, based off of benchmark interest rates. 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13 for additional information on the impairment charges recorded to fixed assets and right-of-use lease assets during the second quarter of fiscal 2022.</w:t>
      </w:r>
    </w:p>
    <w:p>
      <w:pPr>
        <w:spacing w:after="0" w:line="19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Based on the impairment analysis performed in the fourth quarter of fiscal 2021, estimated fair value was in excess of carrying value at six of our eight reporting units. However, estimated fair value did not exceed carrying value for two reporting units within the Architectural Framing Systems segment, EFCO and Sotawall. As a result, as of February 27, 2021, we incurred goodwill impairment expense of $46.7 million and $17.1 million in our EFCO and Sotawall reporting units, respectively. The goodwill impairment expense recorded during the year ended February 27, 2021, as reflected in the table below, represents the total accumulated goodwill impairment expenses recorded.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Architectural Framing</w:t>
            </w:r>
          </w:p>
        </w:tc>
        <w:tc>
          <w:tcPr>
            <w:tcW w:w="12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Architectural Glass</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Architectural Services</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Large-Scale</w:t>
            </w:r>
          </w:p>
        </w:tc>
        <w:tc>
          <w:tcPr>
            <w:tcW w:w="36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Systems</w:t>
            </w: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Optical</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29, 2020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185,516</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27, 2021</w:t>
            </w: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August 28, 2021</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right="420" w:firstLine="6"/>
        <w:spacing w:after="0" w:line="220" w:lineRule="auto"/>
        <w:tabs>
          <w:tab w:leader="none" w:pos="165"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During the first quarter of fiscal 2021,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our analysis, the fair value of each of our trade names and trademarks exceeded carrying amount, except for the EFCO tradename, within our Architectural Framing Systems segment. The fair value determined for the EFCO tradename was less than its carrying value by $6.3 million; this amount was recognized as impairment expense in the fourth quarter ended February 27, 2021, as reflected in the table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Impairment Expense</w:t>
            </w: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Currency</w:t>
            </w:r>
          </w:p>
        </w:tc>
        <w:tc>
          <w:tcPr>
            <w:tcW w:w="360" w:type="dxa"/>
            <w:vAlign w:val="bottom"/>
          </w:tcPr>
          <w:p>
            <w:pPr>
              <w:spacing w:after="0"/>
              <w:rPr>
                <w:sz w:val="11"/>
                <w:szCs w:val="11"/>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5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August 28, 2021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79,661</w:t>
            </w:r>
          </w:p>
        </w:tc>
        <w:tc>
          <w:tcPr>
            <w:tcW w:w="0" w:type="dxa"/>
            <w:vAlign w:val="bottom"/>
          </w:tcPr>
          <w:p>
            <w:pPr>
              <w:spacing w:after="0"/>
              <w:rPr>
                <w:sz w:val="1"/>
                <w:szCs w:val="1"/>
                <w:color w:val="auto"/>
              </w:rPr>
            </w:pPr>
          </w:p>
        </w:tc>
      </w:tr>
      <w:tr>
        <w:trPr>
          <w:trHeight w:val="230"/>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86,653</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(79,110)</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126,642</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February 27, 2021</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82,519</w:t>
            </w: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90,221</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(6,300)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1"/>
              </w:rPr>
              <w:t>(6,300)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definite-lived intangible assets was $3.9 million and $3.7 million for the six-month periods ended August 28, 2021 and August 29, 2020, respectively. Amortization expense of other identifiable intangible assets is included in selling, general and administrative expenses. At August 28, 2021, the estimated future amortization expense for definite-lived intangible assets was: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Remainder of Fiscal</w:t>
            </w: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 2023</w:t>
            </w: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 2024</w:t>
            </w: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 2025</w:t>
            </w:r>
          </w:p>
        </w:tc>
        <w:tc>
          <w:tcPr>
            <w:tcW w:w="260" w:type="dxa"/>
            <w:vAlign w:val="bottom"/>
          </w:tcPr>
          <w:p>
            <w:pPr>
              <w:spacing w:after="0"/>
              <w:rPr>
                <w:sz w:val="14"/>
                <w:szCs w:val="14"/>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Fiscal 2026</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13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28, 2021, we had a committed revolving credit facility with maximum borrowings of up to $235 million with a maturity of June 2024. There were no outstanding borrowings under the revolving credit facility as of August 28, 2021 and February 27, 2021. At August 28, 2021 and February 27, 2021, we also had a $150 million term loan with a maturity date of June 2024.</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At August 28, 2021, we were in compliance with both financial covenants. Additionally, at August 28, 2021, we had a total of $16.6 million of ongoing letters of credit related to industrial revenue bonds, construction contracts and insurance collateral that expire in fiscal years 2022 to 2032 and reduce borrowing capacity under the revolving credit facility.</w:t>
      </w:r>
    </w:p>
    <w:p>
      <w:pPr>
        <w:spacing w:after="0" w:line="2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At August 28, 2021, debt included $13.0 million of industrial revenue bonds that mature in fiscal years 2023 through 2043. In July 2021, two $1.0 million industrial revenue bonds matured and were repaid. The fair value of all industrial revenue bonds approximated carrying value at August 28, 2021, due to the variable interest rates on these instruments. All debt would be classified as Level 2 within the fair value hierarchy described in Note 4.</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two Canadian committed, revolving credit facilities totaling $25.0 million (USD). As of August 28, 2021 and February 27, 2021, there were no borrowings outstanding under the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$1.9 million and $2.5 million for the six months ended August 28, 2021 and August 29,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94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8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August 29, 2020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August 29, 2020</w:t>
            </w:r>
          </w:p>
        </w:tc>
      </w:tr>
      <w:tr>
        <w:trPr>
          <w:trHeight w:val="224"/>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w:t>
            </w:r>
          </w:p>
        </w:tc>
      </w:tr>
      <w:tr>
        <w:trPr>
          <w:trHeight w:val="21"/>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related to leases was as follows:</w:t>
      </w:r>
    </w:p>
    <w:p>
      <w:pPr>
        <w:spacing w:after="0" w:line="13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 except weighted-average data)</w:t>
            </w: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August 28, 2021</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3"/>
              </w:rPr>
              <w:t>August 29, 2020</w:t>
            </w:r>
          </w:p>
        </w:tc>
      </w:tr>
      <w:tr>
        <w:trPr>
          <w:trHeight w:val="224"/>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7,186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6,562</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6,778</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5.7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years</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3.55 %</w:t>
            </w:r>
          </w:p>
        </w:tc>
      </w:tr>
      <w:tr>
        <w:trPr>
          <w:trHeight w:val="539"/>
        </w:trPr>
        <w:tc>
          <w:tcPr>
            <w:tcW w:w="7840" w:type="dxa"/>
            <w:vAlign w:val="bottom"/>
            <w:gridSpan w:val="2"/>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4"/>
        </w:trPr>
        <w:tc>
          <w:tcPr>
            <w:tcW w:w="7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9"/>
              </w:rPr>
              <w:t>August 28, 2021</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12,843</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9,597</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Fiscal 2027</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6,203</w:t>
            </w: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60,916</w:t>
            </w:r>
          </w:p>
        </w:tc>
      </w:tr>
      <w:tr>
        <w:trPr>
          <w:trHeight w:val="23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56,853</w:t>
            </w:r>
          </w:p>
        </w:tc>
      </w:tr>
      <w:tr>
        <w:trPr>
          <w:trHeight w:val="21"/>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August 28, 2021, $1.2 billion of these types of bonds were outstanding, of which $490.1 million is in our backlog. These bonds do not have stated expiration dates. We have never been required to make payments under surety or performance bonds with respect to our existing businesses.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Pr>
          <w:p>
            <w:pPr>
              <w:spacing w:after="0"/>
              <w:rPr>
                <w:sz w:val="16"/>
                <w:szCs w:val="16"/>
                <w:color w:val="auto"/>
              </w:rPr>
            </w:pPr>
          </w:p>
        </w:tc>
        <w:tc>
          <w:tcPr>
            <w:tcW w:w="134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August 29, 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Additional accruals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16,662</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$1.3 million and $4.6 million as of August 28, 2021 and February 27, 2021,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August 28, 2021, we had $16.6 million of ongoing letters of credit, all of which have been issued under our committed revolving credit facility, as discussed in Note 6. We also have a $6.9 million letter of credit which has been issued outside our committed revolving credit facility, with no impact on our borrowing capacity and debt covenants.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$203.8 million as of August 28,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three outstanding NMTC arrangements which help to support operational expansion. Proceeds received from investors on these transactions are included within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for each project, we are required to hold cash dedicated to fund each capital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Termination date</w:t>
            </w: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Proceeds received</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Deferred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2016</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August 2018</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2025</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2018</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2025</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$3.3 million for the six-month period ended August 28, 2021 and $3.7 million for the six-month period ended August 29,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six-month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35"/>
        </w:trPr>
        <w:tc>
          <w:tcPr>
            <w:tcW w:w="5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 options and SARs</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9"/>
              </w:rPr>
              <w:t>Number of Shares</w:t>
            </w:r>
          </w:p>
        </w:tc>
        <w:tc>
          <w:tcPr>
            <w:tcW w:w="1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27, 2021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Awards 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(178,564)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Outstanding at August 28,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8.8 years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4,694,328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or expected to vest at August 28,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8.8 years</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4,694,328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six-months ended August 28, 2021, cash proceeds from the exercise of stock options were $4.1 million and the aggregate intrinsic value of securities exercised (the amount by which the stock price on the date of exercise exceeded the stock price of the award on the date of grant) was $2.3 million. No awards were issued or exercised during the six-months ended August 29,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fiscal 2022, the Compensation Committee of the Board of Directors implemented an executive compensation program for certain key employees. In the first quarter of fiscal 2022, we issued performance shares in the form of nonvested share unit awards, which give the recipient the right to receive shares earned at the vesting date. The number of share units issued at grant is equal to the target number of performance shares and allows for the right to receive an additional number of shares dependent on achieving a defined performance goal of return on invested capital and being employed at the end of the performance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 awards and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including performance share units, for the current six-month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Nonvested shares and units</w:t>
            </w:r>
          </w:p>
        </w:tc>
        <w:tc>
          <w:tcPr>
            <w:tcW w:w="1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Shares and Units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140" w:type="dxa"/>
            <w:vAlign w:val="bottom"/>
            <w:gridSpan w:val="2"/>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24"/>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February 27, 2021</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29"/>
        </w:trPr>
        <w:tc>
          <w:tcPr>
            <w:tcW w:w="7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8"/>
                <w:szCs w:val="18"/>
                <w:color w:val="auto"/>
              </w:rPr>
              <w:t>231,746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Canceled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Nonvested at August 28, 2021</w:t>
            </w:r>
            <w:r>
              <w:rPr>
                <w:rFonts w:ascii="Arial" w:cs="Arial" w:eastAsia="Arial" w:hAnsi="Arial"/>
                <w:sz w:val="23"/>
                <w:szCs w:val="23"/>
                <w:color w:val="auto"/>
                <w:vertAlign w:val="superscript"/>
              </w:rPr>
              <w:t>(2)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519,344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total of 54,395 nonvested share units granted and outstanding at target level for the fiscal 2022-2024 performance period.</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total of 50,825 nonvested share units granted and outstanding at target level for the fiscal 2022-2024 performance period.</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August 28, 2021, there was $12.4 million of total unrecognized compensation cost related to nonvested share and nonvested share unit awards, which is expected to be recognized over a weighted average period of approximately 30 months. The total fair value of shares vested during the six months ended August 28, 2021 was $4.8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2018, or state and local income tax examinations for years prior to fiscal 2013. The Company is not currently under U.S. federal examination for years subsequent to fiscal year 2017, and there is limited audit activity of the Company’s income tax returns in U.S. state jurisdictions or international jurisdictions.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liability for unrecognized tax benefits was $3.8 million at August 28, 2021 and February 27, 2021, respectively. Penalties and interest related to unrecognized tax benefits are recorded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4"/>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3140" w:type="dxa"/>
            <w:vAlign w:val="bottom"/>
            <w:gridSpan w:val="3"/>
          </w:tcPr>
          <w:p>
            <w:pPr>
              <w:jc w:val="right"/>
              <w:ind w:right="9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8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August 28, 2021</w:t>
            </w:r>
          </w:p>
        </w:tc>
        <w:tc>
          <w:tcPr>
            <w:tcW w:w="150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August 29, 2020</w:t>
            </w:r>
          </w:p>
        </w:tc>
        <w:tc>
          <w:tcPr>
            <w:tcW w:w="120" w:type="dxa"/>
            <w:vAlign w:val="bottom"/>
          </w:tcPr>
          <w:p>
            <w:pPr>
              <w:spacing w:after="0"/>
              <w:rPr>
                <w:sz w:val="16"/>
                <w:szCs w:val="16"/>
                <w:color w:val="auto"/>
              </w:rPr>
            </w:pPr>
          </w:p>
        </w:tc>
        <w:tc>
          <w:tcPr>
            <w:tcW w:w="16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August 28, 2021</w:t>
            </w:r>
          </w:p>
        </w:tc>
        <w:tc>
          <w:tcPr>
            <w:tcW w:w="152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August 29, 2020</w:t>
            </w:r>
          </w:p>
        </w:tc>
        <w:tc>
          <w:tcPr>
            <w:tcW w:w="0" w:type="dxa"/>
            <w:vAlign w:val="bottom"/>
          </w:tcPr>
          <w:p>
            <w:pPr>
              <w:spacing w:after="0"/>
              <w:rPr>
                <w:sz w:val="1"/>
                <w:szCs w:val="1"/>
                <w:color w:val="auto"/>
              </w:rPr>
            </w:pPr>
          </w:p>
        </w:tc>
      </w:tr>
      <w:tr>
        <w:trPr>
          <w:trHeight w:val="170"/>
        </w:trPr>
        <w:tc>
          <w:tcPr>
            <w:tcW w:w="47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5"/>
              </w:rPr>
              <w:t>Basic earnings per share – weighted average common shares</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25,271</w:t>
            </w:r>
          </w:p>
        </w:tc>
        <w:tc>
          <w:tcPr>
            <w:tcW w:w="1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26,162</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Weighted average effect of nonvested share grants and assumed</w:t>
            </w: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exercise of stock options</w:t>
            </w:r>
          </w:p>
        </w:tc>
        <w:tc>
          <w:tcPr>
            <w:tcW w:w="162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Diluted earnings per share – weighted average common shares</w:t>
            </w: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1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26,507</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and potential common shares outstanding</w:t>
            </w: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2"/>
              </w:rPr>
              <w:t>Stock awards excluded from the calculation of earnings per share</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6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5"/>
              </w:rPr>
              <w:t>because the effect was anti-dilutive (award price greater than</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average market price of the shares)</w:t>
            </w: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four reporting segments:</w:t>
      </w:r>
    </w:p>
    <w:p>
      <w:pPr>
        <w:spacing w:after="0" w:line="23" w:lineRule="exact"/>
        <w:rPr>
          <w:sz w:val="20"/>
          <w:szCs w:val="20"/>
          <w:color w:val="auto"/>
        </w:rPr>
      </w:pPr>
    </w:p>
    <w:p>
      <w:pPr>
        <w:jc w:val="both"/>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Framing Systems</w:t>
      </w:r>
      <w:r>
        <w:rPr>
          <w:rFonts w:ascii="Arial" w:cs="Arial" w:eastAsia="Arial" w:hAnsi="Arial"/>
          <w:sz w:val="18"/>
          <w:szCs w:val="18"/>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Glass</w:t>
      </w:r>
      <w:r>
        <w:rPr>
          <w:rFonts w:ascii="Arial" w:cs="Arial" w:eastAsia="Arial" w:hAnsi="Arial"/>
          <w:sz w:val="18"/>
          <w:szCs w:val="18"/>
          <w:color w:val="auto"/>
        </w:rPr>
        <w:t xml:space="preserve"> segment fabricates coated, high-performance glass used globally in customized window and wall systems comprising the outside skin of commercial, institutional and high-end multi-family residential buildings.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Services</w:t>
      </w:r>
      <w:r>
        <w:rPr>
          <w:rFonts w:ascii="Arial" w:cs="Arial" w:eastAsia="Arial" w:hAnsi="Arial"/>
          <w:sz w:val="18"/>
          <w:szCs w:val="18"/>
          <w:color w:val="auto"/>
        </w:rPr>
        <w:t xml:space="preserve"> segment provides full-service installation of the walls of glass, windows and other curtainwall products making up the outside skin of commercial and institutional buildings.</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Large-Scale Optical (LSO)</w:t>
      </w:r>
      <w:r>
        <w:rPr>
          <w:rFonts w:ascii="Arial" w:cs="Arial" w:eastAsia="Arial" w:hAnsi="Arial"/>
          <w:sz w:val="16"/>
          <w:szCs w:val="16"/>
          <w:color w:val="auto"/>
        </w:rPr>
        <w:t xml:space="preserve"> segment manufactures value-added glass and acrylic products primarily for framing and display applications.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96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8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August 29, 2020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7"/>
              </w:rPr>
              <w:t>August 29, 2020</w:t>
            </w:r>
          </w:p>
        </w:tc>
        <w:tc>
          <w:tcPr>
            <w:tcW w:w="0" w:type="dxa"/>
            <w:vAlign w:val="bottom"/>
          </w:tcPr>
          <w:p>
            <w:pPr>
              <w:spacing w:after="0"/>
              <w:rPr>
                <w:sz w:val="1"/>
                <w:szCs w:val="1"/>
                <w:color w:val="auto"/>
              </w:rPr>
            </w:pP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Architectural Framing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149,972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152,927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301,812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303,091</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Glass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Architectural Services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83,031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158,686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137,221</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Large-Scale Optical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608,578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Framing Systems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Architectural Glass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Services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Large-Scale Optical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3"/>
        </w:trPr>
        <w:tc>
          <w:tcPr>
            <w:tcW w:w="4860" w:type="dxa"/>
            <w:vAlign w:val="bottom"/>
            <w:gridSpan w:val="2"/>
          </w:tcPr>
          <w:p>
            <w:pPr>
              <w:ind w:left="48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August 11, 2021, we announced plans to realign and simplify our business structure. During the second quarter of fiscal 2022, we incurred $20.8 million of pre-tax costs associated with the execution of these plans, of which $18.5 million is included within cost of sales and $2.3 million is included within selling, general and administrative expenses within our consolidated statements of operations. Costs primarily related to asset impairment charges due to the closure of two facilities within the Architectural Glass segment, in Dallas, Texas and Statesboro, Georgia in order to build focus within this segment on premium, high-performance products. Additionally, employee termination costs were incurred related to these facility closures, realignment of the Architectural Framing Systems segment, and within the Corporate office. We expect future pre-tax costs associated with the ongoing execution of these plans to be approximately $5 million, which will be incurred by the end of our fiscal year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August 28, 2021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Architectural</w:t>
            </w:r>
          </w:p>
        </w:tc>
        <w:tc>
          <w:tcPr>
            <w:tcW w:w="16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Architectural Glass</w:t>
            </w: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4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Framing</w:t>
            </w:r>
          </w:p>
        </w:tc>
        <w:tc>
          <w:tcPr>
            <w:tcW w:w="1640" w:type="dxa"/>
            <w:vAlign w:val="bottom"/>
            <w:gridSpan w:val="3"/>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Termination benefits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Total restructuring charges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our restructuring related accrual balances included within accrued payroll and related costs and other current liabilities in the consolidated balance sheets. All balances are expected to be paid within the fiscal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Architectural</w:t>
            </w:r>
          </w:p>
        </w:tc>
        <w:tc>
          <w:tcPr>
            <w:tcW w:w="16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Architectural Glass</w:t>
            </w: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40" w:type="dxa"/>
            <w:vAlign w:val="bottom"/>
          </w:tcPr>
          <w:p>
            <w:pPr>
              <w:spacing w:after="0"/>
              <w:rPr>
                <w:sz w:val="16"/>
                <w:szCs w:val="16"/>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Framing</w:t>
            </w:r>
          </w:p>
        </w:tc>
        <w:tc>
          <w:tcPr>
            <w:tcW w:w="1620" w:type="dxa"/>
            <w:vAlign w:val="bottom"/>
            <w:gridSpan w:val="3"/>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1, 2020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February 27, 2021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August 28,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27, 2021 and in subsequent filings with the U.S. Securities and Exchange Commission, including this Quarterly Report on Form 10-Q.</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are a leader in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February 27, 2021 and the consolidated financial statements, including the notes to consolidated financial statements, included therein.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Second Quarter of Fiscal 2022 Compared to Second Quarter of Fiscal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increased 2.0 percent, or $6.3 million, and increased 7.1 percent, or $43.2 million, for the three- and six-month periods ended August 28, 2021, compared to the same periods in the prior year, primarily driven by volume growth in the Architectural Services and LSO segments. LSO was closed for most of the first and second quarters of fiscal 2021, due to COVID-19.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400" w:type="dxa"/>
            <w:vAlign w:val="bottom"/>
            <w:gridSpan w:val="4"/>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33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540" w:type="dxa"/>
            <w:vAlign w:val="bottom"/>
          </w:tcPr>
          <w:p>
            <w:pPr>
              <w:spacing w:after="0"/>
              <w:rPr>
                <w:sz w:val="16"/>
                <w:szCs w:val="16"/>
                <w:color w:val="auto"/>
              </w:rPr>
            </w:pPr>
          </w:p>
        </w:tc>
        <w:tc>
          <w:tcPr>
            <w:tcW w:w="17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August 28, 2021</w:t>
            </w:r>
          </w:p>
        </w:tc>
        <w:tc>
          <w:tcPr>
            <w:tcW w:w="158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August 29, 2020</w:t>
            </w:r>
          </w:p>
        </w:tc>
        <w:tc>
          <w:tcPr>
            <w:tcW w:w="120" w:type="dxa"/>
            <w:vAlign w:val="bottom"/>
          </w:tcPr>
          <w:p>
            <w:pPr>
              <w:spacing w:after="0"/>
              <w:rPr>
                <w:sz w:val="16"/>
                <w:szCs w:val="16"/>
                <w:color w:val="auto"/>
              </w:rPr>
            </w:pPr>
          </w:p>
        </w:tc>
        <w:tc>
          <w:tcPr>
            <w:tcW w:w="170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August 28, 2021</w:t>
            </w:r>
          </w:p>
        </w:tc>
        <w:tc>
          <w:tcPr>
            <w:tcW w:w="16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August 29, 2020</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77.6</w:t>
            </w:r>
          </w:p>
        </w:tc>
      </w:tr>
      <w:tr>
        <w:trPr>
          <w:trHeight w:val="223"/>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22.4</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17.5</w:t>
            </w:r>
          </w:p>
        </w:tc>
      </w:tr>
      <w:tr>
        <w:trPr>
          <w:trHeight w:val="223"/>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income</w:t>
            </w:r>
          </w:p>
        </w:tc>
        <w:tc>
          <w:tcPr>
            <w:tcW w:w="1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0.5</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(Loss) earnings before income taxes</w:t>
            </w:r>
          </w:p>
        </w:tc>
        <w:tc>
          <w:tcPr>
            <w:tcW w:w="15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4.5</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5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Net (loss) earnings</w:t>
            </w:r>
          </w:p>
        </w:tc>
        <w:tc>
          <w:tcPr>
            <w:tcW w:w="15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(0.6)%</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Gross profit as a percent of sales (gross margin) was 14.7 percent and 17.8 percent for the three- and six-month periods ended August 28, 2021, compared to 23.8 percent and 22.4 percent for the three- and six-month periods ended August 29, 2020. Gross margin decreased in the current year three- and six-month periods compared to the prior year, primarily due to $18.5 million of restructuring charges included in cost of goods sold incurred during the second quarter of fiscal 2022, as well as inflationary pressure on raw materials and freight within the Architectural Glass and Architectural Framing Systems segments. These costs were partially offset by positive impacts from continued recovery of the LSO segment (which closed for most of the first and second quarters last year, based on COVID-related government directives).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SG&amp;A expenses as a percent of sales were 15.7 percent and 15.8 percent for the three- and six-month periods ended August 28, 2021, compared to 16.6 percent and 17.5 percent for the prior year three- and six-month periods. SG&amp;A decreased as a percent of sales compared to the same period in the prior year primarily due to ongoing controlling of spending across all segments of the business, partially offset by higher Corporate and other costs related to investments in transformation initiatives and increased health care costs. In addition, we recognized a benefit of $1.8 million and $4.5 million during the three- and six-month periods ended August 28, 2021, respectively, compared to $1.3 million in the prior year three- and six-month periods, from a Canadian wage subsidy program offered to support Canadian businesses due to the ongoing impacts of the COVID-19 pandemic.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effective income tax rate in the second quarter of fiscal 2022 was a benefit of 47.6 percent, compared to expense of 23.7 percent in the same period last year. During the second quarter, the tax rate was favorably impacted by the release of a $1.2 million valuation allowance on certain state net operating losses, which is the result of tax planning identified due to the realignment and simplification of our business structure. The effective tax rate was 16.8 percent for the first six months of fiscal 2022, compared to 24.4 percent in the prior year period, with the rate decrease also primarily related to the release of the valuation allowance, as well as lower year-to-date 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Borders>
              <w:bottom w:val="single" w:sz="8" w:color="auto"/>
            </w:tcBorders>
          </w:tcPr>
          <w:p>
            <w:pPr>
              <w:spacing w:after="0"/>
              <w:rPr>
                <w:sz w:val="16"/>
                <w:szCs w:val="16"/>
                <w:color w:val="auto"/>
              </w:rPr>
            </w:pPr>
          </w:p>
        </w:tc>
      </w:tr>
      <w:tr>
        <w:trPr>
          <w:trHeight w:val="187"/>
        </w:trPr>
        <w:tc>
          <w:tcPr>
            <w:tcW w:w="25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6"/>
                <w:szCs w:val="16"/>
                <w:color w:val="auto"/>
              </w:rPr>
            </w:pPr>
          </w:p>
        </w:tc>
        <w:tc>
          <w:tcPr>
            <w:tcW w:w="12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August 28,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149,972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152,927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301,812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303,091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11,697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16,338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18,993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Architectural Framing Systems net sales decreased $3.0 million, or 1.9 percent, and decreased $1.3 million, or 0.4 percent for the three- and six-month periods ended August 28, 2021, compared to the prior-year periods, primarily reflecting lower volume, partially offset by improved pricing.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Operating margin decreased 210 basis points and 90 basis points for the three- and six-month periods of the current year, compared to the same periods in the prior year, reflecting increased costs for materials and freight, the impact of lower volume, as well as $2.0 million of restructuring costs incurred during the current year second quarter, partially offset by improved pricing and benefits from restructuring actions implemented in fiscal 2021. As previously announced, this segment incurred restructuring-related termination costs in the quarter related to realignment of the segment to increase focus on target markets, better serve customers, improve operational execution, and reduce overall costs. In addition, this segment benefited from a Canadian wage subsidy of $1.8 million and $4.5 million during the three- and six-month periods ended August 28, 2021, respectively, compared to $1.3 million in the prior-year three- and six-month periods, as a result of a program to support Canadian businesses due to the ongoing impacts of the COVID-19 pandemic.</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August 28, 2021, segment backlog was approximately $406 million, compared to approximately $423 million at the end of the prior quarter, and $404 million at the end of the second quarter of the prior year.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Borders>
              <w:bottom w:val="single" w:sz="8" w:color="auto"/>
            </w:tcBorders>
          </w:tcPr>
          <w:p>
            <w:pPr>
              <w:spacing w:after="0"/>
              <w:rPr>
                <w:sz w:val="16"/>
                <w:szCs w:val="16"/>
                <w:color w:val="auto"/>
              </w:rPr>
            </w:pPr>
          </w:p>
        </w:tc>
      </w:tr>
      <w:tr>
        <w:trPr>
          <w:trHeight w:val="187"/>
        </w:trPr>
        <w:tc>
          <w:tcPr>
            <w:tcW w:w="25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2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August 28,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79,373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86,584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162,404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163,495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(16,995)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(14,867)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$7.2 million, or 8.3 percent, and $1.1 million, or 0.7 percent, for the three- and six-month periods ended August 28, 2021, compared to the same period in the prior year, primarily reflecting lower volume.</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the current quarter, the segment had operating loss of $17.0 million and negative operating margin of 21.4 percent, compared to operating income of $5.0 million and operating margin of 5.7 percent in the same period of the prior year. These results were primarily driven by $17.4 million of restructuring costs incurred during the current year second quarter, as well as increased costs for materials and freight, and the impact of lower volume and price, partially offset by an improved sales mix and increased factory productivity. As previously announced, this segment incurred restructuring charges related to the closure of two operating facilities and the associated employee termination costs in the quarter. This restructuring will enable the segment to emphasize more premium, high-performance products in its business. For the six months ended August 28, 2021, the segment had an operating loss of $14.9 million and negative operating margin of 9.2 percent, compared to operating income of $4.5 million and operating margin of 2.7 percent in the prior year, primarily due to the restructuring costs incurred during the second quarter of the current year.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Borders>
              <w:bottom w:val="single" w:sz="8" w:color="auto"/>
            </w:tcBorders>
          </w:tcPr>
          <w:p>
            <w:pPr>
              <w:spacing w:after="0"/>
              <w:rPr>
                <w:sz w:val="16"/>
                <w:szCs w:val="16"/>
                <w:color w:val="auto"/>
              </w:rPr>
            </w:pPr>
          </w:p>
        </w:tc>
      </w:tr>
      <w:tr>
        <w:trPr>
          <w:trHeight w:val="187"/>
        </w:trPr>
        <w:tc>
          <w:tcPr>
            <w:tcW w:w="25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2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August 28,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83,031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73,670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158,686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137,221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7,242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11,779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11,912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Architectural Services net sales increased $9.4 million, or 12.7 percent, and $21.5 million, or 15.6 percent, for the three- and six-month periods ended August 28, 2021, compared to the same periods in the prior year, driven by increased volume from executing projects in backlog.</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margin decreased 20 basis points and 130 basis points for the three- and six-month periods of the current year, compared to the same periods in the prior year, primarily reflecting a less favorable project mix. Additionally, the six-month period was negatively impacted by isolated performance challenges on certain projects experienced during the first quarter of fiscal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August 28, 2021, segment backlog was approximately $572 million, compared to approximately $559 million as of the end of the prior quarter, and $665 million at the end of the second quarter of the prior year. Backlog is described within the Architectural Framing Systems discussion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Borders>
              <w:bottom w:val="single" w:sz="8" w:color="auto"/>
            </w:tcBorders>
          </w:tcPr>
          <w:p>
            <w:pPr>
              <w:spacing w:after="0"/>
              <w:rPr>
                <w:sz w:val="16"/>
                <w:szCs w:val="16"/>
                <w:color w:val="auto"/>
              </w:rPr>
            </w:pPr>
          </w:p>
        </w:tc>
      </w:tr>
      <w:tr>
        <w:trPr>
          <w:trHeight w:val="187"/>
        </w:trPr>
        <w:tc>
          <w:tcPr>
            <w:tcW w:w="25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August 28, 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29, 2020</w:t>
            </w: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23,543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16,860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47,772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23,171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106.2 %</w:t>
            </w:r>
          </w:p>
        </w:tc>
      </w:tr>
      <w:tr>
        <w:trPr>
          <w:trHeight w:val="22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LSO net sales increased $6.7 million or 39.6 percent, and $24.6 million or 106.2 percent for the three- and six-month periods ended August 28, 2021, compared to the same periods in the prior year, reflecting favorable mix and increased volume, as demand recovered from the impact of COVID in the prior year. In fiscal 2021, the segment's customers and manufacturing operations were closed for a large part of the first and second quarters to comply with COVID-related government directives.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current quarter, the segment had operating income of $5.5 million and operating margin of 23.3 percent, compared to operating income of $2.1 million and operating margin of 12.7 percent in the same period of the prior year, primarily driven by the improved sales mix and increased volume. For the six months ended August 28, 2021, the segment had operating income of $11.3 million and operating margin of 23.7 percent, compared to operating loss of $1.0 million and negative operating margin of 4.2 percent, reflecting the improved mix and volume noted 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51"/>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Selected cash flow data</w:t>
            </w: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r>
      <w:tr>
        <w:trPr>
          <w:trHeight w:val="181"/>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28, 2021</w:t>
            </w:r>
          </w:p>
        </w:tc>
        <w:tc>
          <w:tcPr>
            <w:tcW w:w="180" w:type="dxa"/>
            <w:vAlign w:val="bottom"/>
          </w:tcPr>
          <w:p>
            <w:pPr>
              <w:spacing w:after="0"/>
              <w:rPr>
                <w:sz w:val="15"/>
                <w:szCs w:val="15"/>
                <w:color w:val="auto"/>
              </w:rPr>
            </w:pPr>
          </w:p>
        </w:tc>
        <w:tc>
          <w:tcPr>
            <w:tcW w:w="13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August 29, 2020</w:t>
            </w:r>
          </w:p>
        </w:tc>
      </w:tr>
      <w:tr>
        <w:trPr>
          <w:trHeight w:val="224"/>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54,907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85,330</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(14,224)</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Borrowings on line of credit</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192,581</w:t>
            </w:r>
          </w:p>
        </w:tc>
      </w:tr>
      <w:tr>
        <w:trPr>
          <w:trHeight w:val="230"/>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Payments on line of credit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w:t>
            </w: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Repurchase and retirement of common stock</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(4,731)</w:t>
            </w:r>
          </w:p>
        </w:tc>
      </w:tr>
      <w:tr>
        <w:trPr>
          <w:trHeight w:val="229"/>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$54.9 million for the first six months of fiscal 2022, a decrease of $30.4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prior-year period, reflecting a decline in net earnings of $11.8 million in the current-year period compared to the prior-year period, as well as, the impact of temporary actions related to COVID in the prior-year period.</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by investing activities was $8.8 million for the first six months of fiscal 2022, driven primarily by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$10.1 million. In the first six months of the prior year, net cash used by investing activities was $15.2 million, driven by capital expenditures of $14.2 million. Capital expenditures in the current year declined $4.1 million from the prior year due to slower spending within the Architectural Glass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by financing activities was $32.2 million for the first six months of fiscal 2022, compared to $66.1 million in the prior-year period, reflecting net debt repayments of $45 million in the prior year. Additionally, in the first six months of the current year, we made share repurchases totaling $22.4 million, compared to $4.7 million in the prior year six-month period. At August 28, 2021, we were in compliance with the financial covenants under our revolving credit facility and term loan.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paid dividends totaling $10.1 million ($0.4000 per share) in the first six months of fiscal 2022, compared to $9.8 million ($0.3750 per share) in the comparable prior-year period. During the first six months of fiscal 2022, we repurchased 589,533 shares under our authorized share repurchase program, for a total cost of $22.0 million. In the first six months of fiscal 2021, we repurchased 231,492 shares under the share repurchase program, for a total cost of $4.7 million. Since the inception of the share repurchase program in 2004, we have purchased a total of 7,722,149 shares, at a total cost of $229.3 million. We currently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remaining authority to repurchase an additional 527,851 shares under this program. We will continue to evaluate making future share repurchases, considering our cash flow, debt levels and market conditions, in the context of all our capital allocation options, with the goal of maximizing long-term value for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August 28,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Payments Due by Fiscal Period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2023</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2024</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Fiscal 2025</w:t>
            </w:r>
          </w:p>
        </w:tc>
        <w:tc>
          <w:tcPr>
            <w:tcW w:w="1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2026</w:t>
            </w:r>
          </w:p>
        </w:tc>
        <w:tc>
          <w:tcPr>
            <w:tcW w:w="16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Fiscal 2022</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Operating leases (undiscounted)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60,916</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203,777</w:t>
            </w:r>
          </w:p>
        </w:tc>
        <w:tc>
          <w:tcPr>
            <w:tcW w:w="0" w:type="dxa"/>
            <w:vAlign w:val="bottom"/>
          </w:tcPr>
          <w:p>
            <w:pPr>
              <w:spacing w:after="0"/>
              <w:rPr>
                <w:sz w:val="1"/>
                <w:szCs w:val="1"/>
                <w:color w:val="auto"/>
              </w:rPr>
            </w:pPr>
          </w:p>
        </w:tc>
      </w:tr>
      <w:tr>
        <w:trPr>
          <w:trHeight w:val="223"/>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Total cash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427,693</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2022, which will equal or exceed our minimum funding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28, 2021, we had reserves of $3.8 million for unrecognized tax benefits. We are unable to reasonably estimate in which future periods the remaining unrecognized tax benefits will ultimately be settled.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August 28, 2021, $1.2 billion of these types of bonds were outstanding, of which $490.1 million is in our backlog. These bonds do not have stated expiration dates. We have never been required to make payments under surety or performance bonds with respect to our existing businesses.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calendar 2020, we took advantage of the option to defer remittance of the employer portion of Social Security tax as provided in the CARES Act. This deferral allowed us to retain cash during calendar year 2020 that would have otherwise been remitted to the federal government. At the end of fiscal 2021, we had deferred tax payments of $13.6 million, which are included within accrued payroll and other benefits and other non-current liabilities on our consolidated balance sheets. The deferred tax payments will be repaid in two equal portions in calendar years 2021 and 2022.</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 While we believe we have adequate sources of liquidity to continue to fund our business for at least the next 12 months, the extent to which the ongoing COVID-19 pandemic may impact our results of operations or liquidity is uncertain. The extent to which COVID-19 will continue to impact our business will depend on numerous evolving factors including, but not limited to, the emergence of new variants of the coronavirus, such as the Delta variant, and the effectiveness of ongoing public health initiatives, which have been buoyed by vaccine production and distribution.</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that have or are reasonably likely to have a current or future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condition, changes in financial condition, revenues or expenses, results of operations, liquidity, capital expenditures, or capital resources that is material to investors.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 previously provided guidance of full-year GAAP earnings in the range of $2.20 to $2.40 per diluted share. The company is now providing guidance of full-year adjusted earnings in the range of $2.20 to $2.40 per diluted share, which excludes the impact of restructuring costs. This guidance includes $7 to $10 million of expected pre-tax costs related to investments in transformation initiatives. We expect a tax rate of approximately 24.5 percent in the second half of fiscal 2022, and full-year capital expenditures of approximately $35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February 27, 2021.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There have been no material changes to our critical accounting policies from those disclosed in our Annual Report on Form 10-K for the fiscal year ended February 27, 2021.</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Refer to the Company’s Annual Report on Form 10-K for the fiscal year ended February 27, 2021 for a complete discussion on the Company’s market risk. There have been no material changes in market risk from those disclosed in our Annual Report on Form 10-K for the fiscal year ended February 27, 2021, except as noted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Pricing Risk</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subject to market risk exposure related to volatility in the prices of aluminum and lumber, among other raw materials and supplies used in our end products. A significant amount of our cost of sales relates to materials costs. The commodities markets, which include the aluminum industry, are highly cyclical in nature. As a result, commodity costs can be volatile, as we have experienced from time to time during recent fiscal quarters, and may become more volatile in the future. Commodity costs are influenced by numerous factors beyond our control, including general economic conditions, the availability of raw materials, competition, labor costs, freight and transportation costs, production costs, import duties and other trade restrictions.</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principally manage our exposures to the market fluctuations in the aluminum industry through fixed/floating rate swaps and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cannot accurately calculate the pre-tax impact a one percent change in the commodity costs of aluminum and/or lumber would have on our fiscal 2022 operating results, as the change in commodity costs would both impact the cost to purchase materials and the selling prices we offer our customers. The impact to our operating results would significantly depend on the competitive environment and the costs of other alternative products, which could impact our ability to pass commodities costs to our customers.</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70" w:lineRule="auto"/>
        <w:tabs>
          <w:tab w:leader="none" w:pos="12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2" w:lineRule="exact"/>
        <w:rPr>
          <w:rFonts w:ascii="Arial" w:cs="Arial" w:eastAsia="Arial" w:hAnsi="Arial"/>
          <w:sz w:val="17"/>
          <w:szCs w:val="17"/>
          <w:color w:val="auto"/>
        </w:rPr>
      </w:pPr>
    </w:p>
    <w:p>
      <w:pPr>
        <w:jc w:val="both"/>
        <w:ind w:left="1300" w:hanging="644"/>
        <w:spacing w:after="0" w:line="263" w:lineRule="auto"/>
        <w:tabs>
          <w:tab w:leader="none" w:pos="1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August 28, 2021, that has materially affected, or is reasonably likely to materially affect, the Company’s internal control over financial reporting.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any such proceedings, facts currently available indicate that no matters will result in losses that would have a material adverse effect on the results of operations, cash flows or financial condition of the Company.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There have been no material changes or additions to our risk factors discussed in our Annual Report on Form 10-K for the fiscal year ended February 27, 2021.</w:t>
      </w:r>
    </w:p>
    <w:p>
      <w:pPr>
        <w:spacing w:after="0" w:line="19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second quarter of fiscal 2022:</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Purchased as Part of</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Publicly Announced Plans</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88"/>
        </w:trPr>
        <w:tc>
          <w:tcPr>
            <w:tcW w:w="440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 (a)</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 (b)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(b)</w:t>
            </w:r>
          </w:p>
        </w:tc>
        <w:tc>
          <w:tcPr>
            <w:tcW w:w="0" w:type="dxa"/>
            <w:vAlign w:val="bottom"/>
          </w:tcPr>
          <w:p>
            <w:pPr>
              <w:spacing w:after="0"/>
              <w:rPr>
                <w:sz w:val="1"/>
                <w:szCs w:val="1"/>
                <w:color w:val="auto"/>
              </w:rPr>
            </w:pPr>
          </w:p>
        </w:tc>
      </w:tr>
      <w:tr>
        <w:trPr>
          <w:trHeight w:val="224"/>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30, 2021 to June 26, 2021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71,333</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705,051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27, 2021 to July 24, 2021</w:t>
            </w:r>
          </w:p>
        </w:tc>
        <w:tc>
          <w:tcPr>
            <w:tcW w:w="1460" w:type="dxa"/>
            <w:vAlign w:val="bottom"/>
          </w:tcPr>
          <w:p>
            <w:pPr>
              <w:jc w:val="right"/>
              <w:spacing w:after="0"/>
              <w:rPr>
                <w:sz w:val="20"/>
                <w:szCs w:val="20"/>
                <w:color w:val="auto"/>
              </w:rPr>
            </w:pPr>
            <w:r>
              <w:rPr>
                <w:rFonts w:ascii="Arial" w:cs="Arial" w:eastAsia="Arial" w:hAnsi="Arial"/>
                <w:sz w:val="18"/>
                <w:szCs w:val="18"/>
                <w:color w:val="auto"/>
              </w:rPr>
              <w:t>85,041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77,300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627,751</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25, 2021 to August 28,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527,851</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248,533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527,851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760" w:hanging="652"/>
        <w:spacing w:after="0" w:line="250" w:lineRule="auto"/>
        <w:tabs>
          <w:tab w:leader="none" w:pos="75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760" w:hanging="652"/>
        <w:spacing w:after="0" w:line="248" w:lineRule="auto"/>
        <w:tabs>
          <w:tab w:leader="none" w:pos="75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6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15"/>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100" w:type="dxa"/>
            <w:vAlign w:val="bottom"/>
            <w:vMerge w:val="restart"/>
          </w:tcPr>
          <w:p>
            <w:pPr>
              <w:spacing w:after="0"/>
              <w:rPr>
                <w:rFonts w:ascii="Arial" w:cs="Arial" w:eastAsia="Arial" w:hAnsi="Arial"/>
                <w:sz w:val="13"/>
                <w:szCs w:val="13"/>
                <w:color w:val="0000FF"/>
                <w:w w:val="73"/>
              </w:rPr>
            </w:pPr>
            <w:hyperlink r:id="rId40">
              <w:r>
                <w:rPr>
                  <w:rFonts w:ascii="Arial" w:cs="Arial" w:eastAsia="Arial" w:hAnsi="Arial"/>
                  <w:sz w:val="13"/>
                  <w:szCs w:val="13"/>
                  <w:color w:val="0000FF"/>
                  <w:w w:val="73"/>
                </w:rPr>
                <w:t>3.</w:t>
              </w:r>
            </w:hyperlink>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80" w:type="dxa"/>
            <w:vAlign w:val="bottom"/>
            <w:gridSpan w:val="2"/>
            <w:shd w:val="clear" w:color="auto" w:fill="CCEEFF"/>
          </w:tcPr>
          <w:p>
            <w:pPr>
              <w:spacing w:after="0" w:line="189" w:lineRule="exact"/>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60" w:type="dxa"/>
            <w:vAlign w:val="bottom"/>
            <w:gridSpan w:val="14"/>
            <w:shd w:val="clear" w:color="auto" w:fill="CCEEFF"/>
          </w:tcPr>
          <w:p>
            <w:pPr>
              <w:spacing w:after="0" w:line="189"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Restated Articles of Incorporation. (Incorporated by reference to Exhibit 3.1 to Registrant's Annual Report on Form 10-K for the year-</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bottom w:val="single" w:sz="8" w:color="0000FF"/>
            </w:tcBorders>
            <w:vMerge w:val="restart"/>
          </w:tcPr>
          <w:p>
            <w:pPr>
              <w:spacing w:after="0"/>
              <w:rPr>
                <w:rFonts w:ascii="Arial" w:cs="Arial" w:eastAsia="Arial" w:hAnsi="Arial"/>
                <w:sz w:val="13"/>
                <w:szCs w:val="13"/>
                <w:color w:val="0000FF"/>
                <w:w w:val="73"/>
              </w:rPr>
            </w:pPr>
            <w:hyperlink r:id="rId41">
              <w:r>
                <w:rPr>
                  <w:rFonts w:ascii="Arial" w:cs="Arial" w:eastAsia="Arial" w:hAnsi="Arial"/>
                  <w:sz w:val="13"/>
                  <w:szCs w:val="13"/>
                  <w:color w:val="0000FF"/>
                  <w:w w:val="73"/>
                </w:rPr>
                <w:t>3.</w:t>
              </w:r>
            </w:hyperlink>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1920" w:type="dxa"/>
            <w:vAlign w:val="bottom"/>
            <w:tcBorders>
              <w:top w:val="single" w:sz="8" w:color="0000FF"/>
              <w:bottom w:val="single" w:sz="8" w:color="0000FF"/>
            </w:tcBorders>
            <w:gridSpan w:val="2"/>
            <w:shd w:val="clear" w:color="auto" w:fill="CCEEFF"/>
          </w:tcPr>
          <w:p>
            <w:pPr>
              <w:ind w:left="20"/>
              <w:spacing w:after="0" w:line="15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ended February 28, 2004.)</w:t>
              </w:r>
            </w:hyperlink>
          </w:p>
        </w:tc>
        <w:tc>
          <w:tcPr>
            <w:tcW w:w="774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80" w:type="dxa"/>
            <w:vAlign w:val="bottom"/>
            <w:gridSpan w:val="2"/>
          </w:tcPr>
          <w:p>
            <w:pPr>
              <w:spacing w:after="0" w:line="189" w:lineRule="exact"/>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2</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60" w:type="dxa"/>
            <w:vAlign w:val="bottom"/>
            <w:gridSpan w:val="14"/>
          </w:tcPr>
          <w:p>
            <w:pPr>
              <w:spacing w:after="0" w:line="189"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Articles of Amendment to Restated Articles of Incorporation. (Incorporated by reference to Exhibit 3.1 to Registrant's Current Report</w:t>
              </w:r>
            </w:hyperlink>
          </w:p>
        </w:tc>
        <w:tc>
          <w:tcPr>
            <w:tcW w:w="0" w:type="dxa"/>
            <w:vAlign w:val="bottom"/>
          </w:tcPr>
          <w:p>
            <w:pPr>
              <w:spacing w:after="0"/>
              <w:rPr>
                <w:sz w:val="1"/>
                <w:szCs w:val="1"/>
                <w:color w:val="auto"/>
              </w:rPr>
            </w:pPr>
          </w:p>
        </w:tc>
      </w:tr>
      <w:tr>
        <w:trPr>
          <w:trHeight w:val="156"/>
        </w:trPr>
        <w:tc>
          <w:tcPr>
            <w:tcW w:w="100" w:type="dxa"/>
            <w:vAlign w:val="bottom"/>
            <w:tcBorders>
              <w:top w:val="single" w:sz="8" w:color="0000FF"/>
            </w:tcBorders>
            <w:vMerge w:val="restart"/>
          </w:tcPr>
          <w:p>
            <w:pPr>
              <w:spacing w:after="0"/>
              <w:rPr>
                <w:rFonts w:ascii="Arial" w:cs="Arial" w:eastAsia="Arial" w:hAnsi="Arial"/>
                <w:sz w:val="13"/>
                <w:szCs w:val="13"/>
                <w:color w:val="0000FF"/>
                <w:w w:val="73"/>
              </w:rPr>
            </w:pPr>
            <w:hyperlink r:id="rId42">
              <w:r>
                <w:rPr>
                  <w:rFonts w:ascii="Arial" w:cs="Arial" w:eastAsia="Arial" w:hAnsi="Arial"/>
                  <w:sz w:val="13"/>
                  <w:szCs w:val="13"/>
                  <w:color w:val="0000FF"/>
                  <w:w w:val="73"/>
                </w:rPr>
                <w:t>3.</w:t>
              </w:r>
            </w:hyperlink>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620" w:type="dxa"/>
            <w:vAlign w:val="bottom"/>
            <w:tcBorders>
              <w:top w:val="single" w:sz="8" w:color="0000FF"/>
            </w:tcBorders>
            <w:gridSpan w:val="9"/>
          </w:tcPr>
          <w:p>
            <w:pPr>
              <w:ind w:left="20"/>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on Form 8-K filed on January 16,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FF"/>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80" w:type="dxa"/>
            <w:vAlign w:val="bottom"/>
            <w:gridSpan w:val="2"/>
            <w:shd w:val="clear" w:color="auto" w:fill="CCEEFF"/>
          </w:tcPr>
          <w:p>
            <w:pPr>
              <w:spacing w:after="0" w:line="189" w:lineRule="exact"/>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3</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60" w:type="dxa"/>
            <w:vAlign w:val="bottom"/>
            <w:gridSpan w:val="14"/>
            <w:shd w:val="clear" w:color="auto" w:fill="CCEEFF"/>
          </w:tcPr>
          <w:p>
            <w:pPr>
              <w:spacing w:after="0" w:line="189"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Amended and Restated Bylaws of Apogee Enterprises, Inc. (Incorporated by reference to Exhibit 3.3 to the Registrant’s Quarterly</w:t>
              </w:r>
            </w:hyperlink>
          </w:p>
        </w:tc>
        <w:tc>
          <w:tcPr>
            <w:tcW w:w="0" w:type="dxa"/>
            <w:vAlign w:val="bottom"/>
          </w:tcPr>
          <w:p>
            <w:pPr>
              <w:spacing w:after="0"/>
              <w:rPr>
                <w:sz w:val="1"/>
                <w:szCs w:val="1"/>
                <w:color w:val="auto"/>
              </w:rPr>
            </w:pPr>
          </w:p>
        </w:tc>
      </w:tr>
      <w:tr>
        <w:trPr>
          <w:trHeight w:val="156"/>
        </w:trPr>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9680" w:type="dxa"/>
            <w:vAlign w:val="bottom"/>
            <w:tcBorders>
              <w:top w:val="single" w:sz="8" w:color="0000FF"/>
            </w:tcBorders>
            <w:gridSpan w:val="12"/>
            <w:shd w:val="clear" w:color="auto" w:fill="CCEEFF"/>
          </w:tcPr>
          <w:p>
            <w:pPr>
              <w:ind w:left="20"/>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0" w:type="dxa"/>
            <w:vAlign w:val="bottom"/>
            <w:gridSpan w:val="4"/>
          </w:tcPr>
          <w:p>
            <w:pPr>
              <w:spacing w:after="0" w:line="189"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60" w:type="dxa"/>
            <w:vAlign w:val="bottom"/>
            <w:gridSpan w:val="14"/>
          </w:tcPr>
          <w:p>
            <w:pPr>
              <w:spacing w:after="0" w:line="189"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Apogee Enterprises, Inc. 2019 Stock Incentive Plan, as Amended and Restated (2021) (Incorporated by reference to Exhibit 4.5 to</w:t>
              </w:r>
            </w:hyperlink>
          </w:p>
        </w:tc>
        <w:tc>
          <w:tcPr>
            <w:tcW w:w="0" w:type="dxa"/>
            <w:vAlign w:val="bottom"/>
          </w:tcPr>
          <w:p>
            <w:pPr>
              <w:spacing w:after="0"/>
              <w:rPr>
                <w:sz w:val="1"/>
                <w:szCs w:val="1"/>
                <w:color w:val="auto"/>
              </w:rPr>
            </w:pPr>
          </w:p>
        </w:tc>
      </w:tr>
      <w:tr>
        <w:trPr>
          <w:trHeight w:val="169"/>
        </w:trPr>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220" w:type="dxa"/>
            <w:vAlign w:val="bottom"/>
            <w:tcBorders>
              <w:top w:val="single" w:sz="8" w:color="0000FF"/>
            </w:tcBorders>
            <w:gridSpan w:val="7"/>
          </w:tcPr>
          <w:p>
            <w:pPr>
              <w:ind w:left="20"/>
              <w:spacing w:after="0" w:line="169" w:lineRule="exact"/>
              <w:rPr>
                <w:rFonts w:ascii="Arial" w:cs="Arial" w:eastAsia="Arial" w:hAnsi="Arial"/>
                <w:sz w:val="18"/>
                <w:szCs w:val="18"/>
                <w:color w:val="0000FF"/>
              </w:rPr>
            </w:pPr>
            <w:hyperlink r:id="rId43">
              <w:r>
                <w:rPr>
                  <w:rFonts w:ascii="Arial" w:cs="Arial" w:eastAsia="Arial" w:hAnsi="Arial"/>
                  <w:sz w:val="18"/>
                  <w:szCs w:val="18"/>
                  <w:color w:val="0000FF"/>
                </w:rPr>
                <w:t>Apogee’s Registration Statement on Form S-8 filed on June 25, 2021).</w:t>
              </w:r>
            </w:hyperlink>
          </w:p>
        </w:tc>
        <w:tc>
          <w:tcPr>
            <w:tcW w:w="3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80" w:type="dxa"/>
            <w:vAlign w:val="bottom"/>
          </w:tcPr>
          <w:p>
            <w:pPr>
              <w:spacing w:after="0"/>
              <w:rPr>
                <w:sz w:val="19"/>
                <w:szCs w:val="19"/>
                <w:color w:val="auto"/>
              </w:rPr>
            </w:pPr>
          </w:p>
        </w:tc>
        <w:tc>
          <w:tcPr>
            <w:tcW w:w="986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Chief Executive Officer pursuant to Rule 13a-14(a) under the Securities Exchange Act of 1934.</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8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Financial Officer pursuant to Rule 13a-14(a) under the Securities Exchange Act of 1934.</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8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91"/>
              </w:rPr>
            </w:pPr>
            <w:hyperlink w:anchor="page31">
              <w:r>
                <w:rPr>
                  <w:rFonts w:ascii="Arial" w:cs="Arial" w:eastAsia="Arial" w:hAnsi="Arial"/>
                  <w:sz w:val="18"/>
                  <w:szCs w:val="18"/>
                  <w:color w:val="0000FF"/>
                  <w:w w:val="91"/>
                </w:rPr>
                <w:t>Act of 2002.</w:t>
              </w:r>
            </w:hyperlink>
          </w:p>
        </w:tc>
        <w:tc>
          <w:tcPr>
            <w:tcW w:w="868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58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Act of 2002.</w:t>
              </w:r>
            </w:hyperlink>
          </w:p>
        </w:tc>
        <w:tc>
          <w:tcPr>
            <w:tcW w:w="872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-788035</wp:posOffset>
            </wp:positionV>
            <wp:extent cx="701230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-496570</wp:posOffset>
            </wp:positionV>
            <wp:extent cx="7012305"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012305" cy="257175"/>
                    </a:xfrm>
                    <a:prstGeom prst="rect">
                      <a:avLst/>
                    </a:prstGeom>
                    <a:noFill/>
                  </pic:spPr>
                </pic:pic>
              </a:graphicData>
            </a:graphic>
          </wp:anchor>
        </w:drawing>
      </w:r>
    </w:p>
    <w:p>
      <w:pPr>
        <w:spacing w:after="0" w:line="6" w:lineRule="exact"/>
        <w:rPr>
          <w:sz w:val="20"/>
          <w:szCs w:val="20"/>
          <w:color w:val="auto"/>
        </w:rPr>
      </w:pPr>
    </w:p>
    <w:p>
      <w:pPr>
        <w:ind w:left="1540" w:right="300" w:hanging="1540"/>
        <w:spacing w:after="0" w:line="250" w:lineRule="auto"/>
        <w:tabs>
          <w:tab w:leader="none" w:pos="13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Apogee Enterprises, Inc.’s Quarterly Report on Form 10-Q for the quarter ended August 28, 2021, formatted in iXBRL (Inline Extensible Business Reporting Language): (i) the Consolidated Balance Sheets as of August 28, 2021 and February 27, 2021, (ii) the Consolidated Results of Operations for the three- and six-months ended August 28, 2021 and August 29, 2020, (iii) the Consolidated Statements of Comprehensive Earnings for the three- and six-months ended August 28, 2021 and August 29, 2020, (iv) the Consolidated Statements of Cash Flows for the six-months ended August 28, 2021 and August 29, 2020,</w:t>
      </w:r>
    </w:p>
    <w:p>
      <w:pPr>
        <w:spacing w:after="0" w:line="2" w:lineRule="exact"/>
        <w:rPr>
          <w:rFonts w:ascii="Arial" w:cs="Arial" w:eastAsia="Arial" w:hAnsi="Arial"/>
          <w:sz w:val="16"/>
          <w:szCs w:val="16"/>
          <w:color w:val="auto"/>
        </w:rPr>
      </w:pPr>
    </w:p>
    <w:p>
      <w:pPr>
        <w:ind w:left="1540" w:right="340"/>
        <w:spacing w:after="0" w:line="233" w:lineRule="auto"/>
        <w:rPr>
          <w:rFonts w:ascii="Arial" w:cs="Arial" w:eastAsia="Arial" w:hAnsi="Arial"/>
          <w:sz w:val="16"/>
          <w:szCs w:val="16"/>
          <w:color w:val="auto"/>
        </w:rPr>
      </w:pPr>
      <w:r>
        <w:rPr>
          <w:rFonts w:ascii="Arial" w:cs="Arial" w:eastAsia="Arial" w:hAnsi="Arial"/>
          <w:sz w:val="18"/>
          <w:szCs w:val="18"/>
          <w:color w:val="auto"/>
        </w:rPr>
        <w:t>(v) the Consolidated Statements of Shareholders' Equity for the three- and six-months ended August 28, 2021 and August 29, 2020,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-864235</wp:posOffset>
            </wp:positionV>
            <wp:extent cx="7012305" cy="874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012305" cy="874395"/>
                    </a:xfrm>
                    <a:prstGeom prst="rect">
                      <a:avLst/>
                    </a:prstGeom>
                    <a:noFill/>
                  </pic:spPr>
                </pic:pic>
              </a:graphicData>
            </a:graphic>
          </wp:anchor>
        </w:drawing>
      </w:r>
    </w:p>
    <w:p>
      <w:pPr>
        <w:ind w:left="1360" w:right="3860" w:hanging="1360"/>
        <w:spacing w:after="0" w:line="293"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 Exhibits marked with a (#) sign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-173990</wp:posOffset>
            </wp:positionV>
            <wp:extent cx="701230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Date: September 30, 2021</w:t>
      </w:r>
      <w:r>
        <w:rPr>
          <w:sz w:val="20"/>
          <w:szCs w:val="20"/>
          <w:color w:val="auto"/>
        </w:rPr>
        <w:tab/>
      </w:r>
      <w:r>
        <w:rPr>
          <w:rFonts w:ascii="Arial" w:cs="Arial" w:eastAsia="Arial" w:hAnsi="Arial"/>
          <w:sz w:val="16"/>
          <w:szCs w:val="16"/>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3608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Ty R. Silberhorn</w:t>
      </w:r>
    </w:p>
    <w:p>
      <w:pPr>
        <w:ind w:left="6040"/>
        <w:spacing w:after="0" w:line="203" w:lineRule="auto"/>
        <w:rPr>
          <w:sz w:val="20"/>
          <w:szCs w:val="20"/>
          <w:color w:val="auto"/>
        </w:rPr>
      </w:pPr>
      <w:r>
        <w:rPr>
          <w:rFonts w:ascii="Arial" w:cs="Arial" w:eastAsia="Arial" w:hAnsi="Arial"/>
          <w:sz w:val="18"/>
          <w:szCs w:val="18"/>
          <w:color w:val="auto"/>
        </w:rPr>
        <w:t>President and Chief Executive Officer</w:t>
      </w:r>
    </w:p>
    <w:p>
      <w:pPr>
        <w:ind w:left="6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8"/>
          <w:szCs w:val="18"/>
          <w:color w:val="auto"/>
        </w:rPr>
        <w:t>Date: September 30, 2021</w:t>
      </w:r>
      <w:r>
        <w:rPr>
          <w:sz w:val="20"/>
          <w:szCs w:val="20"/>
          <w:color w:val="auto"/>
        </w:rPr>
        <w:tab/>
      </w:r>
      <w:r>
        <w:rPr>
          <w:rFonts w:ascii="Arial" w:cs="Arial" w:eastAsia="Arial" w:hAnsi="Arial"/>
          <w:sz w:val="16"/>
          <w:szCs w:val="16"/>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Nisheet Gupta</w:t>
      </w:r>
    </w:p>
    <w:p>
      <w:pPr>
        <w:ind w:left="6020"/>
        <w:spacing w:after="0" w:line="203" w:lineRule="auto"/>
        <w:rPr>
          <w:sz w:val="20"/>
          <w:szCs w:val="20"/>
          <w:color w:val="auto"/>
        </w:rPr>
      </w:pPr>
      <w:r>
        <w:rPr>
          <w:rFonts w:ascii="Arial" w:cs="Arial" w:eastAsia="Arial" w:hAnsi="Arial"/>
          <w:sz w:val="18"/>
          <w:szCs w:val="18"/>
          <w:color w:val="auto"/>
        </w:rPr>
        <w:t>Executive Vice President and Chief Financial Officer (Principal</w:t>
      </w:r>
    </w:p>
    <w:p>
      <w:pPr>
        <w:ind w:left="60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5" w:right="3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20" w:hanging="652"/>
        <w:spacing w:after="0" w:line="311" w:lineRule="auto"/>
        <w:tabs>
          <w:tab w:leader="none" w:pos="195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60" w:hanging="652"/>
        <w:spacing w:after="0" w:line="286" w:lineRule="auto"/>
        <w:tabs>
          <w:tab w:leader="none" w:pos="1962"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280" w:right="60" w:hanging="652"/>
        <w:spacing w:after="0" w:line="263"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40" w:hanging="652"/>
        <w:spacing w:after="0" w:line="311" w:lineRule="auto"/>
        <w:tabs>
          <w:tab w:leader="none" w:pos="196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120" w:hanging="652"/>
        <w:spacing w:after="0" w:line="263"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140" w:hanging="652"/>
        <w:spacing w:after="0" w:line="277" w:lineRule="auto"/>
        <w:tabs>
          <w:tab w:leader="none" w:pos="196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40640</wp:posOffset>
            </wp:positionV>
            <wp:extent cx="2786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8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Ty R. Silberhorn</w:t>
      </w: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18"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right="20" w:hanging="652"/>
        <w:spacing w:after="0" w:line="263" w:lineRule="auto"/>
        <w:tabs>
          <w:tab w:leader="none" w:pos="22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652"/>
        <w:spacing w:after="0" w:line="311" w:lineRule="auto"/>
        <w:tabs>
          <w:tab w:leader="none" w:pos="22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2280" w:right="280" w:hanging="652"/>
        <w:spacing w:after="0" w:line="263" w:lineRule="auto"/>
        <w:tabs>
          <w:tab w:leader="none" w:pos="22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80" w:hanging="652"/>
        <w:spacing w:after="0" w:line="277" w:lineRule="auto"/>
        <w:tabs>
          <w:tab w:leader="none" w:pos="2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33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Nisheet Gupta</w:t>
      </w:r>
    </w:p>
    <w:p>
      <w:pPr>
        <w:ind w:left="6840"/>
        <w:spacing w:after="0" w:line="203" w:lineRule="auto"/>
        <w:rPr>
          <w:sz w:val="20"/>
          <w:szCs w:val="20"/>
          <w:color w:val="auto"/>
        </w:rPr>
      </w:pPr>
      <w:r>
        <w:rPr>
          <w:rFonts w:ascii="Arial" w:cs="Arial" w:eastAsia="Arial" w:hAnsi="Arial"/>
          <w:sz w:val="18"/>
          <w:szCs w:val="18"/>
          <w:color w:val="auto"/>
        </w:rPr>
        <w:t>Executive Vice President and</w:t>
      </w: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August 28, 2021 as filed with the Securities and Exchange Commission (the “Report”), I, Ty R. Silberhorn, Chief Executive Officer of the Company, certify, pursuant to 18 U.S.C. § 1350, as adopted pursuant to § 906 of the Sarbanes-Oxley Act of 2002, that based on my knowledge:</w:t>
      </w:r>
    </w:p>
    <w:p>
      <w:pPr>
        <w:spacing w:after="0" w:line="130"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Ty R. Silberhorn</w:t>
      </w: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30, 2021</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August 28, 2021 as filed with the Securities and Exchange Commission (the “Report”), I, Nisheet Gupta, Chief Financial Officer of the Company, certify, pursuant to 18 U.S.C. § 1350, as adopted pursuant to § 906 of the Sarbanes-Oxley Act of 2002, that based on my knowledge:</w:t>
      </w:r>
    </w:p>
    <w:p>
      <w:pPr>
        <w:spacing w:after="0" w:line="13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Nisheet Gupta</w:t>
      </w:r>
    </w:p>
    <w:p>
      <w:pPr>
        <w:ind w:left="20"/>
        <w:spacing w:after="0" w:line="203" w:lineRule="auto"/>
        <w:rPr>
          <w:sz w:val="20"/>
          <w:szCs w:val="20"/>
          <w:color w:val="auto"/>
        </w:rPr>
      </w:pPr>
      <w:r>
        <w:rPr>
          <w:rFonts w:ascii="Arial" w:cs="Arial" w:eastAsia="Arial" w:hAnsi="Arial"/>
          <w:sz w:val="18"/>
          <w:szCs w:val="18"/>
          <w:color w:val="auto"/>
        </w:rPr>
        <w:t>Executive Vice President and</w:t>
      </w:r>
    </w:p>
    <w:p>
      <w:pPr>
        <w:ind w:left="2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30,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0" Type="http://schemas.openxmlformats.org/officeDocument/2006/relationships/hyperlink" Target="http://www.sec.gov/Archives/edgar/data/6845/000119312504079352/dex31.htm" TargetMode="External"/><Relationship Id="rId41" Type="http://schemas.openxmlformats.org/officeDocument/2006/relationships/hyperlink" Target="http://www.sec.gov/Archives/edgar/data/6845/000119312520008887/d874518dex31.htm" TargetMode="External"/><Relationship Id="rId42" Type="http://schemas.openxmlformats.org/officeDocument/2006/relationships/hyperlink" Target="http://www.sec.gov/Archives/edgar/data/0000006845/000000684521000020/apog-ex33arbylawsfinalapri.htm" TargetMode="External"/><Relationship Id="rId43" Type="http://schemas.openxmlformats.org/officeDocument/2006/relationships/hyperlink" Target="http://www.sec.gov/Archives/edgar/data/0000006845/000119312521200357/d153134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2021-09-30T12:45:30Z</dcterms:created>
  <dcterms:modified xsi:type="dcterms:W3CDTF">2021-09-30T12:45:30Z</dcterms:modified>
</cp:coreProperties>
</file>