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00" w:hanging="474"/>
        <w:spacing w:after="0" w:line="195" w:lineRule="auto"/>
        <w:tabs>
          <w:tab w:leader="none" w:pos="50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November 30, 2024</w:t>
      </w:r>
    </w:p>
    <w:p>
      <w:pPr>
        <w:ind w:left="480" w:hanging="454"/>
        <w:spacing w:after="0" w:line="206" w:lineRule="auto"/>
        <w:tabs>
          <w:tab w:leader="none" w:pos="48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5" w:lineRule="exact"/>
        <w:rPr>
          <w:sz w:val="24"/>
          <w:szCs w:val="24"/>
          <w:color w:val="auto"/>
        </w:rPr>
      </w:pPr>
    </w:p>
    <w:p>
      <w:pPr>
        <w:ind w:left="398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0-6365</w:t>
      </w:r>
    </w:p>
    <w:p>
      <w:pPr>
        <w:spacing w:after="0" w:line="5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APOGEE ENTERPRISES,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7" w:lineRule="exact"/>
        <w:rPr>
          <w:sz w:val="24"/>
          <w:szCs w:val="24"/>
          <w:color w:val="auto"/>
        </w:rPr>
      </w:pPr>
    </w:p>
    <w:p>
      <w:pPr>
        <w:ind w:left="1860"/>
        <w:spacing w:after="0"/>
        <w:tabs>
          <w:tab w:leader="none" w:pos="8820" w:val="left"/>
        </w:tabs>
        <w:rPr>
          <w:sz w:val="20"/>
          <w:szCs w:val="20"/>
          <w:color w:val="auto"/>
        </w:rPr>
      </w:pP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7"/>
          <w:szCs w:val="17"/>
          <w:b w:val="1"/>
          <w:bCs w:val="1"/>
          <w:color w:val="auto"/>
        </w:rPr>
        <w:t>41-0919654</w:t>
      </w:r>
    </w:p>
    <w:p>
      <w:pPr>
        <w:spacing w:after="0" w:line="37" w:lineRule="exact"/>
        <w:rPr>
          <w:sz w:val="24"/>
          <w:szCs w:val="24"/>
          <w:color w:val="auto"/>
        </w:rPr>
      </w:pPr>
    </w:p>
    <w:p>
      <w:pPr>
        <w:ind w:left="540"/>
        <w:spacing w:after="0"/>
        <w:tabs>
          <w:tab w:leader="none" w:pos="820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92" w:lineRule="exact"/>
        <w:rPr>
          <w:sz w:val="24"/>
          <w:szCs w:val="24"/>
          <w:color w:val="auto"/>
        </w:rPr>
      </w:pPr>
    </w:p>
    <w:p>
      <w:pPr>
        <w:ind w:left="1080"/>
        <w:spacing w:after="0"/>
        <w:tabs>
          <w:tab w:leader="none" w:pos="4700" w:val="left"/>
          <w:tab w:leader="none" w:pos="6120" w:val="left"/>
          <w:tab w:leader="none" w:pos="9020" w:val="left"/>
        </w:tabs>
        <w:rPr>
          <w:sz w:val="20"/>
          <w:szCs w:val="20"/>
          <w:color w:val="auto"/>
        </w:rPr>
      </w:pPr>
      <w:r>
        <w:rPr>
          <w:rFonts w:ascii="Times New Roman" w:cs="Times New Roman" w:eastAsia="Times New Roman" w:hAnsi="Times New Roman"/>
          <w:sz w:val="17"/>
          <w:szCs w:val="17"/>
          <w:b w:val="1"/>
          <w:bCs w:val="1"/>
          <w:color w:val="auto"/>
        </w:rPr>
        <w:t>4400 West 78th Street, Suite 520</w:t>
      </w:r>
      <w:r>
        <w:rPr>
          <w:sz w:val="20"/>
          <w:szCs w:val="20"/>
          <w:color w:val="auto"/>
        </w:rPr>
        <w:tab/>
      </w:r>
      <w:r>
        <w:rPr>
          <w:rFonts w:ascii="Times New Roman" w:cs="Times New Roman" w:eastAsia="Times New Roman" w:hAnsi="Times New Roman"/>
          <w:sz w:val="17"/>
          <w:szCs w:val="17"/>
          <w:b w:val="1"/>
          <w:bCs w:val="1"/>
          <w:color w:val="auto"/>
        </w:rPr>
        <w:t>Minneapolis</w:t>
      </w:r>
      <w:r>
        <w:rPr>
          <w:sz w:val="20"/>
          <w:szCs w:val="20"/>
          <w:color w:val="auto"/>
        </w:rPr>
        <w:tab/>
      </w: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6"/>
          <w:szCs w:val="16"/>
          <w:b w:val="1"/>
          <w:bCs w:val="1"/>
          <w:color w:val="auto"/>
        </w:rPr>
        <w:t>55435</w:t>
      </w:r>
    </w:p>
    <w:p>
      <w:pPr>
        <w:spacing w:after="0" w:line="37" w:lineRule="exact"/>
        <w:rPr>
          <w:sz w:val="24"/>
          <w:szCs w:val="24"/>
          <w:color w:val="auto"/>
        </w:rPr>
      </w:pPr>
    </w:p>
    <w:p>
      <w:pPr>
        <w:ind w:left="1100"/>
        <w:spacing w:after="0"/>
        <w:tabs>
          <w:tab w:leader="none" w:pos="892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4"/>
          <w:szCs w:val="14"/>
          <w:color w:val="auto"/>
        </w:rPr>
        <w:t>(Zip Code)</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(952) 835-1874</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460"/>
        <w:spacing w:after="0"/>
        <w:tabs>
          <w:tab w:leader="none" w:pos="4860" w:val="left"/>
          <w:tab w:leader="none" w:pos="73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500"/>
        <w:spacing w:after="0"/>
        <w:tabs>
          <w:tab w:leader="none" w:pos="5320" w:val="left"/>
          <w:tab w:leader="none" w:pos="8100" w:val="left"/>
        </w:tabs>
        <w:rPr>
          <w:sz w:val="20"/>
          <w:szCs w:val="20"/>
          <w:color w:val="auto"/>
        </w:rPr>
      </w:pPr>
      <w:r>
        <w:rPr>
          <w:rFonts w:ascii="Times New Roman" w:cs="Times New Roman" w:eastAsia="Times New Roman" w:hAnsi="Times New Roman"/>
          <w:sz w:val="18"/>
          <w:szCs w:val="18"/>
          <w:color w:val="auto"/>
        </w:rPr>
        <w:t>Common stock, par value $0.33 1/3 per share</w:t>
      </w:r>
      <w:r>
        <w:rPr>
          <w:sz w:val="20"/>
          <w:szCs w:val="20"/>
          <w:color w:val="auto"/>
        </w:rPr>
        <w:tab/>
      </w:r>
      <w:r>
        <w:rPr>
          <w:rFonts w:ascii="Times New Roman" w:cs="Times New Roman" w:eastAsia="Times New Roman" w:hAnsi="Times New Roman"/>
          <w:sz w:val="18"/>
          <w:szCs w:val="18"/>
          <w:color w:val="auto"/>
        </w:rPr>
        <w:t>APOG</w:t>
      </w:r>
      <w:r>
        <w:rPr>
          <w:sz w:val="20"/>
          <w:szCs w:val="20"/>
          <w:color w:val="auto"/>
        </w:rPr>
        <w:tab/>
      </w:r>
      <w:r>
        <w:rPr>
          <w:rFonts w:ascii="Times New Roman" w:cs="Times New Roman" w:eastAsia="Times New Roman" w:hAnsi="Times New Roman"/>
          <w:sz w:val="17"/>
          <w:szCs w:val="17"/>
          <w:color w:val="auto"/>
        </w:rPr>
        <w:t>The Nasdaq Stock Market</w:t>
      </w:r>
    </w:p>
    <w:p>
      <w:pPr>
        <w:spacing w:after="0" w:line="9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2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08"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08" w:right="339" w:bottom="1440" w:gutter="0" w:footer="0" w:header="0"/>
        </w:sectPr>
      </w:pPr>
    </w:p>
    <w:p>
      <w:pPr>
        <w:spacing w:after="0" w:line="17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60"/>
              <w:spacing w:after="0"/>
              <w:rPr>
                <w:sz w:val="20"/>
                <w:szCs w:val="20"/>
                <w:color w:val="auto"/>
              </w:rPr>
            </w:pPr>
            <w:r>
              <w:rPr>
                <w:rFonts w:ascii="Wingdings" w:cs="Wingdings" w:eastAsia="Wingdings" w:hAnsi="Wingdings"/>
                <w:sz w:val="18"/>
                <w:szCs w:val="18"/>
                <w:b w:val="1"/>
                <w:bCs w:val="1"/>
                <w:color w:val="auto"/>
              </w:rPr>
              <w:t>x</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9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29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r>
    </w:tbl>
    <w:p>
      <w:pPr>
        <w:ind w:left="20"/>
        <w:spacing w:after="0" w:line="233"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28" w:lineRule="exact"/>
        <w:rPr>
          <w:sz w:val="24"/>
          <w:szCs w:val="24"/>
          <w:color w:val="auto"/>
        </w:rPr>
      </w:pPr>
    </w:p>
    <w:p>
      <w:pPr>
        <w:jc w:val="center"/>
        <w:ind w:right="52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080" w:space="480"/>
            <w:col w:w="680"/>
          </w:cols>
          <w:pgMar w:left="320" w:top="1208" w:right="339" w:bottom="1440" w:gutter="0" w:footer="0" w:header="0"/>
          <w:type w:val="continuous"/>
        </w:sectPr>
      </w:pPr>
    </w:p>
    <w:bookmarkStart w:id="1" w:name="page2"/>
    <w:bookmarkEnd w:id="1"/>
    <w:p>
      <w:pPr>
        <w:ind w:right="599"/>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As of January 3, 2025, 21,953,364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95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APOGEE ENTERPRISES, INC. AND SUBSIDIARIES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440" w:type="dxa"/>
            <w:vAlign w:val="bottom"/>
            <w:gridSpan w:val="6"/>
          </w:tcPr>
          <w:p>
            <w:pPr>
              <w:ind w:left="2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4760" w:type="dxa"/>
            <w:vAlign w:val="bottom"/>
            <w:gridSpan w:val="10"/>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000" w:type="dxa"/>
            <w:vAlign w:val="bottom"/>
            <w:gridSpan w:val="7"/>
          </w:tcPr>
          <w:p>
            <w:pPr>
              <w:spacing w:after="0"/>
              <w:rPr>
                <w:sz w:val="22"/>
                <w:szCs w:val="22"/>
                <w:color w:val="auto"/>
              </w:rPr>
            </w:pP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Results of Operations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Earnings</w:t>
            </w:r>
          </w:p>
        </w:tc>
        <w:tc>
          <w:tcPr>
            <w:tcW w:w="2620" w:type="dxa"/>
            <w:vAlign w:val="bottom"/>
            <w:gridSpan w:val="2"/>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2940" w:type="dxa"/>
            <w:vAlign w:val="bottom"/>
            <w:gridSpan w:val="3"/>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320" w:type="dxa"/>
            <w:vAlign w:val="bottom"/>
            <w:tcBorders>
              <w:top w:val="single" w:sz="8" w:color="0000FF"/>
            </w:tcBorders>
            <w:gridSpan w:val="2"/>
          </w:tcPr>
          <w:p>
            <w:pPr>
              <w:spacing w:after="0"/>
              <w:rPr>
                <w:sz w:val="22"/>
                <w:szCs w:val="22"/>
                <w:color w:val="auto"/>
              </w:rPr>
            </w:pPr>
          </w:p>
        </w:tc>
        <w:tc>
          <w:tcPr>
            <w:tcW w:w="4700" w:type="dxa"/>
            <w:vAlign w:val="bottom"/>
            <w:gridSpan w:val="9"/>
          </w:tcPr>
          <w:p>
            <w:pPr>
              <w:spacing w:after="0"/>
              <w:rPr>
                <w:sz w:val="22"/>
                <w:szCs w:val="22"/>
                <w:color w:val="auto"/>
              </w:rPr>
            </w:pP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40" w:type="dxa"/>
            <w:vAlign w:val="bottom"/>
          </w:tcPr>
          <w:p>
            <w:pPr>
              <w:spacing w:after="0"/>
              <w:rPr>
                <w:sz w:val="22"/>
                <w:szCs w:val="22"/>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Times New Roman" w:cs="Times New Roman" w:eastAsia="Times New Roman" w:hAnsi="Times New Roman"/>
                <w:sz w:val="17"/>
                <w:szCs w:val="17"/>
                <w:color w:val="auto"/>
                <w:w w:val="70"/>
              </w:rPr>
              <w:t>3</w:t>
            </w:r>
          </w:p>
        </w:tc>
        <w:tc>
          <w:tcPr>
            <w:tcW w:w="2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831"/>
        </w:trPr>
        <w:tc>
          <w:tcPr>
            <w:tcW w:w="6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58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575"/>
        </w:trPr>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stock data)</w:t>
            </w:r>
          </w:p>
        </w:tc>
        <w:tc>
          <w:tcPr>
            <w:tcW w:w="140" w:type="dxa"/>
            <w:vAlign w:val="bottom"/>
          </w:tcPr>
          <w:p>
            <w:pPr>
              <w:spacing w:after="0"/>
              <w:rPr>
                <w:sz w:val="19"/>
                <w:szCs w:val="19"/>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November 30, 2024</w:t>
            </w:r>
          </w:p>
        </w:tc>
        <w:tc>
          <w:tcPr>
            <w:tcW w:w="220" w:type="dxa"/>
            <w:vAlign w:val="bottom"/>
          </w:tcPr>
          <w:p>
            <w:pPr>
              <w:spacing w:after="0"/>
              <w:rPr>
                <w:sz w:val="19"/>
                <w:szCs w:val="19"/>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March 2, 2024</w:t>
            </w:r>
          </w:p>
        </w:tc>
      </w:tr>
      <w:tr>
        <w:trPr>
          <w:trHeight w:val="226"/>
        </w:trPr>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top w:val="single" w:sz="8" w:color="auto"/>
            </w:tcBorders>
            <w:shd w:val="clear" w:color="auto" w:fill="CCEEFF"/>
          </w:tcPr>
          <w:p>
            <w:pPr>
              <w:spacing w:after="0"/>
              <w:rPr>
                <w:sz w:val="19"/>
                <w:szCs w:val="19"/>
                <w:color w:val="auto"/>
              </w:rPr>
            </w:pPr>
          </w:p>
        </w:tc>
        <w:tc>
          <w:tcPr>
            <w:tcW w:w="6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30"/>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37,216</w:t>
            </w:r>
          </w:p>
        </w:tc>
      </w:tr>
      <w:tr>
        <w:trPr>
          <w:trHeight w:val="229"/>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173,557</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69,240</w:t>
            </w:r>
          </w:p>
        </w:tc>
      </w:tr>
      <w:tr>
        <w:trPr>
          <w:trHeight w:val="229"/>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49,502</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29,124</w:t>
            </w:r>
          </w:p>
        </w:tc>
      </w:tr>
      <w:tr>
        <w:trPr>
          <w:trHeight w:val="223"/>
        </w:trPr>
        <w:tc>
          <w:tcPr>
            <w:tcW w:w="6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358,639</w:t>
            </w:r>
          </w:p>
        </w:tc>
      </w:tr>
      <w:tr>
        <w:trPr>
          <w:trHeight w:val="223"/>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$465,837 and $445,017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244,216</w:t>
            </w: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40,221</w:t>
            </w:r>
          </w:p>
        </w:tc>
      </w:tr>
      <w:tr>
        <w:trPr>
          <w:trHeight w:val="230"/>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129,182</w:t>
            </w: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66,114</w:t>
            </w:r>
          </w:p>
        </w:tc>
      </w:tr>
      <w:tr>
        <w:trPr>
          <w:trHeight w:val="229"/>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45,692</w:t>
            </w:r>
          </w:p>
        </w:tc>
      </w:tr>
      <w:tr>
        <w:trPr>
          <w:trHeight w:val="223"/>
        </w:trPr>
        <w:tc>
          <w:tcPr>
            <w:tcW w:w="620" w:type="dxa"/>
            <w:vAlign w:val="bottom"/>
          </w:tcPr>
          <w:p>
            <w:pPr>
              <w:spacing w:after="0"/>
              <w:rPr>
                <w:sz w:val="19"/>
                <w:szCs w:val="19"/>
                <w:color w:val="auto"/>
              </w:rPr>
            </w:pPr>
          </w:p>
        </w:tc>
        <w:tc>
          <w:tcPr>
            <w:tcW w:w="7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1,180,520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884,064</w:t>
            </w: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gridSpan w:val="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84,755</w:t>
            </w:r>
          </w:p>
        </w:tc>
      </w:tr>
      <w:tr>
        <w:trPr>
          <w:trHeight w:val="230"/>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53,801</w:t>
            </w:r>
          </w:p>
        </w:tc>
      </w:tr>
      <w:tr>
        <w:trPr>
          <w:trHeight w:val="229"/>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34,755</w:t>
            </w:r>
          </w:p>
        </w:tc>
      </w:tr>
      <w:tr>
        <w:trPr>
          <w:trHeight w:val="230"/>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59,108</w:t>
            </w:r>
          </w:p>
        </w:tc>
      </w:tr>
      <w:tr>
        <w:trPr>
          <w:trHeight w:val="223"/>
        </w:trPr>
        <w:tc>
          <w:tcPr>
            <w:tcW w:w="6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244,705</w:t>
            </w:r>
          </w:p>
        </w:tc>
      </w:tr>
      <w:tr>
        <w:trPr>
          <w:trHeight w:val="223"/>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w:t>
            </w:r>
          </w:p>
        </w:tc>
      </w:tr>
      <w:tr>
        <w:trPr>
          <w:trHeight w:val="230"/>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31,907</w:t>
            </w:r>
          </w:p>
        </w:tc>
      </w:tr>
      <w:tr>
        <w:trPr>
          <w:trHeight w:val="230"/>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self-insurance reserves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30,552</w:t>
            </w: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43,875</w:t>
            </w:r>
          </w:p>
        </w:tc>
      </w:tr>
      <w:tr>
        <w:trPr>
          <w:trHeight w:val="230"/>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6)</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Junior preferred stock of $1.00 par value; authorized 200,000 shares; zero issued and outstanding</w:t>
            </w: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860" w:type="dxa"/>
            <w:vAlign w:val="bottom"/>
            <w:gridSpan w:val="4"/>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of $0.33-1/3 par value; authorized 50,000,000 shares; issued and outstanding</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21,939,010 and 22,089,265, respectively</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152,818</w:t>
            </w:r>
          </w:p>
        </w:tc>
      </w:tr>
      <w:tr>
        <w:trPr>
          <w:trHeight w:val="229"/>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340,375</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(29,531)</w:t>
            </w:r>
          </w:p>
        </w:tc>
      </w:tr>
      <w:tr>
        <w:trPr>
          <w:trHeight w:val="223"/>
        </w:trPr>
        <w:tc>
          <w:tcPr>
            <w:tcW w:w="6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471,025</w:t>
            </w:r>
          </w:p>
        </w:tc>
      </w:tr>
      <w:tr>
        <w:trPr>
          <w:trHeight w:val="248"/>
        </w:trPr>
        <w:tc>
          <w:tcPr>
            <w:tcW w:w="62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884,064</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40" w:type="dxa"/>
            <w:vAlign w:val="bottom"/>
            <w:tcBorders>
              <w:bottom w:val="single" w:sz="8" w:color="auto"/>
            </w:tcBorders>
          </w:tcPr>
          <w:p>
            <w:pPr>
              <w:spacing w:after="0"/>
              <w:rPr>
                <w:sz w:val="18"/>
                <w:szCs w:val="18"/>
                <w:color w:val="auto"/>
              </w:rPr>
            </w:pPr>
          </w:p>
        </w:tc>
      </w:tr>
      <w:tr>
        <w:trPr>
          <w:trHeight w:val="211"/>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November 30, 2024</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25, 2023</w:t>
            </w:r>
          </w:p>
        </w:tc>
        <w:tc>
          <w:tcPr>
            <w:tcW w:w="100" w:type="dxa"/>
            <w:vAlign w:val="bottom"/>
          </w:tcPr>
          <w:p>
            <w:pPr>
              <w:spacing w:after="0"/>
              <w:rPr>
                <w:sz w:val="18"/>
                <w:szCs w:val="18"/>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November 30, 2024</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25, 2023</w:t>
            </w:r>
          </w:p>
        </w:tc>
      </w:tr>
      <w:tr>
        <w:trPr>
          <w:trHeight w:val="225"/>
        </w:trPr>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341,344</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339,714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1,015,300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1,055,102</w:t>
            </w:r>
          </w:p>
        </w:tc>
      </w:tr>
      <w:tr>
        <w:trPr>
          <w:trHeight w:val="229"/>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252,195</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249,409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729,975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776,440</w:t>
            </w:r>
          </w:p>
        </w:tc>
      </w:tr>
      <w:tr>
        <w:trPr>
          <w:trHeight w:val="223"/>
        </w:trPr>
        <w:tc>
          <w:tcPr>
            <w:tcW w:w="4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285,325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278,662</w:t>
            </w:r>
          </w:p>
        </w:tc>
      </w:tr>
      <w:tr>
        <w:trPr>
          <w:trHeight w:val="229"/>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60,520</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173,350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166,695</w:t>
            </w:r>
          </w:p>
        </w:tc>
      </w:tr>
      <w:tr>
        <w:trPr>
          <w:trHeight w:val="223"/>
        </w:trPr>
        <w:tc>
          <w:tcPr>
            <w:tcW w:w="4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111,975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111,967</w:t>
            </w: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w:t>
            </w: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223"/>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109,969</w:t>
            </w: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27,268</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26,092</w:t>
            </w:r>
          </w:p>
        </w:tc>
      </w:tr>
      <w:tr>
        <w:trPr>
          <w:trHeight w:val="223"/>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82,566</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83,877</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19"/>
                <w:szCs w:val="19"/>
                <w:color w:val="auto"/>
              </w:rPr>
            </w:pPr>
          </w:p>
        </w:tc>
        <w:tc>
          <w:tcPr>
            <w:tcW w:w="7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21,889</w:t>
            </w:r>
          </w:p>
        </w:tc>
      </w:tr>
      <w:tr>
        <w:trPr>
          <w:trHeight w:val="234"/>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21,937</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22,093</w:t>
            </w: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COMPREHENSIVE EARNINGS </w:t>
      </w:r>
      <w:r>
        <w:rPr>
          <w:rFonts w:ascii="Times New Roman" w:cs="Times New Roman" w:eastAsia="Times New Roman" w:hAnsi="Times New Roman"/>
          <w:sz w:val="18"/>
          <w:szCs w:val="18"/>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20" w:type="dxa"/>
            <w:vAlign w:val="bottom"/>
            <w:tcBorders>
              <w:bottom w:val="single" w:sz="8" w:color="auto"/>
            </w:tcBorders>
          </w:tcPr>
          <w:p>
            <w:pPr>
              <w:spacing w:after="0"/>
              <w:rPr>
                <w:sz w:val="18"/>
                <w:szCs w:val="18"/>
                <w:color w:val="auto"/>
              </w:rPr>
            </w:pPr>
          </w:p>
        </w:tc>
      </w:tr>
      <w:tr>
        <w:trPr>
          <w:trHeight w:val="211"/>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November 30, 2024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November 25, 2023</w:t>
            </w:r>
          </w:p>
        </w:tc>
        <w:tc>
          <w:tcPr>
            <w:tcW w:w="12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November 30, 2024</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25, 2023</w:t>
            </w:r>
          </w:p>
        </w:tc>
      </w:tr>
      <w:tr>
        <w:trPr>
          <w:trHeight w:val="225"/>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26,974</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82,566</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83,877</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76"/>
        </w:trPr>
        <w:tc>
          <w:tcPr>
            <w:tcW w:w="48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(loss) gain on marketable securities, net of $(13),</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3"/>
        </w:trPr>
        <w:tc>
          <w:tcPr>
            <w:tcW w:w="4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 $16 and $23 of tax (benefit) expense, respectively</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176"/>
        </w:trPr>
        <w:tc>
          <w:tcPr>
            <w:tcW w:w="48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(loss) gain on derivative instruments, net of</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486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8"/>
                <w:szCs w:val="18"/>
                <w:color w:val="auto"/>
              </w:rPr>
              <w:t>$(21), $56, $86 and $1 of tax (benefit) expense,</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3"/>
        </w:trPr>
        <w:tc>
          <w:tcPr>
            <w:tcW w:w="4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earnings</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November 30, 2024</w:t>
            </w:r>
          </w:p>
        </w:tc>
        <w:tc>
          <w:tcPr>
            <w:tcW w:w="14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November 25, 2023</w:t>
            </w:r>
          </w:p>
        </w:tc>
      </w:tr>
      <w:tr>
        <w:trPr>
          <w:trHeight w:val="225"/>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83,877</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31,185</w:t>
            </w:r>
          </w:p>
        </w:tc>
      </w:tr>
      <w:tr>
        <w:trPr>
          <w:trHeight w:val="22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2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Settlement of New Markets Tax Credit transaction</w:t>
            </w:r>
          </w:p>
        </w:tc>
        <w:tc>
          <w:tcPr>
            <w:tcW w:w="1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r>
      <w:tr>
        <w:trPr>
          <w:trHeight w:val="230"/>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w:t>
            </w:r>
          </w:p>
        </w:tc>
      </w:tr>
      <w:tr>
        <w:trPr>
          <w:trHeight w:val="229"/>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2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11,194</w:t>
            </w:r>
          </w:p>
        </w:tc>
      </w:tr>
      <w:tr>
        <w:trPr>
          <w:trHeight w:val="22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r>
      <w:tr>
        <w:trPr>
          <w:trHeight w:val="229"/>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w:t>
            </w:r>
          </w:p>
        </w:tc>
      </w:tr>
      <w:tr>
        <w:trPr>
          <w:trHeight w:val="230"/>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r>
      <w:tr>
        <w:trPr>
          <w:trHeight w:val="229"/>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w:t>
            </w:r>
          </w:p>
        </w:tc>
      </w:tr>
      <w:tr>
        <w:trPr>
          <w:trHeight w:val="230"/>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r>
      <w:tr>
        <w:trPr>
          <w:trHeight w:val="229"/>
        </w:trPr>
        <w:tc>
          <w:tcPr>
            <w:tcW w:w="7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 and liabilities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23"/>
        </w:trPr>
        <w:tc>
          <w:tcPr>
            <w:tcW w:w="78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129,252</w:t>
            </w:r>
          </w:p>
        </w:tc>
      </w:tr>
      <w:tr>
        <w:trPr>
          <w:trHeight w:val="21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(26,956)</w:t>
            </w: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Sales/maturities of marketable securities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(26,308)</w:t>
            </w:r>
          </w:p>
        </w:tc>
      </w:tr>
      <w:tr>
        <w:trPr>
          <w:trHeight w:val="20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195,851</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on revolving credit facilities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(265,000)</w:t>
            </w: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term loans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term loans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w:t>
            </w: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(15,690)</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r>
      <w:tr>
        <w:trPr>
          <w:trHeight w:val="223"/>
        </w:trPr>
        <w:tc>
          <w:tcPr>
            <w:tcW w:w="78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(100,441)</w:t>
            </w: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21,473</w:t>
            </w:r>
          </w:p>
        </w:tc>
      </w:tr>
      <w:tr>
        <w:trPr>
          <w:trHeight w:val="22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23,407</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6"/>
        </w:trPr>
        <w:tc>
          <w:tcPr>
            <w:tcW w:w="78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Non-cash Activity</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4"/>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(Unaudited)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20" w:type="dxa"/>
            <w:vAlign w:val="bottom"/>
            <w:vMerge w:val="restart"/>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Common Stock at</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1"/>
                <w:szCs w:val="11"/>
                <w:color w:val="auto"/>
              </w:rPr>
            </w:pPr>
          </w:p>
        </w:tc>
        <w:tc>
          <w:tcPr>
            <w:tcW w:w="1020" w:type="dxa"/>
            <w:vAlign w:val="bottom"/>
          </w:tcPr>
          <w:p>
            <w:pPr>
              <w:jc w:val="center"/>
              <w:ind w:right="7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04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20" w:type="dxa"/>
            <w:vAlign w:val="bottom"/>
          </w:tcPr>
          <w:p>
            <w:pPr>
              <w:spacing w:after="0"/>
              <w:rPr>
                <w:sz w:val="15"/>
                <w:szCs w:val="15"/>
                <w:color w:val="auto"/>
              </w:rPr>
            </w:pPr>
          </w:p>
        </w:tc>
        <w:tc>
          <w:tcPr>
            <w:tcW w:w="102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2, 2024</w:t>
            </w: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22,089</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7,363</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152,818</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340,375</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(29,531)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471,025</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31,011</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(15,061)</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(4,836)</w:t>
            </w:r>
          </w:p>
        </w:tc>
        <w:tc>
          <w:tcPr>
            <w:tcW w:w="0" w:type="dxa"/>
            <w:vAlign w:val="bottom"/>
          </w:tcPr>
          <w:p>
            <w:pPr>
              <w:spacing w:after="0"/>
              <w:rPr>
                <w:sz w:val="1"/>
                <w:szCs w:val="1"/>
                <w:color w:val="auto"/>
              </w:rPr>
            </w:pPr>
          </w:p>
        </w:tc>
      </w:tr>
      <w:tr>
        <w:trPr>
          <w:trHeight w:val="18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Declared dividends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0" w:type="dxa"/>
            <w:vAlign w:val="bottom"/>
          </w:tcPr>
          <w:p>
            <w:pPr>
              <w:spacing w:after="0"/>
              <w:rPr>
                <w:sz w:val="1"/>
                <w:szCs w:val="1"/>
                <w:color w:val="auto"/>
              </w:rPr>
            </w:pPr>
          </w:p>
        </w:tc>
      </w:tr>
      <w:tr>
        <w:trPr>
          <w:trHeight w:val="189"/>
        </w:trPr>
        <w:tc>
          <w:tcPr>
            <w:tcW w:w="4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1, 2024</w:t>
            </w: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21,937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7,312</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153,002</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348,651</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(29,010)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479,955</w:t>
            </w:r>
          </w:p>
        </w:tc>
        <w:tc>
          <w:tcPr>
            <w:tcW w:w="0" w:type="dxa"/>
            <w:vAlign w:val="bottom"/>
          </w:tcPr>
          <w:p>
            <w:pPr>
              <w:spacing w:after="0"/>
              <w:rPr>
                <w:sz w:val="1"/>
                <w:szCs w:val="1"/>
                <w:color w:val="auto"/>
              </w:rPr>
            </w:pPr>
          </w:p>
        </w:tc>
      </w:tr>
      <w:tr>
        <w:trPr>
          <w:trHeight w:val="18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30,566</w:t>
            </w:r>
          </w:p>
        </w:tc>
        <w:tc>
          <w:tcPr>
            <w:tcW w:w="0" w:type="dxa"/>
            <w:vAlign w:val="bottom"/>
          </w:tcPr>
          <w:p>
            <w:pPr>
              <w:spacing w:after="0"/>
              <w:rPr>
                <w:sz w:val="1"/>
                <w:szCs w:val="1"/>
                <w:color w:val="auto"/>
              </w:rPr>
            </w:pPr>
          </w:p>
        </w:tc>
      </w:tr>
      <w:tr>
        <w:trPr>
          <w:trHeight w:val="194"/>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0" w:type="dxa"/>
            <w:vAlign w:val="bottom"/>
          </w:tcPr>
          <w:p>
            <w:pPr>
              <w:spacing w:after="0"/>
              <w:rPr>
                <w:sz w:val="1"/>
                <w:szCs w:val="1"/>
                <w:color w:val="auto"/>
              </w:rPr>
            </w:pPr>
          </w:p>
        </w:tc>
      </w:tr>
      <w:tr>
        <w:trPr>
          <w:trHeight w:val="18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31, 2024</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21,946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7,315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155,883</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373,458</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(30,234)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506,422</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20,989</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18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(5,417)</w:t>
            </w:r>
          </w:p>
        </w:tc>
        <w:tc>
          <w:tcPr>
            <w:tcW w:w="0" w:type="dxa"/>
            <w:vAlign w:val="bottom"/>
          </w:tcPr>
          <w:p>
            <w:pPr>
              <w:spacing w:after="0"/>
              <w:rPr>
                <w:sz w:val="1"/>
                <w:szCs w:val="1"/>
                <w:color w:val="auto"/>
              </w:rPr>
            </w:pPr>
          </w:p>
        </w:tc>
      </w:tr>
      <w:tr>
        <w:trPr>
          <w:trHeight w:val="214"/>
        </w:trPr>
        <w:tc>
          <w:tcPr>
            <w:tcW w:w="4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November 30, 2024</w:t>
            </w: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21,939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7,313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158,248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388,478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522,069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Common Stock at</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06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40" w:type="dxa"/>
            <w:vAlign w:val="bottom"/>
          </w:tcPr>
          <w:p>
            <w:pPr>
              <w:spacing w:after="0"/>
              <w:rPr>
                <w:sz w:val="15"/>
                <w:szCs w:val="15"/>
                <w:color w:val="auto"/>
              </w:rPr>
            </w:pPr>
          </w:p>
        </w:tc>
        <w:tc>
          <w:tcPr>
            <w:tcW w:w="100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25, 2023</w:t>
            </w: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22,224</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7,408</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146,816</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273,740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(31,556)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396,408</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23,576</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0" w:type="dxa"/>
            <w:vAlign w:val="bottom"/>
          </w:tcPr>
          <w:p>
            <w:pPr>
              <w:spacing w:after="0"/>
              <w:rPr>
                <w:sz w:val="1"/>
                <w:szCs w:val="1"/>
                <w:color w:val="auto"/>
              </w:rPr>
            </w:pPr>
          </w:p>
        </w:tc>
      </w:tr>
      <w:tr>
        <w:trPr>
          <w:trHeight w:val="18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(5,245)</w:t>
            </w:r>
          </w:p>
        </w:tc>
        <w:tc>
          <w:tcPr>
            <w:tcW w:w="0" w:type="dxa"/>
            <w:vAlign w:val="bottom"/>
          </w:tcPr>
          <w:p>
            <w:pPr>
              <w:spacing w:after="0"/>
              <w:rPr>
                <w:sz w:val="1"/>
                <w:szCs w:val="1"/>
                <w:color w:val="auto"/>
              </w:rPr>
            </w:pPr>
          </w:p>
        </w:tc>
      </w:tr>
      <w:tr>
        <w:trPr>
          <w:trHeight w:val="189"/>
        </w:trPr>
        <w:tc>
          <w:tcPr>
            <w:tcW w:w="4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May 27,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22,219</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7,406</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147,897</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286,300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(31,397)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410,206</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33,327</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(6,628)</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0" w:type="dxa"/>
            <w:vAlign w:val="bottom"/>
          </w:tcPr>
          <w:p>
            <w:pPr>
              <w:spacing w:after="0"/>
              <w:rPr>
                <w:sz w:val="1"/>
                <w:szCs w:val="1"/>
                <w:color w:val="auto"/>
              </w:rPr>
            </w:pPr>
          </w:p>
        </w:tc>
      </w:tr>
      <w:tr>
        <w:trPr>
          <w:trHeight w:val="18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26,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22,072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7,357</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147,413</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308,248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(30,700)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432,318</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26,974</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0" w:type="dxa"/>
            <w:vAlign w:val="bottom"/>
          </w:tcPr>
          <w:p>
            <w:pPr>
              <w:spacing w:after="0"/>
              <w:rPr>
                <w:sz w:val="1"/>
                <w:szCs w:val="1"/>
                <w:color w:val="auto"/>
              </w:rPr>
            </w:pPr>
          </w:p>
        </w:tc>
      </w:tr>
      <w:tr>
        <w:trPr>
          <w:trHeight w:val="214"/>
        </w:trPr>
        <w:tc>
          <w:tcPr>
            <w:tcW w:w="4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November 25,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22,085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149,557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329,936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455,731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of Apogee Enterprises, Inc. (we, us, our or the Company) have been prepared in accordance with accounting principles generally accepted in the United States (U.S. GAAP). The information included in this Form 10-Q should be read in conjunction with the Company’s Form 10-K for the year ended March 2, 2024. We use the same accounting policies in preparing quarterly and annual financial statements. All adjustments necessary for a fair presentation of quarterly and year to date operating results are reflected herein and are of a normal, recurring nature. The results of operations for the three- and nine-month periods ended November 30, 2024 are not necessarily indicative of the results to be expected for the full year.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Improvements to Reportable Segment Disclosures, which expands the required disclosure for reportable segments. This guidance requires entities to disclose significant segment expenses and other segment items on an annual and interim basis and to provide in interim periods all segment disclosures which are currently required annually. This ASU additionally requires entities to disclose the title and position of the individual or the name of the group or committee identified as its chief operating decision-maker. Such guidance, which is required to be applied retrospectively, is effective for fiscal years beginning after December 15, 2023, and interim periods within fiscal years beginning after December 15, 2024, although early adoption is permitted. While the adoption of this ASU will not have an impact on our financial position and/or results of operations, we are currently evaluating the impact to our segment disclosures for the year ended March 1, 2025 and future interim periods.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intended to enhance the transparency and decision-usefulness of income tax disclosures. Such guidance requires entities to provide additional information within their income tax rate reconciliation, including further disclosure of federal, state, and foreign income taxes and to provide more details about these reconciling items if a quantitative threshold is met. This guidance additionally requires expanded disclosure of income taxes paid, including amounts paid for federal, state, and foreign taxes. This ASU, which is required to be applied prospectively, is effective for fiscal years beginning after December 15, 2024, although early adoption and retrospective application is permitted. While the adoption of this ASU will not have an impact on our financial position and/or results of operations, we are currently evaluating the impact on our income tax disclosures, including the processes and controls around the collection of this information.</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This guidance requires entities to disclose more detailed information about the types of expenses, including purchases of inventory, employee compensation, depreciation, amortization, and depletion in commonly presented expense captions such as cost of sales and selling, general and administrative (SG&amp;A) expenses. Such guidance is effective for annual reporting periods beginning after December 15, 2026, and interim reporting periods beginning after December 15, 2027, although early adoption is permitted. This guidance should be applied either prospectively to financial statements issued for reporting periods after the effective date of this ASU or retrospectively to any or all prior periods presented in the financial statements. While the adoption of this ASU will not have an impact on our financial position and/or results of operations, we are currently evaluating the impact this ASU may have on our consolidated financial statement disclosures, including the processes and controls around the collection of this information.</w:t>
      </w:r>
    </w:p>
    <w:p>
      <w:pPr>
        <w:spacing w:after="0" w:line="21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total revenue by timing of recognition (see Note 12 for disclosure of revenue by segment):</w:t>
      </w:r>
    </w:p>
    <w:p>
      <w:pPr>
        <w:sectPr>
          <w:pgSz w:w="11900" w:h="16838" w:orient="portrait"/>
          <w:cols w:equalWidth="0" w:num="1">
            <w:col w:w="11240"/>
          </w:cols>
          <w:pgMar w:left="320" w:top="121" w:right="339" w:bottom="1440" w:gutter="0" w:footer="0" w:header="0"/>
        </w:sect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at shipment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over time (input method)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over time (output method)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32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00" w:type="dxa"/>
            <w:vAlign w:val="bottom"/>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0"/>
        </w:trPr>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November 25, 2023</w:t>
            </w:r>
          </w:p>
        </w:tc>
      </w:tr>
      <w:tr>
        <w:trPr>
          <w:trHeight w:val="224"/>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150,704</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144,910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427,945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449,805</w:t>
            </w:r>
          </w:p>
        </w:tc>
      </w:tr>
      <w:tr>
        <w:trPr>
          <w:trHeight w:val="229"/>
        </w:trPr>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356,996</w:t>
            </w:r>
          </w:p>
        </w:tc>
      </w:tr>
      <w:tr>
        <w:trPr>
          <w:trHeight w:val="234"/>
        </w:trPr>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65,189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79,459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226,540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248,301</w:t>
            </w: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341,344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339,714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1,015,300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1,055,102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-333375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-633730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720"/>
            <w:col w:w="66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forecasted economic conditions and other relevant factors. Upon billing, aging of receivables is monitored until collection. An account is considered current when it is within agreed upon payment terms. An account is written off when it is determined that the asset is no longer collectible.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60" w:type="dxa"/>
            <w:vAlign w:val="bottom"/>
          </w:tcPr>
          <w:p>
            <w:pPr>
              <w:spacing w:after="0"/>
              <w:rPr>
                <w:sz w:val="18"/>
                <w:szCs w:val="18"/>
                <w:color w:val="auto"/>
              </w:rPr>
            </w:pP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2, 2024</w:t>
            </w: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115,061</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contracts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61,879</w:t>
            </w:r>
          </w:p>
        </w:tc>
      </w:tr>
      <w:tr>
        <w:trPr>
          <w:trHeight w:val="223"/>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176,940</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for the nine-month period ended:</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8"/>
        </w:trPr>
        <w:tc>
          <w:tcPr>
            <w:tcW w:w="7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November 30, 2024</w:t>
            </w: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Credits charged to costs and expenses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allowance, net of recoveries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 from acquisitions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1"/>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assets consist of retainage, costs and earnings in excess of billings and other unbilled amounts typically generated when revenue recognized exceeds the amount billed to the customer. Retainage on construction contracts represents amounts withheld by our customers on long-term projects until the project reaches a level of completion where amounts are released to us from the customer. Contract liabilities consist of billings in excess of costs and earnings and other deferred revenue on contracts.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time period between when performance obligations are complete and payment is due is not significant. In certain parts of our business that recognize revenue over time, progress billings follow an agreed-upon schedule of values.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contract assets and contract liabilities were mainly due to timing of project activity within our businesses that operate under long-term contracts.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contract-related disclosures</w:t>
            </w:r>
          </w:p>
        </w:tc>
        <w:tc>
          <w:tcPr>
            <w:tcW w:w="140" w:type="dxa"/>
            <w:vAlign w:val="bottom"/>
          </w:tcPr>
          <w:p>
            <w:pPr>
              <w:spacing w:after="0"/>
              <w:rPr>
                <w:sz w:val="20"/>
                <w:szCs w:val="20"/>
                <w:color w:val="auto"/>
              </w:rPr>
            </w:pPr>
          </w:p>
        </w:tc>
        <w:tc>
          <w:tcPr>
            <w:tcW w:w="32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0"/>
                <w:szCs w:val="20"/>
                <w:color w:val="auto"/>
              </w:rPr>
            </w:pPr>
          </w:p>
        </w:tc>
        <w:tc>
          <w:tcPr>
            <w:tcW w:w="308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November 25, 2023</w:t>
            </w:r>
          </w:p>
        </w:tc>
      </w:tr>
      <w:tr>
        <w:trPr>
          <w:trHeight w:val="184"/>
        </w:trPr>
        <w:tc>
          <w:tcPr>
            <w:tcW w:w="4540" w:type="dxa"/>
            <w:vAlign w:val="bottom"/>
            <w:tcBorders>
              <w:top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Revenue recognized related to contract liabilities from prior</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r>
      <w:tr>
        <w:trPr>
          <w:trHeight w:val="234"/>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year-end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30,760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25,147</w:t>
            </w:r>
          </w:p>
        </w:tc>
      </w:tr>
      <w:tr>
        <w:trPr>
          <w:trHeight w:val="184"/>
        </w:trPr>
        <w:tc>
          <w:tcPr>
            <w:tcW w:w="4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Revenue recognized related to prior satisfaction of</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4"/>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obligations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12,295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have an expected duration of longer than a year, with performance obligations extending over that time frame. Generally, these contracts are found in our businesses that typically operate with long-term contracts, which recognize revenue over time. The transaction prices associated with unsatisfied performance obligations at November 30, 2024 are expected to be satisfied, and the corresponding revenue to be recognized, over the following estimated time periods: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November 30, 2024</w:t>
            </w:r>
          </w:p>
        </w:tc>
      </w:tr>
      <w:tr>
        <w:trPr>
          <w:trHeight w:val="229"/>
        </w:trPr>
        <w:tc>
          <w:tcPr>
            <w:tcW w:w="9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530,834</w:t>
            </w:r>
          </w:p>
        </w:tc>
      </w:tr>
      <w:tr>
        <w:trPr>
          <w:trHeight w:val="230"/>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Between one and two years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261,463</w:t>
            </w:r>
          </w:p>
        </w:tc>
      </w:tr>
      <w:tr>
        <w:trPr>
          <w:trHeight w:val="229"/>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Beyond two years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88,030</w:t>
            </w:r>
          </w:p>
        </w:tc>
      </w:tr>
      <w:tr>
        <w:trPr>
          <w:trHeight w:val="223"/>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880,327</w:t>
            </w:r>
          </w:p>
        </w:tc>
      </w:tr>
      <w:tr>
        <w:trPr>
          <w:trHeight w:val="21"/>
        </w:trPr>
        <w:tc>
          <w:tcPr>
            <w:tcW w:w="9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220" w:type="dxa"/>
            <w:vAlign w:val="bottom"/>
          </w:tcPr>
          <w:p>
            <w:pPr>
              <w:spacing w:after="0"/>
              <w:rPr>
                <w:sz w:val="18"/>
                <w:szCs w:val="18"/>
                <w:color w:val="auto"/>
              </w:rPr>
            </w:pPr>
          </w:p>
        </w:tc>
        <w:tc>
          <w:tcPr>
            <w:tcW w:w="13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2, 2024</w:t>
            </w: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31,363</w:t>
            </w: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12,291</w:t>
            </w: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25,586</w:t>
            </w:r>
          </w:p>
        </w:tc>
      </w:tr>
      <w:tr>
        <w:trPr>
          <w:trHeight w:val="22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69,240</w:t>
            </w:r>
          </w:p>
        </w:tc>
      </w:tr>
      <w:tr>
        <w:trPr>
          <w:trHeight w:val="21"/>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Through our wholly-owned insurance subsidiary, Prism Assurance, Ltd. (Prism), we hold the following available-for-sale marketable securities, made up of fixed-maturity investments: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3"/>
                <w:szCs w:val="13"/>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30, 2024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0" w:type="dxa"/>
            <w:vAlign w:val="bottom"/>
          </w:tcPr>
          <w:p>
            <w:pPr>
              <w:spacing w:after="0"/>
              <w:rPr>
                <w:sz w:val="1"/>
                <w:szCs w:val="1"/>
                <w:color w:val="auto"/>
              </w:rPr>
            </w:pP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 2024</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values of these investments at November 30, 2024, by contractual maturity, are shown below. Expected maturities may differ from contractual maturities, as borrowers may have the right to call or prepay obligations with or without penalty.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8"/>
                <w:szCs w:val="18"/>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0"/>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periodically use interest rate swaps, currency put options,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2020, we entered into an interest rate swap to hedge exposure to variability in cash flows from interest payments on floating-rate borrowings under our credit facility. As of November 30, 2024, the interest rate swap contract had a notional value of $30.0 million and has a maturity date of February 5, 2026.</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enter into forward purchase contracts and/or fixed/floating swaps to manage the risk associated with fluctuations in aluminum prices and fluctuations in foreign exchange rates. These contracts generally have an original maturity date of less than one year. As of November 30, 2024, we held aluminum purchase contracts and foreign exchange option contracts with U.S. dollar notional values of $0.2 million and $0.8 million,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 to market adjustments on these derivative instruments are recorded within our consolidated balance sheets within other current assets and other current liabilities. Gains or losses associated with these instruments are recorded as a component of accumulated other comprehensive loss until which time the hedged transaction is settled and gains or losses are reclassified to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 2024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option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26,529</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currency option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July 19, 2024, we entered into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five-year revolving credit facility and a committed $250.0 million delayed draw term loan facility. Borrowings under the revolving credit facility can be in Canadian dollars (CAD) limited to $25.0 million USD. The term loan facility may be utilized in up to two drawdowns, which are available to be made within one year after the closing date. The senior credit facility has a term of five years with a maturity date of July 19, 2029.</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Credit Agreement replaces the previous revolving credit facility with Wells Fargo Bank, N.A., as administrative agent, and other lenders, with maximum borrowings up to $385.0 million, and the two Canadian credit facilities with Bank of Montreal totaling $25.0 million USD. Outstanding borrowings under the previous revolving credit facility were $50.0 million as of March 2, 2024. We had no outstanding borrowings under the Canadian facilities as of March 2, 2024.</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a result of the execution of the Credit Agreement, in the second quarter of fiscal 2025, we recognized a loss on extinguishment of debt within interest expense of $0.5 million for the write-off of unamortized financing fees related to the previous revolving credit facility. Additionally, we capitalized $3.0 million of lender fees and $0.8 million of third-party fees incurred in connection with the Credit Agreement, which were recorded as other non-current assets and will be amortized over the term of the credit facility as interest expense.</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November 30, 2024, we were in compliance with all covenants as defined under the terms of the Credit Agreement.</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Credit Agreement also contains an acquisition “holiday.” In the event we make an acquisition for which the purchase price is greater than $75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Borrowings under the Credit Agreement bear floating interest at either the Base Rate or Term Secured Overnight Financing Rate (SOFR), or, for CAD borrowings, Canadian Overnight Repo Rate Average (CORRA) plus, in each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 respectively.</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an “accordion” provision. Under this provision, we can request that the senior credit facility be increased by unlimited additional amounts. Any lender may elect or decline to participate in the requested increase at their sole discretion.</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November 4, 2024, as part of the acquisition of UW Interco, LLC (UW Solutions), and for working capital and general corporate purposes, we executed a drawdown against the delayed draw term loan facility for $250.0 million. Outstanding borrowings under the term loan facility were $230.0 million as of November 30, 2024. Outstanding borrowings under the revolving credit facility were $30.0 million as of November 30, 2024.</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November 30, 2024, we had a total of $27.3 million of ongoing letters of credit related to the senior credit facility and industrial revenue bonds, construction contracts and insurance collateral that expire in fiscal years 2026 through 2032 and reduce borrowing capacity under the revolving credit facility. As of November 30, 2024, the amount available for revolving borrowings was $405.0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November 30, 2024, debt included $12.0 million of industrial revenue bonds that mature in fiscal years 2036 through 2043.</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senior credit facility and industrial revenue bonds approximated carrying values at November 30, 2024, and would be classified as Level 2 within the fair value hierarchy described in Note 4, due to the variable interest rates on these instruments.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4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gain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payments under the credit facilities were $3.5 million and $7.5 million for the nine months ended November 30, 2024 and November 25, 2023, respectively. The weighted average interest rates on borrowings outstanding, inclusive of the impact of our interest rate swap as of November 30, 2024 and March 2, 2024 were 5.6% and 4.9%, respectively.</w:t>
      </w:r>
    </w:p>
    <w:p>
      <w:pPr>
        <w:spacing w:after="0" w:line="200"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 commitments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November 30, 2024, $1.2 billion of these types of bonds were outstanding, of which $307.2 million is in our backlog. These bonds have expiration dates that align with completion of the sales order or contract. We have never been required to make payments under surety or performance bonds with respect to our existing businesses.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project-related contingencies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these accruals in any given period include changes in manufacturing quality, changes in product mix, and any significant changes in sales volume.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Deductions from reserve, net of recoveries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November 30, 2024</w:t>
      </w:r>
    </w:p>
    <w:p>
      <w:pPr>
        <w:spacing w:after="0" w:line="61" w:lineRule="exact"/>
        <w:rPr>
          <w:sz w:val="20"/>
          <w:szCs w:val="20"/>
          <w:color w:val="auto"/>
        </w:rPr>
      </w:pPr>
    </w:p>
    <w:p>
      <w:pPr>
        <w:ind w:left="980" w:hanging="975"/>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21,362</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6,795</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9944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 w:lineRule="exact"/>
        <w:rPr>
          <w:sz w:val="20"/>
          <w:szCs w:val="20"/>
          <w:color w:val="auto"/>
        </w:rPr>
      </w:pPr>
    </w:p>
    <w:p>
      <w:pPr>
        <w:ind w:left="980" w:hanging="975"/>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9944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43180</wp:posOffset>
            </wp:positionV>
            <wp:extent cx="9944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40" w:space="720"/>
            <w:col w:w="1580"/>
          </w:cols>
          <w:pgMar w:left="320" w:top="121" w:right="339" w:bottom="1440" w:gutter="0" w:footer="0" w:header="0"/>
          <w:type w:val="continuous"/>
        </w:sectPr>
      </w:pP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are subject to project management and installation-related contingencies as a result of our fixed-price material supply and installation service contracts, primarily in our Architectural Services Segment and in certain parts of our Architectural Framing Systems Segment. We manage the risk of these exposures through contract negotiations, proactive project management and insurance coverages.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November 30, 2024, we had $27.3 million of ongoing letters of credit as discussed in Note 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for raw material commitments and capital expenditures totaled $20.0 million as of November 30,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Markets Tax Credit (NMTC) transactions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two outstanding NMTC arrangements which help to support operational expansion. Proceeds received from investors on these transactions are included within other current liabilities in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current assets in our consolidated balance sheets. These costs will be recognized in conjunction with the recognition of the related proceeds on each arrangement. During the construction phase or for working capital purposes for each project, we are required to hold cash dedicated to fund each project, which is classified as restricted cash in our consolidated balance sheets. As a result of the structure of these transactions, variable-interest entities were created. As the other investors in these programs do not have a material interest in the entities' underlying economics, we include 100% of the results of the variable-interest entities in our consolidated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estimated benefits related to our outstanding NMTC transactions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Inception date</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Termination date</w:t>
            </w:r>
          </w:p>
        </w:tc>
        <w:tc>
          <w:tcPr>
            <w:tcW w:w="20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Deferred Benefit</w:t>
            </w:r>
          </w:p>
        </w:tc>
        <w:tc>
          <w:tcPr>
            <w:tcW w:w="24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Deferred costs</w:t>
            </w:r>
          </w:p>
        </w:tc>
        <w:tc>
          <w:tcPr>
            <w:tcW w:w="30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Net benefit</w:t>
            </w:r>
          </w:p>
        </w:tc>
      </w:tr>
      <w:tr>
        <w:trPr>
          <w:trHeight w:val="226"/>
        </w:trPr>
        <w:tc>
          <w:tcPr>
            <w:tcW w:w="278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May 2022</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r>
      <w:tr>
        <w:trPr>
          <w:trHeight w:val="230"/>
        </w:trPr>
        <w:tc>
          <w:tcPr>
            <w:tcW w:w="2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September 2018</w:t>
            </w:r>
          </w:p>
        </w:tc>
        <w:tc>
          <w:tcPr>
            <w:tcW w:w="2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48"/>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Continuation of the August 2018 NMTC financing transaction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has appealed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Supplier Finance Program Obligations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the first quarter of fiscal 2024, we implemented a supplier financing arrangement that enables select suppliers, at their sole discretion, to sell our receivables (i.e., our payment obligations to the suppliers) on a non-recourse basis in order to be paid earlier than our payment terms provide. These suppliers’ voluntary inclusion of invoices in the supplier financing arrangement has no bearing on our payment terms, the amounts we pay, or our liquidity. We have no economic interest in the supplier’s decision to participate in the supplier financing program, and we do not provide any guarantees in connection with it. The balances owed are reflected in accounts payable in the consolidated balance sheets and are reflected in net cash provided by operating activities in our consolidated statements of cash flows when settled.</w:t>
      </w:r>
    </w:p>
    <w:p>
      <w:pPr>
        <w:spacing w:after="0" w:line="22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obligation activity for the nine months ended November 30, 2024 and outstanding balance as of November 30, 2024 that we have confirmed as valid to the administrators of our program:</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November 30, 2024</w:t>
            </w:r>
          </w:p>
        </w:tc>
      </w:tr>
      <w:tr>
        <w:trPr>
          <w:trHeight w:val="226"/>
        </w:trPr>
        <w:tc>
          <w:tcPr>
            <w:tcW w:w="9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r>
      <w:tr>
        <w:trPr>
          <w:trHeight w:val="230"/>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added to the program</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35,881</w:t>
            </w:r>
          </w:p>
        </w:tc>
      </w:tr>
      <w:tr>
        <w:trPr>
          <w:trHeight w:val="229"/>
        </w:trPr>
        <w:tc>
          <w:tcPr>
            <w:tcW w:w="9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settled</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(34,612)</w:t>
            </w:r>
          </w:p>
        </w:tc>
      </w:tr>
      <w:tr>
        <w:trPr>
          <w:trHeight w:val="223"/>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7,796</w:t>
            </w: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paid dividends totaling $16.2 million ($0.75 per share) in the first nine months of fiscal 2025, compared to dividends paid of $15.7 million ($0.72 per share) in the comparable prior year period.</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fiscal 2004, the Board of Directors authorized a share repurchase program allowing us to repurchase shares of our outstanding common stock, with subsequent increases in authorization. During the nine-months ended November 30, 2024, we repurchased 241,573 shares under the program, for a total cost of $15.1 million, inclusive of the applicable excise tax. During the nine-months ended November 25, 2023, we repurchased 279,916 shares under the program, for a total cost of $11.8 million. We have repurchased a total of 11,518,090 shares, at a total cost of $408.5 million, since the inception of this program in fiscal 2004. We have remaining authority to repurchase 2,731,910 shares under this program, which has no expiration date. We may also elect to repurchase additional shares of common stock under our authorization, subject to limitations contained in our debt agreements and based upon our assessment of a number of factors, including share price, trading volume and general market conditions, working capital requirements, general business conditions, financial conditions, any applicable contractual limitations, and other factors, including alternative investment opportunities. We may finance share repurchases with available cash, additional debt or other sources of financing.</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shares withheld from the vesting of restricted awards, or the settlement of performance-based awards, are treated as purchases and retirements, and are included within other, net in the financing activities section in the consolidated statement of cash flows.</w:t>
      </w:r>
    </w:p>
    <w:p>
      <w:pPr>
        <w:spacing w:after="0" w:line="199"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part of our compensation structure, we grant stock-based compensation awards to certain employees and non-employee directors during the fiscal year. These awards may be in the form of incentive stock options (to employees only), restricted stock awards and restricted stock units, and performance share unit awards, all of which are granted at a price or with an exercise price equal to the fair market value of the Company’s stock at the date of award, unless the date of the award is on a day the Nasdaq Stock Market is not open for trading, then the exercise price shall equal the fair market value on the most recent preceding date when such market is open.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stock-based compensation awards granted during the nine-months ended November 30, 2024, along with the weighted average grant date fair value: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60" w:type="dxa"/>
            <w:vAlign w:val="bottom"/>
          </w:tcPr>
          <w:p>
            <w:pPr>
              <w:spacing w:after="0"/>
              <w:rPr>
                <w:sz w:val="13"/>
                <w:szCs w:val="13"/>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7"/>
        </w:trPr>
        <w:tc>
          <w:tcPr>
            <w:tcW w:w="8000" w:type="dxa"/>
            <w:vAlign w:val="bottom"/>
            <w:gridSpan w:val="2"/>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6"/>
        </w:trPr>
        <w:tc>
          <w:tcPr>
            <w:tcW w:w="790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Restricted stock awards and restricted stock units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0" w:type="dxa"/>
            <w:vAlign w:val="bottom"/>
          </w:tcPr>
          <w:p>
            <w:pPr>
              <w:spacing w:after="0"/>
              <w:rPr>
                <w:sz w:val="1"/>
                <w:szCs w:val="1"/>
                <w:color w:val="auto"/>
              </w:rPr>
            </w:pPr>
          </w:p>
        </w:tc>
      </w:tr>
      <w:tr>
        <w:trPr>
          <w:trHeight w:val="306"/>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Performance share units </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80" w:hanging="154"/>
        <w:spacing w:after="0"/>
        <w:tabs>
          <w:tab w:leader="none" w:pos="1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 service condition awards which generally vest over a two- or three-year period.</w:t>
      </w:r>
    </w:p>
    <w:p>
      <w:pPr>
        <w:spacing w:after="0" w:line="23" w:lineRule="exact"/>
        <w:rPr>
          <w:rFonts w:ascii="Times New Roman" w:cs="Times New Roman" w:eastAsia="Times New Roman" w:hAnsi="Times New Roman"/>
          <w:sz w:val="19"/>
          <w:szCs w:val="19"/>
          <w:color w:val="auto"/>
          <w:vertAlign w:val="superscript"/>
        </w:rPr>
      </w:pPr>
    </w:p>
    <w:p>
      <w:pPr>
        <w:jc w:val="both"/>
        <w:ind w:left="180" w:right="20" w:hanging="154"/>
        <w:spacing w:after="0" w:line="219" w:lineRule="auto"/>
        <w:tabs>
          <w:tab w:leader="none" w:pos="181"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 performance condition awards with the grant equal to the target number of performance shares based on the share price at grant date. These grants allow for the right to receive a variable number of shares, between 0% and 200% of target, dependent on being employed at the end of the performance period and achieving defined performance goals for average return on invested capital and cumulative earnings per share.</w:t>
      </w: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share-based compensation expense included in the results of operations was $2.4 million and $2.2 million for the three-month periods ended November 30, 2024 and November 25, 2023, respectively and $8.1 million and $6.6 million for the nine-month periods ended November 30, 2024 and November 25, 2023,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November 30, 2024, there was $14.2 million of total unrecognized compensation cost related to nonvested share and nonvested share unit awards, which is expected to be recognized over a weighted average period of approximately 24 months. The total fair value of shares vested during the nine-months ended November 30, 2024 was $9.5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federal jurisdiction, various U.S. state and local jurisdictions, Canada, Brazil, and other international jurisdictions. We are not subject to U.S. federal tax examinations for years prior to fiscal 2021, or state and local income tax examinations for years prior to fiscal 2020. We are not currently under U.S. federal examination for years subsequent to fiscal year 2020, and there is very limited audit activity of our income tax returns in U.S. state jurisdictions or international jurisdictions.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interim periods, our income tax expense and resulting effective tax rate are based upon an estimated annual effective tax rate adjusted for the effects of items required to be treated as discrete to the period, including changes in tax laws, changes in estimated exposures for uncertain tax positions and other items. For the three-months ended November 30, 2024, income tax expense as a percentage of earnings before income tax was 24.1%, compared to 23.6% for the same period last year. For the nine-months ended November 30, 2024, income tax expense as a percentage of earnings before income tax was 24.8%, compared to 23.7% for the same period last year. The change in the effective tax rate for both the three- and nine-month periods was primarily due to an increase in tax expense for discrete items.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liability for unrecognized tax benefits was $5.7 million at November 30, 2024 compared to $5.1 million at March 2, 2024, respectively. Penalties and interest related to unrecognized tax benefits are recorded in income tax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share amounts used in the computation of basic and diluted earnings per share (diluted EPS):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980" w:type="dxa"/>
            <w:vAlign w:val="bottom"/>
            <w:gridSpan w:val="3"/>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22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5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4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00" w:type="dxa"/>
            <w:vAlign w:val="bottom"/>
          </w:tcPr>
          <w:p>
            <w:pPr>
              <w:spacing w:after="0"/>
              <w:rPr>
                <w:sz w:val="16"/>
                <w:szCs w:val="16"/>
                <w:color w:val="auto"/>
              </w:rPr>
            </w:pPr>
          </w:p>
        </w:tc>
        <w:tc>
          <w:tcPr>
            <w:tcW w:w="15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4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0" w:type="dxa"/>
            <w:vAlign w:val="bottom"/>
          </w:tcPr>
          <w:p>
            <w:pPr>
              <w:spacing w:after="0"/>
              <w:rPr>
                <w:sz w:val="1"/>
                <w:szCs w:val="1"/>
                <w:color w:val="auto"/>
              </w:rPr>
            </w:pPr>
          </w:p>
        </w:tc>
      </w:tr>
      <w:tr>
        <w:trPr>
          <w:trHeight w:val="184"/>
        </w:trPr>
        <w:tc>
          <w:tcPr>
            <w:tcW w:w="5120" w:type="dxa"/>
            <w:vAlign w:val="bottom"/>
            <w:tcBorders>
              <w:top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Basic  earnings  per  share  –  weighted  average  common  shares</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21,889</w:t>
            </w:r>
          </w:p>
        </w:tc>
        <w:tc>
          <w:tcPr>
            <w:tcW w:w="0" w:type="dxa"/>
            <w:vAlign w:val="bottom"/>
          </w:tcPr>
          <w:p>
            <w:pPr>
              <w:spacing w:after="0"/>
              <w:rPr>
                <w:sz w:val="1"/>
                <w:szCs w:val="1"/>
                <w:color w:val="auto"/>
              </w:rPr>
            </w:pPr>
          </w:p>
        </w:tc>
      </w:tr>
      <w:tr>
        <w:trPr>
          <w:trHeight w:val="184"/>
        </w:trPr>
        <w:tc>
          <w:tcPr>
            <w:tcW w:w="52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average effect of nonvested share grants and assumed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64"/>
        </w:trPr>
        <w:tc>
          <w:tcPr>
            <w:tcW w:w="522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Diluted earnings per share – weighted average common shares and</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22,013</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21,937</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22,093</w:t>
            </w:r>
          </w:p>
        </w:tc>
        <w:tc>
          <w:tcPr>
            <w:tcW w:w="0" w:type="dxa"/>
            <w:vAlign w:val="bottom"/>
          </w:tcPr>
          <w:p>
            <w:pPr>
              <w:spacing w:after="0"/>
              <w:rPr>
                <w:sz w:val="1"/>
                <w:szCs w:val="1"/>
                <w:color w:val="auto"/>
              </w:rPr>
            </w:pPr>
          </w:p>
        </w:tc>
      </w:tr>
      <w:tr>
        <w:trPr>
          <w:trHeight w:val="227"/>
        </w:trPr>
        <w:tc>
          <w:tcPr>
            <w:tcW w:w="5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potential common shares outstanding</w:t>
            </w: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gridSpan w:val="2"/>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Stock awards excluded from the calculation of earnings per share</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22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22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because the effect was anti-dilutive (award price greater than</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4"/>
        </w:trPr>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average market price of the shares)</w:t>
            </w:r>
          </w:p>
        </w:tc>
        <w:tc>
          <w:tcPr>
            <w:tcW w:w="1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Segment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four reporting segments:</w:t>
      </w:r>
    </w:p>
    <w:p>
      <w:pPr>
        <w:spacing w:after="0" w:line="27" w:lineRule="exact"/>
        <w:rPr>
          <w:sz w:val="20"/>
          <w:szCs w:val="20"/>
          <w:color w:val="auto"/>
        </w:rPr>
      </w:pPr>
    </w:p>
    <w:p>
      <w:pPr>
        <w:ind w:left="660" w:hanging="328"/>
        <w:spacing w:after="0" w:line="24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Framing Systems Segment</w:t>
      </w:r>
      <w:r>
        <w:rPr>
          <w:rFonts w:ascii="Times New Roman" w:cs="Times New Roman" w:eastAsia="Times New Roman" w:hAnsi="Times New Roman"/>
          <w:sz w:val="18"/>
          <w:szCs w:val="18"/>
          <w:color w:val="auto"/>
        </w:rPr>
        <w:t xml:space="preserve"> designs, engineers, fabricates and finishes aluminum window, curtainwall, storefront and entrance systems for the exterior of buildings.</w:t>
      </w:r>
    </w:p>
    <w:p>
      <w:pPr>
        <w:spacing w:after="0" w:line="1" w:lineRule="exact"/>
        <w:rPr>
          <w:rFonts w:ascii="Times New Roman" w:cs="Times New Roman" w:eastAsia="Times New Roman" w:hAnsi="Times New Roman"/>
          <w:sz w:val="18"/>
          <w:szCs w:val="18"/>
          <w:color w:val="auto"/>
        </w:rPr>
      </w:pPr>
    </w:p>
    <w:p>
      <w:pPr>
        <w:ind w:left="660" w:right="20" w:hanging="328"/>
        <w:spacing w:after="0" w:line="23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 Segment</w:t>
      </w:r>
      <w:r>
        <w:rPr>
          <w:rFonts w:ascii="Times New Roman" w:cs="Times New Roman" w:eastAsia="Times New Roman" w:hAnsi="Times New Roman"/>
          <w:sz w:val="18"/>
          <w:szCs w:val="18"/>
          <w:color w:val="auto"/>
        </w:rPr>
        <w:t xml:space="preserve"> coats and fabricates high-performance glass used in custom window and wall systems on non-residential buildings.</w:t>
      </w:r>
    </w:p>
    <w:p>
      <w:pPr>
        <w:spacing w:after="0" w:line="1" w:lineRule="exact"/>
        <w:rPr>
          <w:rFonts w:ascii="Times New Roman" w:cs="Times New Roman" w:eastAsia="Times New Roman" w:hAnsi="Times New Roman"/>
          <w:sz w:val="18"/>
          <w:szCs w:val="18"/>
          <w:color w:val="auto"/>
        </w:rPr>
      </w:pPr>
    </w:p>
    <w:p>
      <w:pPr>
        <w:ind w:left="660" w:right="20" w:hanging="328"/>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 Segment</w:t>
      </w:r>
      <w:r>
        <w:rPr>
          <w:rFonts w:ascii="Times New Roman" w:cs="Times New Roman" w:eastAsia="Times New Roman" w:hAnsi="Times New Roman"/>
          <w:sz w:val="18"/>
          <w:szCs w:val="18"/>
          <w:color w:val="auto"/>
        </w:rPr>
        <w:t xml:space="preserve"> integrates technical services, project management, and field installation services to design, engineer, fabricate, and install building glass and curtainwall systems.</w:t>
      </w:r>
    </w:p>
    <w:p>
      <w:pPr>
        <w:ind w:left="660" w:right="2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Large-Scale Optical (LSO) Segment</w:t>
      </w:r>
      <w:r>
        <w:rPr>
          <w:rFonts w:ascii="Times New Roman" w:cs="Times New Roman" w:eastAsia="Times New Roman" w:hAnsi="Times New Roman"/>
          <w:sz w:val="18"/>
          <w:szCs w:val="18"/>
          <w:color w:val="auto"/>
        </w:rPr>
        <w:t xml:space="preserve"> manufactures high-performance coated substrate products for the custom framing, fine and graphic art, industrial flooring and engineered optics markets.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net sales is defined as net sales for a certain segment and includes revenue related to intersegment transactions. We report net sales intersegment eliminations separately to exclude these sales from our consolidated total. Segment operating income is equal to net sales, less cost of goods sold, SG&amp;A expenses, and any asset impairment charges associated with the segment. Segment operating income includes operating income related to intersegment sales transactions and excludes certain corporate costs that are not allocated at a segment level. We report these unallocated corporate costs in Corporate and Other. Operating income does not include other income or expense, interest expense or income tax expense.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2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40" w:type="dxa"/>
            <w:vAlign w:val="bottom"/>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0" w:type="dxa"/>
            <w:vAlign w:val="bottom"/>
          </w:tcPr>
          <w:p>
            <w:pPr>
              <w:spacing w:after="0"/>
              <w:rPr>
                <w:sz w:val="1"/>
                <w:szCs w:val="1"/>
                <w:color w:val="auto"/>
              </w:rPr>
            </w:pPr>
          </w:p>
        </w:tc>
      </w:tr>
      <w:tr>
        <w:trPr>
          <w:trHeight w:val="229"/>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sales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462,548</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282,262</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272,144</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72,110</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(33,962)</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1,055,102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57,986</w:t>
            </w:r>
          </w:p>
        </w:tc>
        <w:tc>
          <w:tcPr>
            <w:tcW w:w="0" w:type="dxa"/>
            <w:vAlign w:val="bottom"/>
          </w:tcPr>
          <w:p>
            <w:pPr>
              <w:spacing w:after="0"/>
              <w:rPr>
                <w:sz w:val="1"/>
                <w:szCs w:val="1"/>
                <w:color w:val="auto"/>
              </w:rPr>
            </w:pPr>
          </w:p>
        </w:tc>
      </w:tr>
      <w:tr>
        <w:trPr>
          <w:trHeight w:val="229"/>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49,119</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0" w:type="dxa"/>
            <w:vAlign w:val="bottom"/>
          </w:tcPr>
          <w:p>
            <w:pPr>
              <w:spacing w:after="0"/>
              <w:rPr>
                <w:sz w:val="1"/>
                <w:szCs w:val="1"/>
                <w:color w:val="auto"/>
              </w:rPr>
            </w:pPr>
          </w:p>
        </w:tc>
      </w:tr>
      <w:tr>
        <w:trPr>
          <w:trHeight w:val="223"/>
        </w:trPr>
        <w:tc>
          <w:tcPr>
            <w:tcW w:w="4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111,967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Acquisitions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2024, we completed the acquisition of UW Solutions for $241.8 million in cash. UW Solutions is a U.S. based, vertically integrated manufacturer of high-performance coated substrates with a portfolio of well-known brands, including ResinDEK®, ChromaLuxe®, RDC Coatings™, and Unisub®, each known as a leader in its specified applications. The UW Solutions business activity is included in our Large-Scale Optical Segment.</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total purchase consideration was $233.1 million in cash, net of a preliminary net working capital adjustment of $1.8 million and cash acquired of $8.7 million. The acquisition was funded with cash on hand and borrowings under our existing credit agreement. During the third quarter of fiscal 2025, we incurred pre-tax acquisition-related expenses of $5.9 million associated with the UW Solutions acquisition. We incurred $0.4 million for inventory step-up expense which was included in costs of sales as well as $3.7 million of transaction costs, $0.9 million of integration costs, and $0.8 million of amortization of acquired backlog, which was included in SG&amp;A within our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accounted for the acquisition as a purchase of a business and recorded the excess of the purchase price over the estimated fair value of the assets acquired and liabilities assumed as goodwill of $106.3 million. The goodwill recognized is attributable primarily to expected synergies by integrating UW Solutions into our Large-Scale Optical Segment and by creating a scalable growth platform in the specialty coatings and materials market. The goodwill is expected to be amortized and deductible for income tax purposes. We have provisionally determined the appropriate fair values of the acquired intangible assets and completed our analysis of the economic lives of the assets acquired. We assigned $21.0 million to tradenames and are amortizing over a 15-year expected life. We assigned $3.2 million to contract backlog and are amortizing over a 4-month expected life. We assigned $47.4 million to customer relationships and are amortizing a portion over a 10-year expected life and the remainder over a 15-year expected life, based on historical customer attrition rates. We assigned $7.8 million to developed technology and are amortizing over a 7.5-year expected life.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preliminary estimated fair values of assets acquired and liabilities assumed at the acquisition date: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9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r>
      <w:tr>
        <w:trPr>
          <w:trHeight w:val="22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12,673</w:t>
            </w:r>
          </w:p>
        </w:tc>
      </w:tr>
      <w:tr>
        <w:trPr>
          <w:trHeight w:val="230"/>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19,805</w:t>
            </w:r>
          </w:p>
        </w:tc>
      </w:tr>
      <w:tr>
        <w:trPr>
          <w:trHeight w:val="22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27,701</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79,420</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106,264</w:t>
            </w:r>
          </w:p>
        </w:tc>
      </w:tr>
      <w:tr>
        <w:trPr>
          <w:trHeight w:val="229"/>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3"/>
        </w:trPr>
        <w:tc>
          <w:tcPr>
            <w:tcW w:w="9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270,335</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r>
      <w:tr>
        <w:trPr>
          <w:trHeight w:val="230"/>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30"/>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w:t>
            </w:r>
          </w:p>
        </w:tc>
      </w:tr>
      <w:tr>
        <w:trPr>
          <w:trHeight w:val="223"/>
        </w:trPr>
        <w:tc>
          <w:tcPr>
            <w:tcW w:w="9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28,563</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recorded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241,772</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impact of the acquisition of UW Solutions on our consolidated results of operations for the three and nine-month periods ended on November 30, 2024 was $8.8 million of net sales and $4.2 million net loss, respectively. The net sales and net loss represent approximately four weeks of operating results, transaction and integration-related costs, interest and the net tax effect.</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following supplemental unaudited pro forma information presents our financial results as if the acquisition of UW Solutions had occurred on February 26, 2023. This supplemental pro forma information has been prepared for comparative purposes and would not necessarily indicate what may have occurred if the acquisition had been completed on February 26, 2023, and this information is not intended to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earnings per share data)</w:t>
            </w: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880" w:type="dxa"/>
            <w:vAlign w:val="bottom"/>
            <w:vMerge w:val="continue"/>
          </w:tcPr>
          <w:p>
            <w:pPr>
              <w:spacing w:after="0"/>
              <w:rPr>
                <w:sz w:val="18"/>
                <w:szCs w:val="18"/>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0" w:type="dxa"/>
            <w:vAlign w:val="bottom"/>
          </w:tcPr>
          <w:p>
            <w:pPr>
              <w:spacing w:after="0"/>
              <w:rPr>
                <w:sz w:val="1"/>
                <w:szCs w:val="1"/>
                <w:color w:val="auto"/>
              </w:rPr>
            </w:pPr>
          </w:p>
        </w:tc>
      </w:tr>
      <w:tr>
        <w:trPr>
          <w:trHeight w:val="195"/>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44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359,904</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368,243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1,077,941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1,131,489</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71,890</w:t>
            </w: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4"/>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Nonrecurring charges of $3.7 million of transaction costs, $0.9 million of integration costs, $0.8 million of amortization of acquired backlog, and $0.4 million of inventory step-up expense incurred in the third quarter of fiscal 2025 are reflected as if those charges were incurred in the first quarter of fiscal 2024 supplemental pro forma earnings.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amounts have been calculated after applying our accounting policies and adjusting the results of UW Solutions to reflect the effect of definite-lived intangible assets recognized as part of the business combination on amortization expense as if the acquisition had occurred on February 26,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Restructuring</w:t>
      </w:r>
    </w:p>
    <w:p>
      <w:pPr>
        <w:spacing w:after="0" w:line="25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During the fourth quarter of fiscal 2024, we announced strategic actions to further streamline our business operations, enable a more efficient cost model, and better position the Company for profitable growth (referred to as “Project Fortify”). Project Fortify primarily impacts the Architectural Framing Systems Segment and includes:</w:t>
      </w:r>
    </w:p>
    <w:p>
      <w:pPr>
        <w:spacing w:after="0" w:line="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certain lower-margin product and service offerings, enabling consolidation into a single operating entity.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production operations from the Company’s facility in Walker, Michigan, to the Company’s facilities in Monett, Missouri and Wausau, Wisconsin.</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Simplifying the segment’s brand portfolio and commercial model to improve flexibility, better leverage the Company’s capabilities, and enhance</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 service.</w:t>
      </w:r>
    </w:p>
    <w:p>
      <w:pPr>
        <w:jc w:val="both"/>
        <w:spacing w:after="0" w:line="243" w:lineRule="auto"/>
        <w:rPr>
          <w:sz w:val="20"/>
          <w:szCs w:val="20"/>
          <w:color w:val="auto"/>
        </w:rPr>
      </w:pPr>
      <w:r>
        <w:rPr>
          <w:rFonts w:ascii="Times New Roman" w:cs="Times New Roman" w:eastAsia="Times New Roman" w:hAnsi="Times New Roman"/>
          <w:sz w:val="18"/>
          <w:szCs w:val="18"/>
          <w:color w:val="auto"/>
        </w:rPr>
        <w:t>Additionally, the Company has implemented similar actions to optimize processes and streamline resources in its Architectural Services Segment and Corporate and Other.</w:t>
      </w:r>
    </w:p>
    <w:p>
      <w:pPr>
        <w:spacing w:after="0" w:line="20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third quarter of fiscal 2025, we incurred $0.9 million of pre-tax costs associated with Project Fortify, which included $(0.1) million within cost of sales and $1.0 million included within SG&amp;A expenses. During the first nine-months of fiscal 2025, we incurred $3.2 million of pre-tax costs associated with Project Fortify, of which $1.3 million was included within cost of sales and $1.9 million was included within SG&amp;A expenses. Since announcing Project Fortify, we have incurred $15.6 million of pre-tax costs. The Company now expects these restructuring actions to be substantially complete by the end of the fourth quarter of fiscal 2025 and expects to incur total pre-tax charges of approximately $16.0 million to $17.0 million. Total Project Fortify restructuring charges are expected to include:</w:t>
      </w:r>
    </w:p>
    <w:p>
      <w:pPr>
        <w:spacing w:after="0" w:line="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$7.0 million of severance and employee related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Approximately$1.7 million of contract termination costs;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million to $8.5 million of other expenses.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that these actions will lead to annualized cost savings of $13 million to $14 million.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November 30, 2024</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114"/>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&amp;</w:t>
            </w:r>
          </w:p>
        </w:tc>
        <w:tc>
          <w:tcPr>
            <w:tcW w:w="280" w:type="dxa"/>
            <w:vAlign w:val="bottom"/>
          </w:tcPr>
          <w:p>
            <w:pPr>
              <w:spacing w:after="0"/>
              <w:rPr>
                <w:sz w:val="13"/>
                <w:szCs w:val="13"/>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Framing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 November 30, 2024</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&amp;</w:t>
            </w:r>
          </w:p>
        </w:tc>
        <w:tc>
          <w:tcPr>
            <w:tcW w:w="280" w:type="dxa"/>
            <w:vAlign w:val="bottom"/>
          </w:tcPr>
          <w:p>
            <w:pPr>
              <w:spacing w:after="0"/>
              <w:rPr>
                <w:sz w:val="13"/>
                <w:szCs w:val="13"/>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18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Framing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restructuring related accrual balances included within accrued payroll and related benefits and other current liabilities in the consolidated balance sheets. All remaining accrual balances are expected to be paid within fiscal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Corporate &amp;</w:t>
            </w:r>
          </w:p>
        </w:tc>
        <w:tc>
          <w:tcPr>
            <w:tcW w:w="280" w:type="dxa"/>
            <w:vAlign w:val="bottom"/>
          </w:tcPr>
          <w:p>
            <w:pPr>
              <w:spacing w:after="0"/>
              <w:rPr>
                <w:sz w:val="16"/>
                <w:szCs w:val="16"/>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Framing</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 2024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charges presented in the roll forward of our restructuring accruals do not include items charged directly to expense as incurred, as those items are not reflected in accrued payroll and related benefits and other current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Quarterly Report on Form 10-Q, including the section, Management’s Discussion and Analysis of Financial Condition and Results of Operations, contains certain statements that are considered “forward-looking statements” within the meaning of the Private Securities Litigation Reform Act of 1995. These statements reflect our current views with respect to future events and financial performance. Forward-looking statements generally can be identified by the use of forward-looking terminology such as “may,” “believe,” “expect,” “anticipate,” “intend,” “estimate,” “forecast,” “project,” “should,” “will,” “continue” or similar words or expressions. All forecasts and projections in this document are “forward-looking statements,” and are based on management’s current expectations or beliefs of the Company's near-term results, based on current information available pertaining to the Company.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“Risk Factors” section of our Annual Report on Form 10-K for the year ended March 2, 2024 and in subsequent filings with the U.S. Securities and Exchange Commission, including this Quarterly Report on Form 10-Q.</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have included in this report measures of financial performance that are not defined by U.S. GAAP. We believe that these measures provide useful information and include these measures in other communications to investors. For each of these non-GAAP financial measures, we provide a reconciliation of the differences between the non-GAAP measure and the most directly comparable U.S. GAAP measure (see “Reconciliation of Non-GAAP Financial Measures” in this Item 2 below), and an explanation of why we believe the non-GAAP measure provides useful information to management and investors. These non-GAAP measures should be viewed in addition to, and not in lieu of, the comparable U.S. GAAP measure.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leading provider of architectural products and services for enclosing buildings, and high-performance coating products used in applications for preservation, protection and enhanced viewing. Our four reporting segments are: Architectural Framing Systems, Architectural Glass, Architectural Services and Large-Scale Optical.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enterprise strategy is based on the following three key elements:</w:t>
      </w:r>
    </w:p>
    <w:p>
      <w:pPr>
        <w:spacing w:after="0" w:line="27" w:lineRule="exact"/>
        <w:rPr>
          <w:sz w:val="20"/>
          <w:szCs w:val="20"/>
          <w:color w:val="auto"/>
        </w:rPr>
      </w:pPr>
    </w:p>
    <w:p>
      <w:pPr>
        <w:jc w:val="both"/>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Become the economic leader in our target markets. </w:t>
      </w:r>
      <w:r>
        <w:rPr>
          <w:rFonts w:ascii="Times New Roman" w:cs="Times New Roman" w:eastAsia="Times New Roman" w:hAnsi="Times New Roman"/>
          <w:sz w:val="18"/>
          <w:szCs w:val="18"/>
          <w:color w:val="auto"/>
        </w:rPr>
        <w:t>We are developing a deep understanding of our target markets and aligning our businesses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clear go-to-market strategies to drive value for our customers through differentiated product and service offerings. We are focused on operational execution, driving productivity improvements, and maintaining a competitive cost structure, so that we may bring more value to our customers and improve our own profitability.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Actively manage our portfolio to drive higher margins and returns. </w:t>
      </w:r>
      <w:r>
        <w:rPr>
          <w:rFonts w:ascii="Times New Roman" w:cs="Times New Roman" w:eastAsia="Times New Roman" w:hAnsi="Times New Roman"/>
          <w:sz w:val="18"/>
          <w:szCs w:val="18"/>
          <w:color w:val="auto"/>
        </w:rPr>
        <w:t>We are shifting our business mix toward higher operating margin offerings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to improve our return on invested capital performance. We expect to accomplish this by allocating resources to grow our top performing businesses, actively addressing underperforming businesses, and investing to add new differentiated product and service offerings to accelerate our growth and increase margins.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our core capabilities. </w:t>
      </w:r>
      <w:r>
        <w:rPr>
          <w:rFonts w:ascii="Times New Roman" w:cs="Times New Roman" w:eastAsia="Times New Roman" w:hAnsi="Times New Roman"/>
          <w:sz w:val="18"/>
          <w:szCs w:val="18"/>
          <w:color w:val="auto"/>
        </w:rPr>
        <w:t>We are shifting from our historical, decentralized operating model to one with center-led functional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enables us to leverage the scale of the enterprise to better support the needs of the business. In fiscal 2022, we established a Company-wide operating system with common tools and processes based on the foundation of Lean and Continuous Improvement, which we call the “Apogee Management System.” Our strategy is supported by a robust talent management program and a commitment to strong governance to ensure compliance and drive sustainable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set this strategy by developing a deep knowledge of the markets we serve and by gaining extensive input from customers and industry influencers, along with detailed competitive benchmarking. We continually analyze our portfolio of products, services, and capabilities to identify the best areas for future profitable growth. We also evaluate our operating model to ensure we have the organizational structure and capabilities needed to deliver consistent profitable growth. Through this work, we validate strengths that we can leverage and identify opportunities to improve our performance.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fiscal 2024 and through the third quarter of fiscal 2025, we drove further progress toward our strategic goals and financial targets. We continued the deployment of the Apogee Management System across our business, supporting sustainable cost and productivity improvements. We have invested in inorganic and organic growth initiatives, including the acquisition of UW Interco, LLC (UW Solutions), capacity expansion in the Large-Scale Optical Segment and geographic growth in the Architectural Services Segment. We increased our focus on differentiated products and services, and continued to diversify the mix of architectural projects that we serve while leaning more heavily into higher, value-added products. We also advanced several initiatives to strengthen our core capabilities, driving the standardization of key business processes and systems, and strengthening talent management and leadership development programs.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40"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8"/>
          <w:szCs w:val="18"/>
          <w:color w:val="auto"/>
        </w:rPr>
        <w:t>In the third quarter of fiscal 2025, we acquired UW Solutions. UW Solutions is a U.S. based, vertically integrated manufacturer of high-performance coated substrates, differentiated by its proprietary formulations and coating application processes. The Company serves a broad range of customers in attractive end markets, including building products for distribution centers and manufacturing facilities, as well as premium products for the graphic arts market. See Note 13 for additional information on the terms and conditions of this transaction.</w:t>
      </w:r>
    </w:p>
    <w:p>
      <w:pPr>
        <w:spacing w:after="0" w:line="2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Company’s Form 10-K for the year ended March 2, 2024 and the consolidated financial statements, including the notes to consolidated financial statements, included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various components of operations as year over year U.S. dollar and percentage change, as well as a percentage of net sales.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3"/>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0" w:type="dxa"/>
            <w:vAlign w:val="bottom"/>
          </w:tcPr>
          <w:p>
            <w:pPr>
              <w:spacing w:after="0"/>
              <w:rPr>
                <w:sz w:val="1"/>
                <w:szCs w:val="1"/>
                <w:color w:val="auto"/>
              </w:rPr>
            </w:pPr>
          </w:p>
        </w:tc>
      </w:tr>
      <w:tr>
        <w:trPr>
          <w:trHeight w:val="23"/>
        </w:trPr>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380" w:type="dxa"/>
            <w:vAlign w:val="bottom"/>
            <w:gridSpan w:val="3"/>
          </w:tcPr>
          <w:p>
            <w:pPr>
              <w:spacing w:after="0"/>
              <w:rPr>
                <w:sz w:val="2"/>
                <w:szCs w:val="2"/>
                <w:color w:val="auto"/>
              </w:rPr>
            </w:pPr>
          </w:p>
        </w:tc>
        <w:tc>
          <w:tcPr>
            <w:tcW w:w="1420" w:type="dxa"/>
            <w:vAlign w:val="bottom"/>
            <w:gridSpan w:val="3"/>
          </w:tcPr>
          <w:p>
            <w:pPr>
              <w:spacing w:after="0"/>
              <w:rPr>
                <w:sz w:val="2"/>
                <w:szCs w:val="2"/>
                <w:color w:val="auto"/>
              </w:rPr>
            </w:pPr>
          </w:p>
        </w:tc>
        <w:tc>
          <w:tcPr>
            <w:tcW w:w="156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gridSpan w:val="2"/>
            <w:vMerge w:val="continue"/>
          </w:tcPr>
          <w:p>
            <w:pPr>
              <w:spacing w:after="0"/>
              <w:rPr>
                <w:sz w:val="16"/>
                <w:szCs w:val="16"/>
                <w:color w:val="auto"/>
              </w:rPr>
            </w:pPr>
          </w:p>
        </w:tc>
        <w:tc>
          <w:tcPr>
            <w:tcW w:w="13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00" w:type="dxa"/>
            <w:vAlign w:val="bottom"/>
          </w:tcPr>
          <w:p>
            <w:pPr>
              <w:spacing w:after="0"/>
              <w:rPr>
                <w:sz w:val="16"/>
                <w:szCs w:val="16"/>
                <w:color w:val="auto"/>
              </w:rPr>
            </w:pPr>
          </w:p>
        </w:tc>
        <w:tc>
          <w:tcPr>
            <w:tcW w:w="15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4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0" w:type="dxa"/>
            <w:vAlign w:val="bottom"/>
          </w:tcPr>
          <w:p>
            <w:pPr>
              <w:spacing w:after="0"/>
              <w:rPr>
                <w:sz w:val="1"/>
                <w:szCs w:val="1"/>
                <w:color w:val="auto"/>
              </w:rPr>
            </w:pPr>
          </w:p>
        </w:tc>
      </w:tr>
      <w:tr>
        <w:trPr>
          <w:trHeight w:val="229"/>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341,344</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339,714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252,195</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249,409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60,520</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27,645</w:t>
            </w:r>
          </w:p>
        </w:tc>
        <w:tc>
          <w:tcPr>
            <w:tcW w:w="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35,303</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14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0" w:type="dxa"/>
            <w:vAlign w:val="bottom"/>
            <w:gridSpan w:val="3"/>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0" w:type="dxa"/>
            <w:vAlign w:val="bottom"/>
          </w:tcPr>
          <w:p>
            <w:pPr>
              <w:spacing w:after="0"/>
              <w:rPr>
                <w:sz w:val="1"/>
                <w:szCs w:val="1"/>
                <w:color w:val="auto"/>
              </w:rPr>
            </w:pPr>
          </w:p>
        </w:tc>
      </w:tr>
      <w:tr>
        <w:trPr>
          <w:trHeight w:val="23"/>
        </w:trPr>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380" w:type="dxa"/>
            <w:vAlign w:val="bottom"/>
            <w:gridSpan w:val="3"/>
          </w:tcPr>
          <w:p>
            <w:pPr>
              <w:spacing w:after="0"/>
              <w:rPr>
                <w:sz w:val="2"/>
                <w:szCs w:val="2"/>
                <w:color w:val="auto"/>
              </w:rPr>
            </w:pPr>
          </w:p>
        </w:tc>
        <w:tc>
          <w:tcPr>
            <w:tcW w:w="1420" w:type="dxa"/>
            <w:vAlign w:val="bottom"/>
            <w:gridSpan w:val="3"/>
          </w:tcPr>
          <w:p>
            <w:pPr>
              <w:spacing w:after="0"/>
              <w:rPr>
                <w:sz w:val="2"/>
                <w:szCs w:val="2"/>
                <w:color w:val="auto"/>
              </w:rPr>
            </w:pPr>
          </w:p>
        </w:tc>
        <w:tc>
          <w:tcPr>
            <w:tcW w:w="156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gridSpan w:val="2"/>
            <w:vMerge w:val="continue"/>
          </w:tcPr>
          <w:p>
            <w:pPr>
              <w:spacing w:after="0"/>
              <w:rPr>
                <w:sz w:val="16"/>
                <w:szCs w:val="16"/>
                <w:color w:val="auto"/>
              </w:rPr>
            </w:pPr>
          </w:p>
        </w:tc>
        <w:tc>
          <w:tcPr>
            <w:tcW w:w="13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00" w:type="dxa"/>
            <w:vAlign w:val="bottom"/>
          </w:tcPr>
          <w:p>
            <w:pPr>
              <w:spacing w:after="0"/>
              <w:rPr>
                <w:sz w:val="16"/>
                <w:szCs w:val="16"/>
                <w:color w:val="auto"/>
              </w:rPr>
            </w:pPr>
          </w:p>
        </w:tc>
        <w:tc>
          <w:tcPr>
            <w:tcW w:w="15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4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0" w:type="dxa"/>
            <w:vAlign w:val="bottom"/>
          </w:tcPr>
          <w:p>
            <w:pPr>
              <w:spacing w:after="0"/>
              <w:rPr>
                <w:sz w:val="1"/>
                <w:szCs w:val="1"/>
                <w:color w:val="auto"/>
              </w:rPr>
            </w:pPr>
          </w:p>
        </w:tc>
      </w:tr>
      <w:tr>
        <w:trPr>
          <w:trHeight w:val="229"/>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1,015,300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1,055,102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729,975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776,440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278,662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173,350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166,695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0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109,834</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109,969</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4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82,566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83,877</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2025 to Third Quarter Fiscal 2024</w:t>
      </w:r>
    </w:p>
    <w:p>
      <w:pPr>
        <w:spacing w:after="0" w:line="18" w:lineRule="exact"/>
        <w:rPr>
          <w:sz w:val="20"/>
          <w:szCs w:val="20"/>
          <w:color w:val="auto"/>
        </w:rPr>
      </w:pPr>
    </w:p>
    <w:p>
      <w:pPr>
        <w:jc w:val="both"/>
        <w:ind w:left="660" w:hanging="328"/>
        <w:spacing w:after="0" w:line="230" w:lineRule="auto"/>
        <w:tabs>
          <w:tab w:leader="none" w:pos="653"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Consolidated net sales increased 0.5%, to $341.3 million, driven by $8.8 million of inorganic sales contribution from the acquisition of UW Solutions and a more favorable mix of projects in Architectural Services, partially offset by less favorable mix in Architectural Framing Systems and lower volume in Architectural Glass.</w:t>
      </w:r>
    </w:p>
    <w:p>
      <w:pPr>
        <w:spacing w:after="0" w:line="213" w:lineRule="exact"/>
        <w:rPr>
          <w:rFonts w:ascii="Calibri" w:cs="Calibri" w:eastAsia="Calibri" w:hAnsi="Calibri"/>
          <w:sz w:val="20"/>
          <w:szCs w:val="20"/>
          <w:b w:val="1"/>
          <w:bCs w:val="1"/>
          <w:color w:val="auto"/>
        </w:rPr>
      </w:pPr>
    </w:p>
    <w:p>
      <w:pPr>
        <w:jc w:val="both"/>
        <w:ind w:left="660" w:hanging="328"/>
        <w:spacing w:after="0" w:line="238" w:lineRule="auto"/>
        <w:tabs>
          <w:tab w:leader="none" w:pos="653"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Gross margin decreased to 26.1%, compared to 26.6%, primarily driven by the unfavorable sales leverage impact of lower volume, a less favorable product mix in the Architectural Framing Systems Segment, and higher incentive compensation and lease expenses, partially offset by a more favorable mix of projects in Architectural Services Segment, and lower quality and insurance-related costs.</w:t>
      </w:r>
    </w:p>
    <w:p>
      <w:pPr>
        <w:spacing w:after="0" w:line="211" w:lineRule="exact"/>
        <w:rPr>
          <w:rFonts w:ascii="Calibri" w:cs="Calibri" w:eastAsia="Calibri" w:hAnsi="Calibri"/>
          <w:sz w:val="20"/>
          <w:szCs w:val="20"/>
          <w:b w:val="1"/>
          <w:bCs w:val="1"/>
          <w:color w:val="auto"/>
        </w:rPr>
      </w:pPr>
    </w:p>
    <w:p>
      <w:pPr>
        <w:jc w:val="both"/>
        <w:ind w:left="660" w:hanging="328"/>
        <w:spacing w:after="0" w:line="244" w:lineRule="auto"/>
        <w:tabs>
          <w:tab w:leader="none" w:pos="653"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SG&amp;A expenses increased $7.9 million to 17.7% of net sales, compared to 15.5% of net sales. The increase in SG&amp;A as a percentage of net sales was primarily due to acquisition-related expenses associated with the UW Solutions acquisition, restructuring expense related to Project Fortify, and the unfavorable sales leverage impact of lower volume.</w:t>
      </w:r>
    </w:p>
    <w:p>
      <w:pPr>
        <w:spacing w:after="0" w:line="194" w:lineRule="exact"/>
        <w:rPr>
          <w:rFonts w:ascii="Calibri" w:cs="Calibri" w:eastAsia="Calibri" w:hAnsi="Calibri"/>
          <w:sz w:val="20"/>
          <w:szCs w:val="20"/>
          <w:b w:val="1"/>
          <w:bCs w:val="1"/>
          <w:color w:val="auto"/>
        </w:rPr>
      </w:pPr>
    </w:p>
    <w:p>
      <w:pPr>
        <w:jc w:val="both"/>
        <w:ind w:left="660" w:hanging="328"/>
        <w:spacing w:after="0" w:line="239" w:lineRule="auto"/>
        <w:tabs>
          <w:tab w:leader="none" w:pos="653"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declined to $28.6 million from $37.6 million, and operating margin decreased 270 basis points to 8.4%. The lower operating margin was primarily driven by acquisition-related expenses associated with the UW Solutions transaction, unfavorable sales leverage impact on lower volume, less favorable product mix, higher incentive compensation, higher lease expense, and $0.9 million of restructuring costs related to Project Fortify, partially offset by a more favorable mix of projects in Architectural Services and lower insurance-related costs. Adjusted operating income was lower by 5.9% to $35.4 million, and adjusted operating margin was reduced to 10.4%.</w:t>
      </w:r>
    </w:p>
    <w:p>
      <w:pPr>
        <w:spacing w:after="0" w:line="205" w:lineRule="exact"/>
        <w:rPr>
          <w:rFonts w:ascii="Calibri" w:cs="Calibri" w:eastAsia="Calibri" w:hAnsi="Calibri"/>
          <w:sz w:val="20"/>
          <w:szCs w:val="20"/>
          <w:b w:val="1"/>
          <w:bCs w:val="1"/>
          <w:color w:val="auto"/>
        </w:rPr>
      </w:pPr>
    </w:p>
    <w:p>
      <w:pPr>
        <w:ind w:left="640" w:hanging="308"/>
        <w:spacing w:after="0"/>
        <w:tabs>
          <w:tab w:leader="none" w:pos="640"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Interest expense, net declined to $1.0 million, primarily driven by lower weighted-average interest rates and higher interest income.</w:t>
      </w:r>
    </w:p>
    <w:p>
      <w:pPr>
        <w:spacing w:after="0" w:line="224" w:lineRule="exact"/>
        <w:rPr>
          <w:rFonts w:ascii="Calibri" w:cs="Calibri" w:eastAsia="Calibri" w:hAnsi="Calibri"/>
          <w:sz w:val="20"/>
          <w:szCs w:val="20"/>
          <w:b w:val="1"/>
          <w:bCs w:val="1"/>
          <w:color w:val="auto"/>
        </w:rPr>
      </w:pPr>
    </w:p>
    <w:p>
      <w:pPr>
        <w:ind w:left="660" w:hanging="328"/>
        <w:spacing w:after="0" w:line="239" w:lineRule="auto"/>
        <w:tabs>
          <w:tab w:leader="none" w:pos="653"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Other income was $0.1 million compared to expense of $0.9 million. The change was driven by an increase in value of company-owned life insurance assets.</w:t>
      </w:r>
    </w:p>
    <w:p>
      <w:pPr>
        <w:spacing w:after="0" w:line="212" w:lineRule="exact"/>
        <w:rPr>
          <w:rFonts w:ascii="Calibri" w:cs="Calibri" w:eastAsia="Calibri" w:hAnsi="Calibri"/>
          <w:sz w:val="20"/>
          <w:szCs w:val="20"/>
          <w:b w:val="1"/>
          <w:bCs w:val="1"/>
          <w:color w:val="auto"/>
        </w:rPr>
      </w:pPr>
    </w:p>
    <w:p>
      <w:pPr>
        <w:ind w:left="660" w:hanging="328"/>
        <w:spacing w:after="0" w:line="254" w:lineRule="auto"/>
        <w:tabs>
          <w:tab w:leader="none" w:pos="653"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Income tax expense as a percentage of earnings before income tax was 24.1%, compared to 23.6% for the same period last year. The increase in the effective tax rate was primarily due to an increase in tax expense for discrete items.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2025 to First Nine Months of Fiscal 2024</w:t>
      </w:r>
    </w:p>
    <w:p>
      <w:pPr>
        <w:spacing w:after="0" w:line="241" w:lineRule="exact"/>
        <w:rPr>
          <w:sz w:val="20"/>
          <w:szCs w:val="20"/>
          <w:color w:val="auto"/>
        </w:rPr>
      </w:pPr>
    </w:p>
    <w:p>
      <w:pPr>
        <w:ind w:left="660" w:hanging="328"/>
        <w:spacing w:after="0" w:line="239" w:lineRule="auto"/>
        <w:tabs>
          <w:tab w:leader="none" w:pos="653" w:val="left"/>
        </w:tabs>
        <w:numPr>
          <w:ilvl w:val="0"/>
          <w:numId w:val="18"/>
        </w:numPr>
        <w:rPr>
          <w:rFonts w:ascii="Calibri" w:cs="Calibri" w:eastAsia="Calibri" w:hAnsi="Calibri"/>
          <w:sz w:val="20"/>
          <w:szCs w:val="20"/>
          <w:b w:val="1"/>
          <w:bCs w:val="1"/>
          <w:i w:val="1"/>
          <w:iCs w:val="1"/>
          <w:color w:val="auto"/>
        </w:rPr>
      </w:pPr>
      <w:r>
        <w:rPr>
          <w:rFonts w:ascii="Times New Roman" w:cs="Times New Roman" w:eastAsia="Times New Roman" w:hAnsi="Times New Roman"/>
          <w:sz w:val="18"/>
          <w:szCs w:val="18"/>
          <w:color w:val="auto"/>
        </w:rPr>
        <w:t>Consolidated net sales decreased 3.8%, to $1,015.3 million, primarily driven by lower volume and mix, partially offset by a more favorable mix of projects in Architectural Services, improved pricing, and the $8.8 million inorganic sales contribution from the acquisition of UW Solutions.</w:t>
      </w:r>
    </w:p>
    <w:p>
      <w:pPr>
        <w:spacing w:after="0" w:line="212" w:lineRule="exact"/>
        <w:rPr>
          <w:rFonts w:ascii="Calibri" w:cs="Calibri" w:eastAsia="Calibri" w:hAnsi="Calibri"/>
          <w:sz w:val="20"/>
          <w:szCs w:val="20"/>
          <w:b w:val="1"/>
          <w:bCs w:val="1"/>
          <w:i w:val="1"/>
          <w:iCs w:val="1"/>
          <w:color w:val="auto"/>
        </w:rPr>
      </w:pPr>
    </w:p>
    <w:p>
      <w:pPr>
        <w:ind w:left="660" w:hanging="328"/>
        <w:spacing w:after="0" w:line="239" w:lineRule="auto"/>
        <w:tabs>
          <w:tab w:leader="none" w:pos="653" w:val="left"/>
        </w:tabs>
        <w:numPr>
          <w:ilvl w:val="0"/>
          <w:numId w:val="18"/>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Gross margin increased to 28.1%, compared to 26.4%, primarily driven by improved pricing and a more favorable mix of projects in Architectural Services, favorable material costs, and lower quality and insurance-related costs, partially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offset by the unfavorable sales leverage impact of lower volume, higher incentive compensation expense, higher lease costs, and $1.3 million of restructuring costs associated with Project Fortify.</w:t>
      </w:r>
    </w:p>
    <w:p>
      <w:pPr>
        <w:spacing w:after="0" w:line="189" w:lineRule="exact"/>
        <w:rPr>
          <w:sz w:val="20"/>
          <w:szCs w:val="20"/>
          <w:color w:val="auto"/>
        </w:rPr>
      </w:pPr>
    </w:p>
    <w:p>
      <w:pPr>
        <w:jc w:val="both"/>
        <w:ind w:left="660" w:hanging="328"/>
        <w:spacing w:after="0" w:line="238" w:lineRule="auto"/>
        <w:tabs>
          <w:tab w:leader="none" w:pos="653" w:val="left"/>
        </w:tabs>
        <w:numPr>
          <w:ilvl w:val="0"/>
          <w:numId w:val="19"/>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SG&amp;A expenses increased $6.7 million to 17.1% of net sales, compared to 15.8% of net sales. The increase in SG&amp;A as a percentage of net sales was primarily due to the impact of acquisition-related expenses, and the unfavorable sales leverage impact of lower volume, partially offset by lower bad debt expense.</w:t>
      </w:r>
    </w:p>
    <w:p>
      <w:pPr>
        <w:spacing w:after="0" w:line="211" w:lineRule="exact"/>
        <w:rPr>
          <w:rFonts w:ascii="Calibri" w:cs="Calibri" w:eastAsia="Calibri" w:hAnsi="Calibri"/>
          <w:sz w:val="20"/>
          <w:szCs w:val="20"/>
          <w:b w:val="1"/>
          <w:bCs w:val="1"/>
          <w:color w:val="auto"/>
        </w:rPr>
      </w:pPr>
    </w:p>
    <w:p>
      <w:pPr>
        <w:jc w:val="both"/>
        <w:ind w:left="660" w:hanging="328"/>
        <w:spacing w:after="0" w:line="236" w:lineRule="auto"/>
        <w:tabs>
          <w:tab w:leader="none" w:pos="653" w:val="left"/>
        </w:tabs>
        <w:numPr>
          <w:ilvl w:val="0"/>
          <w:numId w:val="19"/>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$112.0 million and operating margin increased 40 basis points to 11.0%. The improvement in operating margin was primarily driven by improved pricing, a more favorable mix of projects in Architectural Services, favorable material costs, lower insurance-related costs, and lower bad debt expense, partially offset by the unfavorable sales leverage impact of lower volume, acquisition-related expenses, and $3.2 million of restructuring costs related to Project Fortify. Adjusted operating income grew 8.1% to $121.1 million, and adjusted operating margin improved to 11.9%.</w:t>
      </w:r>
    </w:p>
    <w:p>
      <w:pPr>
        <w:spacing w:after="0" w:line="214" w:lineRule="exact"/>
        <w:rPr>
          <w:rFonts w:ascii="Calibri" w:cs="Calibri" w:eastAsia="Calibri" w:hAnsi="Calibri"/>
          <w:sz w:val="20"/>
          <w:szCs w:val="20"/>
          <w:b w:val="1"/>
          <w:bCs w:val="1"/>
          <w:color w:val="auto"/>
        </w:rPr>
      </w:pPr>
    </w:p>
    <w:p>
      <w:pPr>
        <w:jc w:val="both"/>
        <w:ind w:left="660" w:hanging="328"/>
        <w:spacing w:after="0" w:line="244" w:lineRule="auto"/>
        <w:tabs>
          <w:tab w:leader="none" w:pos="653" w:val="left"/>
        </w:tabs>
        <w:numPr>
          <w:ilvl w:val="0"/>
          <w:numId w:val="19"/>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Interest expense, net was $2.6 million, compared to $5.7 million, primarily driven by lower average debt levels and increased interest income from higher invested cash over the periods, partially offset by the impact of the write-off of unamortized financing fees related to our previous credit facility.</w:t>
      </w:r>
    </w:p>
    <w:p>
      <w:pPr>
        <w:spacing w:after="0" w:line="194" w:lineRule="exact"/>
        <w:rPr>
          <w:rFonts w:ascii="Calibri" w:cs="Calibri" w:eastAsia="Calibri" w:hAnsi="Calibri"/>
          <w:sz w:val="20"/>
          <w:szCs w:val="20"/>
          <w:b w:val="1"/>
          <w:bCs w:val="1"/>
          <w:color w:val="auto"/>
        </w:rPr>
      </w:pPr>
    </w:p>
    <w:p>
      <w:pPr>
        <w:ind w:left="660" w:right="20" w:hanging="328"/>
        <w:spacing w:after="0" w:line="254" w:lineRule="auto"/>
        <w:tabs>
          <w:tab w:leader="none" w:pos="653" w:val="left"/>
        </w:tabs>
        <w:numPr>
          <w:ilvl w:val="0"/>
          <w:numId w:val="19"/>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Other income was $0.5 million compared to $3.7 million. The higher amount of income in the prior year period was primarily due to $4.7 million of New Market Tax Credit income recognized in the prior year period.</w:t>
      </w:r>
    </w:p>
    <w:p>
      <w:pPr>
        <w:spacing w:after="0" w:line="197" w:lineRule="exact"/>
        <w:rPr>
          <w:rFonts w:ascii="Calibri" w:cs="Calibri" w:eastAsia="Calibri" w:hAnsi="Calibri"/>
          <w:sz w:val="20"/>
          <w:szCs w:val="20"/>
          <w:b w:val="1"/>
          <w:bCs w:val="1"/>
          <w:color w:val="auto"/>
        </w:rPr>
      </w:pPr>
    </w:p>
    <w:p>
      <w:pPr>
        <w:ind w:left="660" w:hanging="328"/>
        <w:spacing w:after="0" w:line="239" w:lineRule="auto"/>
        <w:tabs>
          <w:tab w:leader="none" w:pos="653" w:val="left"/>
        </w:tabs>
        <w:numPr>
          <w:ilvl w:val="0"/>
          <w:numId w:val="19"/>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Income tax expense as a percentage of earnings before income tax was 24.8%, compared to 23.7% for the same period last year. The increase in the effective tax rate was primarily due to an increase in tax expense for discrete items.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operating income (loss) and operating margin by segment and consolidated total.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8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sales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138,039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139,585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412,561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462,548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70,236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90,964</w:t>
            </w:r>
          </w:p>
        </w:tc>
        <w:tc>
          <w:tcPr>
            <w:tcW w:w="11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247,040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282,262</w:t>
            </w:r>
          </w:p>
        </w:tc>
        <w:tc>
          <w:tcPr>
            <w:tcW w:w="11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2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104,921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94,662</w:t>
            </w: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301,966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272,144</w:t>
            </w: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33,196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26,009</w:t>
            </w:r>
          </w:p>
        </w:tc>
        <w:tc>
          <w:tcPr>
            <w:tcW w:w="11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74,232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72,110</w:t>
            </w:r>
          </w:p>
        </w:tc>
        <w:tc>
          <w:tcPr>
            <w:tcW w:w="11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(5,048)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(11,506)</w:t>
            </w:r>
          </w:p>
        </w:tc>
        <w:tc>
          <w:tcPr>
            <w:tcW w:w="1140" w:type="dxa"/>
            <w:vAlign w:val="bottom"/>
            <w:tcBorders>
              <w:bottom w:val="single" w:sz="8" w:color="CCEEFF"/>
            </w:tcBorders>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(20,499)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(33,962)</w:t>
            </w:r>
          </w:p>
        </w:tc>
        <w:tc>
          <w:tcPr>
            <w:tcW w:w="1140" w:type="dxa"/>
            <w:vAlign w:val="bottom"/>
            <w:tcBorders>
              <w:bottom w:val="single" w:sz="8" w:color="CCEEFF"/>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341,344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339,714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1,015,300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1,055,102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12,710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16,981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48,187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57,986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2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10,118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15,164</w:t>
            </w: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48,277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49,119</w:t>
            </w:r>
          </w:p>
        </w:tc>
        <w:tc>
          <w:tcPr>
            <w:tcW w:w="11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9,730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5,288</w:t>
            </w:r>
          </w:p>
        </w:tc>
        <w:tc>
          <w:tcPr>
            <w:tcW w:w="11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21,483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8,211</w:t>
            </w:r>
          </w:p>
        </w:tc>
        <w:tc>
          <w:tcPr>
            <w:tcW w:w="11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30"/>
        </w:trPr>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2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7,100</w:t>
            </w: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13,481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17,288</w:t>
            </w:r>
          </w:p>
        </w:tc>
        <w:tc>
          <w:tcPr>
            <w:tcW w:w="11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(8,771)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(6,886)</w:t>
            </w:r>
          </w:p>
        </w:tc>
        <w:tc>
          <w:tcPr>
            <w:tcW w:w="11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(19,453)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(20,637)</w:t>
            </w:r>
          </w:p>
        </w:tc>
        <w:tc>
          <w:tcPr>
            <w:tcW w:w="11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2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28,629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37,647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111,975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111,967</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margin</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2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9"/>
                <w:szCs w:val="19"/>
                <w:color w:val="auto"/>
              </w:rPr>
            </w:pPr>
          </w:p>
        </w:tc>
        <w:tc>
          <w:tcPr>
            <w:tcW w:w="1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19"/>
                <w:szCs w:val="19"/>
                <w:color w:val="auto"/>
              </w:rPr>
            </w:pP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N/M Indicates calculation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net sales is defined as net sales for a certain segment and includes revenue related to intersegment transactions. We report net sales intersegment eliminations separately to exclude these sales from our consolidated total. Segment operating income is equal to net sales, less cost of goods sold, SG&amp;A, and any asset impairment charges associated with the segment. Segment operating income includes operating income related to intersegment sales transactions and excludes certain corporate costs that are not allocated at a segment level. We report these unallocated corporate costs in Corporate and Other. Operating income does not include other income or expense, interest expense or income tax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Framing Systems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2025 to Third Quarter Fiscal 2024</w:t>
      </w:r>
    </w:p>
    <w:p>
      <w:pPr>
        <w:ind w:left="640" w:hanging="308"/>
        <w:spacing w:after="0" w:line="221" w:lineRule="auto"/>
        <w:tabs>
          <w:tab w:leader="none" w:pos="640" w:val="left"/>
        </w:tabs>
        <w:numPr>
          <w:ilvl w:val="0"/>
          <w:numId w:val="20"/>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sales were $138.0 million, compared to $139.6 million, primarily reflecting a less favorable product mix, partially offset by increased volume.</w:t>
      </w:r>
    </w:p>
    <w:p>
      <w:pPr>
        <w:spacing w:after="0" w:line="251" w:lineRule="exact"/>
        <w:rPr>
          <w:rFonts w:ascii="Calibri" w:cs="Calibri" w:eastAsia="Calibri" w:hAnsi="Calibri"/>
          <w:sz w:val="20"/>
          <w:szCs w:val="20"/>
          <w:b w:val="1"/>
          <w:bCs w:val="1"/>
          <w:color w:val="auto"/>
        </w:rPr>
      </w:pPr>
    </w:p>
    <w:p>
      <w:pPr>
        <w:jc w:val="both"/>
        <w:ind w:left="660" w:hanging="328"/>
        <w:spacing w:after="0" w:line="238" w:lineRule="auto"/>
        <w:tabs>
          <w:tab w:leader="none" w:pos="653" w:val="left"/>
        </w:tabs>
        <w:numPr>
          <w:ilvl w:val="0"/>
          <w:numId w:val="20"/>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$12.7 million, or 9.2% of net sales, compared to $17.0 million, or 12.2% of net sales. The decline in operating margin was primarily driven by the less favorable product mix as well as higher freight and compensation expenses and $0.8 million of restructuring charges related to Project Fortify. Adjusted operating income was $13.6 million, or 9.8% of net sales, compared to $17.0 million, or 12.2% of net sales.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2025 to First Nine Months of Fiscal 2024</w:t>
      </w:r>
    </w:p>
    <w:p>
      <w:pPr>
        <w:spacing w:after="0" w:line="29" w:lineRule="exact"/>
        <w:rPr>
          <w:sz w:val="20"/>
          <w:szCs w:val="20"/>
          <w:color w:val="auto"/>
        </w:rPr>
      </w:pPr>
    </w:p>
    <w:p>
      <w:pPr>
        <w:ind w:left="660" w:hanging="328"/>
        <w:spacing w:after="0" w:line="237" w:lineRule="auto"/>
        <w:tabs>
          <w:tab w:leader="none" w:pos="653" w:val="left"/>
        </w:tabs>
        <w:numPr>
          <w:ilvl w:val="0"/>
          <w:numId w:val="21"/>
        </w:numPr>
        <w:rPr>
          <w:rFonts w:ascii="Calibri" w:cs="Calibri" w:eastAsia="Calibri" w:hAnsi="Calibri"/>
          <w:sz w:val="20"/>
          <w:szCs w:val="20"/>
          <w:b w:val="1"/>
          <w:bCs w:val="1"/>
          <w:i w:val="1"/>
          <w:iCs w:val="1"/>
          <w:color w:val="auto"/>
        </w:rPr>
      </w:pPr>
      <w:r>
        <w:rPr>
          <w:rFonts w:ascii="Times New Roman" w:cs="Times New Roman" w:eastAsia="Times New Roman" w:hAnsi="Times New Roman"/>
          <w:sz w:val="18"/>
          <w:szCs w:val="18"/>
          <w:color w:val="auto"/>
        </w:rPr>
        <w:t>Net sales were $412.6 million, compared to $462.5 million, primarily reflecting reduced volume due to exiting certain lower-margin product lines as part of Project Fortify and lower end market demand as well as a less favorable product mix.</w:t>
      </w:r>
    </w:p>
    <w:p>
      <w:pPr>
        <w:spacing w:after="0" w:line="238" w:lineRule="exact"/>
        <w:rPr>
          <w:rFonts w:ascii="Calibri" w:cs="Calibri" w:eastAsia="Calibri" w:hAnsi="Calibri"/>
          <w:sz w:val="20"/>
          <w:szCs w:val="20"/>
          <w:b w:val="1"/>
          <w:bCs w:val="1"/>
          <w:i w:val="1"/>
          <w:iCs w:val="1"/>
          <w:color w:val="auto"/>
        </w:rPr>
      </w:pPr>
    </w:p>
    <w:p>
      <w:pPr>
        <w:ind w:left="660" w:right="40" w:hanging="328"/>
        <w:spacing w:after="0" w:line="256" w:lineRule="auto"/>
        <w:tabs>
          <w:tab w:leader="none" w:pos="653" w:val="left"/>
        </w:tabs>
        <w:numPr>
          <w:ilvl w:val="0"/>
          <w:numId w:val="21"/>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$48.2 million, or 11.7% of net sales, compared to $58.0 million, or 12.5% of net sales. The decline in operating margin was primarily driven by the unfavorable sales leverage impact of lower volume, higher compensation costs, and $2.8 million of restructuring charges as part of Project Fortify, partially offset by favorable material costs and lower bad debt expense. Adjusted operating income was $50.9 million, or 12.3% of net sales, compared to $58.0 million, or 12.5% of net sales.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2025 to Third Quarter Fiscal 2024</w:t>
      </w:r>
    </w:p>
    <w:p>
      <w:pPr>
        <w:ind w:left="640" w:hanging="308"/>
        <w:spacing w:after="0" w:line="221" w:lineRule="auto"/>
        <w:tabs>
          <w:tab w:leader="none" w:pos="640" w:val="left"/>
        </w:tabs>
        <w:numPr>
          <w:ilvl w:val="0"/>
          <w:numId w:val="22"/>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sales were $70.2 million, compared to $91.0 million, primarily reflecting reduced volume due to lower end-market demand.</w:t>
      </w:r>
    </w:p>
    <w:p>
      <w:pPr>
        <w:spacing w:after="0" w:line="251" w:lineRule="exact"/>
        <w:rPr>
          <w:rFonts w:ascii="Calibri" w:cs="Calibri" w:eastAsia="Calibri" w:hAnsi="Calibri"/>
          <w:sz w:val="20"/>
          <w:szCs w:val="20"/>
          <w:b w:val="1"/>
          <w:bCs w:val="1"/>
          <w:color w:val="auto"/>
        </w:rPr>
      </w:pPr>
    </w:p>
    <w:p>
      <w:pPr>
        <w:jc w:val="both"/>
        <w:ind w:left="660" w:hanging="328"/>
        <w:spacing w:after="0" w:line="238" w:lineRule="auto"/>
        <w:tabs>
          <w:tab w:leader="none" w:pos="653" w:val="left"/>
        </w:tabs>
        <w:numPr>
          <w:ilvl w:val="0"/>
          <w:numId w:val="22"/>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decreased to $10.1 million, or 14.4% of net sales, compared to $15.2 million, or 16.7% of net sales. The lower operating margin was primarily driven by unfavorable sales leverage impact of lower volume partially offset by improved productivity, favorable freight costs, and lower quality-related expense.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2025 to First Nine Months of Fiscal 2024</w:t>
      </w:r>
    </w:p>
    <w:p>
      <w:pPr>
        <w:spacing w:after="0" w:line="18" w:lineRule="exact"/>
        <w:rPr>
          <w:sz w:val="20"/>
          <w:szCs w:val="20"/>
          <w:color w:val="auto"/>
        </w:rPr>
      </w:pPr>
    </w:p>
    <w:p>
      <w:pPr>
        <w:ind w:left="660" w:right="20" w:hanging="328"/>
        <w:spacing w:after="0" w:line="228" w:lineRule="auto"/>
        <w:tabs>
          <w:tab w:leader="none" w:pos="653" w:val="left"/>
        </w:tabs>
        <w:numPr>
          <w:ilvl w:val="0"/>
          <w:numId w:val="23"/>
        </w:numPr>
        <w:rPr>
          <w:rFonts w:ascii="Calibri" w:cs="Calibri" w:eastAsia="Calibri" w:hAnsi="Calibri"/>
          <w:sz w:val="20"/>
          <w:szCs w:val="20"/>
          <w:b w:val="1"/>
          <w:bCs w:val="1"/>
          <w:i w:val="1"/>
          <w:iCs w:val="1"/>
          <w:color w:val="auto"/>
        </w:rPr>
      </w:pPr>
      <w:r>
        <w:rPr>
          <w:rFonts w:ascii="Times New Roman" w:cs="Times New Roman" w:eastAsia="Times New Roman" w:hAnsi="Times New Roman"/>
          <w:sz w:val="18"/>
          <w:szCs w:val="18"/>
          <w:color w:val="auto"/>
        </w:rPr>
        <w:t>Net sales were $247.0 million, compared to $282.3 million, reflecting lower volume due to lower end-market demand, partially offset by improved pricing.</w:t>
      </w:r>
    </w:p>
    <w:p>
      <w:pPr>
        <w:spacing w:after="0" w:line="226" w:lineRule="exact"/>
        <w:rPr>
          <w:rFonts w:ascii="Calibri" w:cs="Calibri" w:eastAsia="Calibri" w:hAnsi="Calibri"/>
          <w:sz w:val="20"/>
          <w:szCs w:val="20"/>
          <w:b w:val="1"/>
          <w:bCs w:val="1"/>
          <w:i w:val="1"/>
          <w:iCs w:val="1"/>
          <w:color w:val="auto"/>
        </w:rPr>
      </w:pPr>
    </w:p>
    <w:p>
      <w:pPr>
        <w:jc w:val="both"/>
        <w:ind w:left="660" w:hanging="328"/>
        <w:spacing w:after="0" w:line="244" w:lineRule="auto"/>
        <w:tabs>
          <w:tab w:leader="none" w:pos="653" w:val="left"/>
        </w:tabs>
        <w:numPr>
          <w:ilvl w:val="0"/>
          <w:numId w:val="23"/>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decreased to $48.3 million, or 19.5% of net sales, compared to $49.1 million, or 17.4% of net sales. The improvement in operating margin was primarily driven by improved pricing, improved productivity, and lower quality-related costs, partially offset by the unfavorable sales leverage impact of lower volume.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2025 to Third Quarter Fiscal 2024</w:t>
      </w:r>
    </w:p>
    <w:p>
      <w:pPr>
        <w:ind w:left="640" w:hanging="308"/>
        <w:spacing w:after="0" w:line="210" w:lineRule="auto"/>
        <w:tabs>
          <w:tab w:leader="none" w:pos="640" w:val="left"/>
        </w:tabs>
        <w:numPr>
          <w:ilvl w:val="0"/>
          <w:numId w:val="24"/>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sales were $104.9 million, compared to $94.7 million, primarily due to a more favorable mix of projects and increased volume.</w:t>
      </w:r>
    </w:p>
    <w:p>
      <w:pPr>
        <w:spacing w:after="0" w:line="225" w:lineRule="exact"/>
        <w:rPr>
          <w:rFonts w:ascii="Calibri" w:cs="Calibri" w:eastAsia="Calibri" w:hAnsi="Calibri"/>
          <w:sz w:val="20"/>
          <w:szCs w:val="20"/>
          <w:b w:val="1"/>
          <w:bCs w:val="1"/>
          <w:color w:val="auto"/>
        </w:rPr>
      </w:pPr>
    </w:p>
    <w:p>
      <w:pPr>
        <w:jc w:val="both"/>
        <w:ind w:left="660" w:right="20" w:hanging="328"/>
        <w:spacing w:after="0" w:line="254" w:lineRule="auto"/>
        <w:tabs>
          <w:tab w:leader="none" w:pos="653" w:val="left"/>
        </w:tabs>
        <w:numPr>
          <w:ilvl w:val="0"/>
          <w:numId w:val="24"/>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increased to $9.7 million, or 9.3% of net sales, compared to $5.3 million, or 5.6% of net sales. The improvement in operating margin was primarily driven by a more favorable mix of projects partially offset by higher incentive compensation expense and higher lease costs.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2025 to First Nine Months of Fiscal 2024</w:t>
      </w:r>
    </w:p>
    <w:p>
      <w:pPr>
        <w:spacing w:after="0" w:line="18" w:lineRule="exact"/>
        <w:rPr>
          <w:sz w:val="20"/>
          <w:szCs w:val="20"/>
          <w:color w:val="auto"/>
        </w:rPr>
      </w:pPr>
    </w:p>
    <w:p>
      <w:pPr>
        <w:ind w:left="5540" w:right="1220" w:hanging="5208"/>
        <w:spacing w:after="0" w:line="873" w:lineRule="auto"/>
        <w:tabs>
          <w:tab w:leader="none" w:pos="655" w:val="left"/>
        </w:tabs>
        <w:numPr>
          <w:ilvl w:val="0"/>
          <w:numId w:val="25"/>
        </w:numPr>
        <w:rPr>
          <w:rFonts w:ascii="Calibri" w:cs="Calibri" w:eastAsia="Calibri" w:hAnsi="Calibri"/>
          <w:sz w:val="20"/>
          <w:szCs w:val="20"/>
          <w:b w:val="1"/>
          <w:bCs w:val="1"/>
          <w:i w:val="1"/>
          <w:iCs w:val="1"/>
          <w:color w:val="auto"/>
        </w:rPr>
      </w:pPr>
      <w:r>
        <w:rPr>
          <w:rFonts w:ascii="Times New Roman" w:cs="Times New Roman" w:eastAsia="Times New Roman" w:hAnsi="Times New Roman"/>
          <w:sz w:val="18"/>
          <w:szCs w:val="18"/>
          <w:color w:val="auto"/>
        </w:rPr>
        <w:t>Net sales were $302.0 million, compared to $272.1 million, primarily due increased volume and a more favorable mix of projects.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660" w:hanging="328"/>
        <w:spacing w:after="0" w:line="268" w:lineRule="auto"/>
        <w:tabs>
          <w:tab w:leader="none" w:pos="653" w:val="left"/>
        </w:tabs>
        <w:numPr>
          <w:ilvl w:val="0"/>
          <w:numId w:val="26"/>
        </w:numPr>
        <w:rPr>
          <w:rFonts w:ascii="Calibri" w:cs="Calibri" w:eastAsia="Calibri" w:hAnsi="Calibri"/>
          <w:sz w:val="19"/>
          <w:szCs w:val="19"/>
          <w:b w:val="1"/>
          <w:bCs w:val="1"/>
          <w:color w:val="auto"/>
        </w:rPr>
      </w:pPr>
      <w:r>
        <w:rPr>
          <w:rFonts w:ascii="Times New Roman" w:cs="Times New Roman" w:eastAsia="Times New Roman" w:hAnsi="Times New Roman"/>
          <w:sz w:val="17"/>
          <w:szCs w:val="17"/>
          <w:color w:val="auto"/>
        </w:rPr>
        <w:t>Operating income increased to $21.5 million, or 7.1% of net sales, compared to $8.2 million, or 3.0% of net sales. The improvement in operating margin was primarily driven by a more favorable mix of projects, partially offset by higher incentive compensation expense and higher lease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Large-Scale Optical (LSO)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2025 to Third Quarter Fiscal 2024</w:t>
      </w:r>
    </w:p>
    <w:p>
      <w:pPr>
        <w:ind w:left="660" w:hanging="328"/>
        <w:spacing w:after="0" w:line="236" w:lineRule="auto"/>
        <w:tabs>
          <w:tab w:leader="none" w:pos="653" w:val="left"/>
        </w:tabs>
        <w:numPr>
          <w:ilvl w:val="0"/>
          <w:numId w:val="2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LSO net sales were $33.2 million, compared to $26.0 million, which included $8.8 million of inorganic sales contribution from the acquisition of UW Solutions, partially offset by lower volume in the retail channel.</w:t>
      </w:r>
    </w:p>
    <w:p>
      <w:pPr>
        <w:spacing w:after="0" w:line="211" w:lineRule="exact"/>
        <w:rPr>
          <w:rFonts w:ascii="Calibri" w:cs="Calibri" w:eastAsia="Calibri" w:hAnsi="Calibri"/>
          <w:sz w:val="20"/>
          <w:szCs w:val="20"/>
          <w:b w:val="1"/>
          <w:bCs w:val="1"/>
          <w:color w:val="auto"/>
        </w:rPr>
      </w:pPr>
    </w:p>
    <w:p>
      <w:pPr>
        <w:jc w:val="both"/>
        <w:ind w:left="660" w:hanging="328"/>
        <w:spacing w:after="0" w:line="238" w:lineRule="auto"/>
        <w:tabs>
          <w:tab w:leader="none" w:pos="653" w:val="left"/>
        </w:tabs>
        <w:numPr>
          <w:ilvl w:val="0"/>
          <w:numId w:val="2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$4.8 million, or 14.6% of net sales, compared to $7.1 million, or 27.3% of net sales. The decline in operating margin was primarily driven by acquisition-related costs, the unfavorable sales leverage impact of lower volume, and the dilutive effect of lower operating margin from acquiring UW Solutions.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2025 to First Nine Months of Fiscal 2024</w:t>
      </w:r>
    </w:p>
    <w:p>
      <w:pPr>
        <w:spacing w:after="0" w:line="18" w:lineRule="exact"/>
        <w:rPr>
          <w:sz w:val="20"/>
          <w:szCs w:val="20"/>
          <w:color w:val="auto"/>
        </w:rPr>
      </w:pPr>
    </w:p>
    <w:p>
      <w:pPr>
        <w:ind w:left="660" w:hanging="328"/>
        <w:spacing w:after="0" w:line="228" w:lineRule="auto"/>
        <w:tabs>
          <w:tab w:leader="none" w:pos="653" w:val="left"/>
        </w:tabs>
        <w:numPr>
          <w:ilvl w:val="0"/>
          <w:numId w:val="28"/>
        </w:numPr>
        <w:rPr>
          <w:rFonts w:ascii="Calibri" w:cs="Calibri" w:eastAsia="Calibri" w:hAnsi="Calibri"/>
          <w:sz w:val="20"/>
          <w:szCs w:val="20"/>
          <w:b w:val="1"/>
          <w:bCs w:val="1"/>
          <w:i w:val="1"/>
          <w:iCs w:val="1"/>
          <w:color w:val="auto"/>
        </w:rPr>
      </w:pPr>
      <w:r>
        <w:rPr>
          <w:rFonts w:ascii="Times New Roman" w:cs="Times New Roman" w:eastAsia="Times New Roman" w:hAnsi="Times New Roman"/>
          <w:sz w:val="18"/>
          <w:szCs w:val="18"/>
          <w:color w:val="auto"/>
        </w:rPr>
        <w:t>LSO net sales were $74.2 million, compared to $72.1 million, which included $8.8 million of sales from UW Solutions, partially offset by lower volume in the retail channel.</w:t>
      </w:r>
    </w:p>
    <w:p>
      <w:pPr>
        <w:spacing w:after="0" w:line="212" w:lineRule="exact"/>
        <w:rPr>
          <w:rFonts w:ascii="Calibri" w:cs="Calibri" w:eastAsia="Calibri" w:hAnsi="Calibri"/>
          <w:sz w:val="20"/>
          <w:szCs w:val="20"/>
          <w:b w:val="1"/>
          <w:bCs w:val="1"/>
          <w:i w:val="1"/>
          <w:iCs w:val="1"/>
          <w:color w:val="auto"/>
        </w:rPr>
      </w:pPr>
    </w:p>
    <w:p>
      <w:pPr>
        <w:ind w:left="660" w:hanging="328"/>
        <w:spacing w:after="0" w:line="254" w:lineRule="auto"/>
        <w:tabs>
          <w:tab w:leader="none" w:pos="653" w:val="left"/>
        </w:tabs>
        <w:numPr>
          <w:ilvl w:val="0"/>
          <w:numId w:val="28"/>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$13.5 million, or 18.2% of net sales, compared to $17.3 million, or 24.0% of net sales. The decline in operating margin was primarily driven by acquisition-related costs and the sales leverage impact of lower volume.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2025 to Third Quarter Fiscal 2024</w:t>
      </w:r>
    </w:p>
    <w:p>
      <w:pPr>
        <w:ind w:left="660" w:right="20" w:hanging="328"/>
        <w:spacing w:after="0" w:line="228" w:lineRule="auto"/>
        <w:tabs>
          <w:tab w:leader="none" w:pos="653" w:val="left"/>
        </w:tabs>
        <w:numPr>
          <w:ilvl w:val="0"/>
          <w:numId w:val="29"/>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Corporate and Other expense was $8.8 million, compared to $6.9 million. The increase was primarily driven by acquisition-related costs, partially offset by lower incentive compensation and insurance-related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2025 to First Nine Months of Fiscal 2024</w:t>
      </w:r>
    </w:p>
    <w:p>
      <w:pPr>
        <w:spacing w:after="0" w:line="18" w:lineRule="exact"/>
        <w:rPr>
          <w:sz w:val="20"/>
          <w:szCs w:val="20"/>
          <w:color w:val="auto"/>
        </w:rPr>
      </w:pPr>
    </w:p>
    <w:p>
      <w:pPr>
        <w:ind w:left="660" w:hanging="328"/>
        <w:spacing w:after="0" w:line="228" w:lineRule="auto"/>
        <w:tabs>
          <w:tab w:leader="none" w:pos="653" w:val="left"/>
        </w:tabs>
        <w:numPr>
          <w:ilvl w:val="0"/>
          <w:numId w:val="30"/>
        </w:numPr>
        <w:rPr>
          <w:rFonts w:ascii="Calibri" w:cs="Calibri" w:eastAsia="Calibri" w:hAnsi="Calibri"/>
          <w:sz w:val="20"/>
          <w:szCs w:val="20"/>
          <w:b w:val="1"/>
          <w:bCs w:val="1"/>
          <w:i w:val="1"/>
          <w:iCs w:val="1"/>
          <w:color w:val="auto"/>
        </w:rPr>
      </w:pPr>
      <w:r>
        <w:rPr>
          <w:rFonts w:ascii="Times New Roman" w:cs="Times New Roman" w:eastAsia="Times New Roman" w:hAnsi="Times New Roman"/>
          <w:sz w:val="18"/>
          <w:szCs w:val="18"/>
          <w:color w:val="auto"/>
        </w:rPr>
        <w:t>Corporate and Other expense was $19.5 million, compared to $20.6 million. The decrease was primarily due to lower insurance-related and incentive compensation costs, partially offset by acquisition-related costs.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Backlog represents the dollar amount of signed contracts or firm orders, generally as a result of a competitive bidding process, which may be expected to be recognized as revenue in the future. Backlog is most meaningful for Architectural Services due to the longer-term nature of their projects.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Services</w:t>
      </w:r>
    </w:p>
    <w:p>
      <w:pPr>
        <w:spacing w:after="0" w:line="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of November 30, 2024, segment backlog was approximately $742.2 million, compared to approximately $792.1 million at the end of the prior quarter. The decrease in backlog compared to the prior quarter was primarily driven by executing more project work in the quarter than securing new project awards that were added to backlog. Our backlog in this segment tends to vary significantly given the variable timing and relatively large size of projects awarded.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Adjusted operating income, adjusted operating margin, adjusted net earnings, adjusted diluted earnings per share (adjusted diluted EPS), adjusted net earnings before interest, taxes, depreciation and amortization (adjusted EBITDA), and adjusted EBITDA margin are supplemental non-GAAP financial measures provided by the Company to assess performance on a more comparable basis from period-to-period by excluding amounts that management does not consider part of core operating results. Management uses these non-GAAP measures as noted below:</w:t>
      </w:r>
    </w:p>
    <w:p>
      <w:pPr>
        <w:spacing w:after="0" w:line="227" w:lineRule="exact"/>
        <w:rPr>
          <w:sz w:val="20"/>
          <w:szCs w:val="20"/>
          <w:color w:val="auto"/>
        </w:rPr>
      </w:pPr>
    </w:p>
    <w:p>
      <w:pPr>
        <w:jc w:val="both"/>
        <w:ind w:left="660" w:hanging="328"/>
        <w:spacing w:after="0" w:line="238" w:lineRule="auto"/>
        <w:tabs>
          <w:tab w:leader="none" w:pos="653" w:val="left"/>
        </w:tabs>
        <w:numPr>
          <w:ilvl w:val="0"/>
          <w:numId w:val="31"/>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We use adjusted operating income, adjusted operating margin, adjusted net earnings, and adjusted diluted EPS to provide meaningful supplemental information about our operating performance by excluding amounts that are not considered part of core operating results to enhance comparability of results from period to period.</w:t>
      </w:r>
    </w:p>
    <w:p>
      <w:pPr>
        <w:spacing w:after="0" w:line="1" w:lineRule="exact"/>
        <w:rPr>
          <w:rFonts w:ascii="Calibri" w:cs="Calibri" w:eastAsia="Calibri" w:hAnsi="Calibri"/>
          <w:sz w:val="20"/>
          <w:szCs w:val="20"/>
          <w:b w:val="1"/>
          <w:bCs w:val="1"/>
          <w:color w:val="auto"/>
        </w:rPr>
      </w:pPr>
    </w:p>
    <w:p>
      <w:pPr>
        <w:ind w:left="660" w:hanging="328"/>
        <w:spacing w:after="0" w:line="228" w:lineRule="auto"/>
        <w:tabs>
          <w:tab w:leader="none" w:pos="653" w:val="left"/>
        </w:tabs>
        <w:numPr>
          <w:ilvl w:val="0"/>
          <w:numId w:val="31"/>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We believe adjusted EBITDA and adjusted EBITDA margin metrics provide useful information to investors and analysts about our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non-GAAP measures should be viewed in addition to, and not as an alternative to, the reported financial results of the Company prepared in accordance with U.S. GAAP. Other companies may calculate these measures differently, thereby limiting the usefulness of the measures for comparison with other companies.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Operating Income and Adjusted Operating Margin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November 30, 2024</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percentages)</w:t>
            </w:r>
          </w:p>
        </w:tc>
        <w:tc>
          <w:tcPr>
            <w:tcW w:w="180" w:type="dxa"/>
            <w:vAlign w:val="bottom"/>
          </w:tcPr>
          <w:p>
            <w:pPr>
              <w:spacing w:after="0"/>
              <w:rPr>
                <w:sz w:val="13"/>
                <w:szCs w:val="13"/>
                <w:color w:val="auto"/>
              </w:rPr>
            </w:pPr>
          </w:p>
        </w:tc>
        <w:tc>
          <w:tcPr>
            <w:tcW w:w="13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300" w:type="dxa"/>
            <w:vAlign w:val="bottom"/>
          </w:tcPr>
          <w:p>
            <w:pPr>
              <w:spacing w:after="0"/>
              <w:rPr>
                <w:sz w:val="13"/>
                <w:szCs w:val="13"/>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LSO</w:t>
            </w:r>
          </w:p>
        </w:tc>
        <w:tc>
          <w:tcPr>
            <w:tcW w:w="100" w:type="dxa"/>
            <w:vAlign w:val="bottom"/>
          </w:tcPr>
          <w:p>
            <w:pPr>
              <w:spacing w:after="0"/>
              <w:rPr>
                <w:sz w:val="13"/>
                <w:szCs w:val="13"/>
                <w:color w:val="auto"/>
              </w:rPr>
            </w:pPr>
          </w:p>
        </w:tc>
        <w:tc>
          <w:tcPr>
            <w:tcW w:w="122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60" w:type="dxa"/>
            <w:vAlign w:val="bottom"/>
          </w:tcPr>
          <w:p>
            <w:pPr>
              <w:spacing w:after="0"/>
              <w:rPr>
                <w:sz w:val="13"/>
                <w:szCs w:val="13"/>
                <w:color w:val="auto"/>
              </w:rPr>
            </w:pPr>
          </w:p>
        </w:tc>
        <w:tc>
          <w:tcPr>
            <w:tcW w:w="12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620" w:type="dxa"/>
            <w:vAlign w:val="bottom"/>
            <w:gridSpan w:val="2"/>
            <w:vMerge w:val="continue"/>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Framing Systems</w:t>
            </w:r>
          </w:p>
        </w:tc>
        <w:tc>
          <w:tcPr>
            <w:tcW w:w="1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3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12,710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9,730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28,629</w:t>
            </w:r>
          </w:p>
        </w:tc>
        <w:tc>
          <w:tcPr>
            <w:tcW w:w="0" w:type="dxa"/>
            <w:vAlign w:val="bottom"/>
          </w:tcPr>
          <w:p>
            <w:pPr>
              <w:spacing w:after="0"/>
              <w:rPr>
                <w:sz w:val="1"/>
                <w:szCs w:val="1"/>
                <w:color w:val="auto"/>
              </w:rPr>
            </w:pPr>
          </w:p>
        </w:tc>
      </w:tr>
      <w:tr>
        <w:trPr>
          <w:trHeight w:val="216"/>
        </w:trPr>
        <w:tc>
          <w:tcPr>
            <w:tcW w:w="26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Transaction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3,748</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Integration</w:t>
            </w:r>
          </w:p>
        </w:tc>
        <w:tc>
          <w:tcPr>
            <w:tcW w:w="1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941</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Backlog amortization</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Inventory step-up</w:t>
            </w:r>
          </w:p>
        </w:tc>
        <w:tc>
          <w:tcPr>
            <w:tcW w:w="1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Acquisition-related costs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5,873</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CEEFF"/>
            </w:tcBorders>
            <w:gridSpan w:val="2"/>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(2)</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3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13,552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9,013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6,173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35,414</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0" w:type="dxa"/>
            <w:vAlign w:val="bottom"/>
          </w:tcPr>
          <w:p>
            <w:pPr>
              <w:spacing w:after="0"/>
              <w:rPr>
                <w:sz w:val="1"/>
                <w:szCs w:val="1"/>
                <w:color w:val="auto"/>
              </w:rPr>
            </w:pPr>
          </w:p>
        </w:tc>
      </w:tr>
      <w:tr>
        <w:trPr>
          <w:trHeight w:val="216"/>
        </w:trPr>
        <w:tc>
          <w:tcPr>
            <w:tcW w:w="26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Transaction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Integration</w:t>
            </w:r>
          </w:p>
        </w:tc>
        <w:tc>
          <w:tcPr>
            <w:tcW w:w="180" w:type="dxa"/>
            <w:vAlign w:val="bottom"/>
          </w:tcPr>
          <w:p>
            <w:pPr>
              <w:spacing w:after="0"/>
              <w:rPr>
                <w:sz w:val="18"/>
                <w:szCs w:val="18"/>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spacing w:after="0"/>
              <w:rPr>
                <w:sz w:val="18"/>
                <w:szCs w:val="18"/>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Backlog amortization</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Inventory step-up</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2"/>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Acquisition-related costs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10"/>
        </w:trPr>
        <w:tc>
          <w:tcPr>
            <w:tcW w:w="262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35"/>
        </w:trPr>
        <w:tc>
          <w:tcPr>
            <w:tcW w:w="2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margin</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N/M</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November 25, 2023</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300" w:type="dxa"/>
            <w:vAlign w:val="bottom"/>
          </w:tcPr>
          <w:p>
            <w:pPr>
              <w:spacing w:after="0"/>
              <w:rPr>
                <w:sz w:val="13"/>
                <w:szCs w:val="13"/>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LSO</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60" w:type="dxa"/>
            <w:vAlign w:val="bottom"/>
          </w:tcPr>
          <w:p>
            <w:pPr>
              <w:spacing w:after="0"/>
              <w:rPr>
                <w:sz w:val="13"/>
                <w:szCs w:val="13"/>
                <w:color w:val="auto"/>
              </w:rPr>
            </w:pPr>
          </w:p>
        </w:tc>
        <w:tc>
          <w:tcPr>
            <w:tcW w:w="12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Framing Systems</w:t>
            </w:r>
          </w:p>
        </w:tc>
        <w:tc>
          <w:tcPr>
            <w:tcW w:w="1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3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16,981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37,647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520" w:hanging="346"/>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w:t>
      </w:r>
    </w:p>
    <w:p>
      <w:pPr>
        <w:spacing w:after="0" w:line="17" w:lineRule="exact"/>
        <w:rPr>
          <w:rFonts w:ascii="Times New Roman" w:cs="Times New Roman" w:eastAsia="Times New Roman" w:hAnsi="Times New Roman"/>
          <w:sz w:val="14"/>
          <w:szCs w:val="14"/>
          <w:color w:val="auto"/>
        </w:rPr>
      </w:pPr>
    </w:p>
    <w:p>
      <w:pPr>
        <w:ind w:left="840" w:hanging="153"/>
        <w:spacing w:after="0"/>
        <w:tabs>
          <w:tab w:leader="none" w:pos="84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costs related to the UW Solutions acquisition.</w:t>
      </w:r>
    </w:p>
    <w:p>
      <w:pPr>
        <w:spacing w:after="0" w:line="1" w:lineRule="exact"/>
        <w:rPr>
          <w:rFonts w:ascii="Times New Roman" w:cs="Times New Roman" w:eastAsia="Times New Roman" w:hAnsi="Times New Roman"/>
          <w:sz w:val="14"/>
          <w:szCs w:val="14"/>
          <w:color w:val="auto"/>
        </w:rPr>
      </w:pPr>
    </w:p>
    <w:p>
      <w:pPr>
        <w:ind w:left="840" w:hanging="153"/>
        <w:spacing w:after="0"/>
        <w:tabs>
          <w:tab w:leader="none" w:pos="84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costs related to one-time expenses incurred to integrate the UW Solutions acquisition.</w:t>
      </w:r>
    </w:p>
    <w:p>
      <w:pPr>
        <w:spacing w:after="0" w:line="1" w:lineRule="exact"/>
        <w:rPr>
          <w:rFonts w:ascii="Times New Roman" w:cs="Times New Roman" w:eastAsia="Times New Roman" w:hAnsi="Times New Roman"/>
          <w:sz w:val="14"/>
          <w:szCs w:val="14"/>
          <w:color w:val="auto"/>
        </w:rPr>
      </w:pPr>
    </w:p>
    <w:p>
      <w:pPr>
        <w:ind w:left="840" w:right="40" w:hanging="153"/>
        <w:spacing w:after="0" w:line="241" w:lineRule="auto"/>
        <w:tabs>
          <w:tab w:leader="none" w:pos="836"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amortization is related to the value attributed to contracting the backlog purchased in the UW Solutions acquisition. These costs will be amortized in SG&amp;A over the period that the contracted backlog is shipped.</w:t>
      </w:r>
    </w:p>
    <w:p>
      <w:pPr>
        <w:ind w:left="840" w:right="40" w:hanging="153"/>
        <w:spacing w:after="0" w:line="249" w:lineRule="auto"/>
        <w:tabs>
          <w:tab w:leader="none" w:pos="836"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Inventory step-up is related to the incremental cost to value inventory acquired as part of the UW Solutions acquisition at fair value. These costs will be expensed to cost of goods sold over the period the inventory is sold.</w:t>
      </w:r>
    </w:p>
    <w:p>
      <w:pPr>
        <w:ind w:left="520" w:hanging="346"/>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related to Project Fortify, including $0.4 million of employee termination costs and $0.5 million of other costs incurred in the third quarter of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November 30, 2024</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percentages)</w:t>
            </w:r>
          </w:p>
        </w:tc>
        <w:tc>
          <w:tcPr>
            <w:tcW w:w="180" w:type="dxa"/>
            <w:vAlign w:val="bottom"/>
          </w:tcPr>
          <w:p>
            <w:pPr>
              <w:spacing w:after="0"/>
              <w:rPr>
                <w:sz w:val="13"/>
                <w:szCs w:val="13"/>
                <w:color w:val="auto"/>
              </w:rPr>
            </w:pPr>
          </w:p>
        </w:tc>
        <w:tc>
          <w:tcPr>
            <w:tcW w:w="13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LSO</w:t>
            </w:r>
          </w:p>
        </w:tc>
        <w:tc>
          <w:tcPr>
            <w:tcW w:w="100" w:type="dxa"/>
            <w:vAlign w:val="bottom"/>
          </w:tcPr>
          <w:p>
            <w:pPr>
              <w:spacing w:after="0"/>
              <w:rPr>
                <w:sz w:val="13"/>
                <w:szCs w:val="13"/>
                <w:color w:val="auto"/>
              </w:rPr>
            </w:pPr>
          </w:p>
        </w:tc>
        <w:tc>
          <w:tcPr>
            <w:tcW w:w="122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60" w:type="dxa"/>
            <w:vAlign w:val="bottom"/>
          </w:tcPr>
          <w:p>
            <w:pPr>
              <w:spacing w:after="0"/>
              <w:rPr>
                <w:sz w:val="13"/>
                <w:szCs w:val="13"/>
                <w:color w:val="auto"/>
              </w:rPr>
            </w:pPr>
          </w:p>
        </w:tc>
        <w:tc>
          <w:tcPr>
            <w:tcW w:w="12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620" w:type="dxa"/>
            <w:vAlign w:val="bottom"/>
            <w:gridSpan w:val="2"/>
            <w:vMerge w:val="continue"/>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Framing Systems</w:t>
            </w:r>
          </w:p>
        </w:tc>
        <w:tc>
          <w:tcPr>
            <w:tcW w:w="1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3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48,187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48,277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21,483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111,975</w:t>
            </w:r>
          </w:p>
        </w:tc>
        <w:tc>
          <w:tcPr>
            <w:tcW w:w="0" w:type="dxa"/>
            <w:vAlign w:val="bottom"/>
          </w:tcPr>
          <w:p>
            <w:pPr>
              <w:spacing w:after="0"/>
              <w:rPr>
                <w:sz w:val="1"/>
                <w:szCs w:val="1"/>
                <w:color w:val="auto"/>
              </w:rPr>
            </w:pPr>
          </w:p>
        </w:tc>
      </w:tr>
      <w:tr>
        <w:trPr>
          <w:trHeight w:val="216"/>
        </w:trPr>
        <w:tc>
          <w:tcPr>
            <w:tcW w:w="26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Transaction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3,748</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Integration</w:t>
            </w:r>
          </w:p>
        </w:tc>
        <w:tc>
          <w:tcPr>
            <w:tcW w:w="1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941</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Backlog amortization</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Inventory step-up</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12"/>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Acquisition-related costs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5,873</w:t>
            </w:r>
          </w:p>
        </w:tc>
        <w:tc>
          <w:tcPr>
            <w:tcW w:w="0" w:type="dxa"/>
            <w:vAlign w:val="bottom"/>
          </w:tcPr>
          <w:p>
            <w:pPr>
              <w:spacing w:after="0"/>
              <w:rPr>
                <w:sz w:val="1"/>
                <w:szCs w:val="1"/>
                <w:color w:val="auto"/>
              </w:rPr>
            </w:pPr>
          </w:p>
        </w:tc>
      </w:tr>
      <w:tr>
        <w:trPr>
          <w:trHeight w:val="210"/>
        </w:trPr>
        <w:tc>
          <w:tcPr>
            <w:tcW w:w="262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3,213</w:t>
            </w:r>
          </w:p>
        </w:tc>
        <w:tc>
          <w:tcPr>
            <w:tcW w:w="0" w:type="dxa"/>
            <w:vAlign w:val="bottom"/>
          </w:tcPr>
          <w:p>
            <w:pPr>
              <w:spacing w:after="0"/>
              <w:rPr>
                <w:sz w:val="1"/>
                <w:szCs w:val="1"/>
                <w:color w:val="auto"/>
              </w:rPr>
            </w:pPr>
          </w:p>
        </w:tc>
      </w:tr>
      <w:tr>
        <w:trPr>
          <w:trHeight w:val="234"/>
        </w:trPr>
        <w:tc>
          <w:tcPr>
            <w:tcW w:w="2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50,942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48,277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121,061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216"/>
        </w:trPr>
        <w:tc>
          <w:tcPr>
            <w:tcW w:w="26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Transaction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Integration</w:t>
            </w:r>
          </w:p>
        </w:tc>
        <w:tc>
          <w:tcPr>
            <w:tcW w:w="180" w:type="dxa"/>
            <w:vAlign w:val="bottom"/>
          </w:tcPr>
          <w:p>
            <w:pPr>
              <w:spacing w:after="0"/>
              <w:rPr>
                <w:sz w:val="18"/>
                <w:szCs w:val="18"/>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18"/>
                <w:szCs w:val="18"/>
                <w:color w:val="auto"/>
              </w:rPr>
            </w:pPr>
          </w:p>
        </w:tc>
        <w:tc>
          <w:tcPr>
            <w:tcW w:w="9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Backlog amortization</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Inventory step-up</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2"/>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Acquisition-related costs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09"/>
        </w:trPr>
        <w:tc>
          <w:tcPr>
            <w:tcW w:w="262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35"/>
        </w:trPr>
        <w:tc>
          <w:tcPr>
            <w:tcW w:w="2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margin</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N/M</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November 25, 2023</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LSO</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60" w:type="dxa"/>
            <w:vAlign w:val="bottom"/>
          </w:tcPr>
          <w:p>
            <w:pPr>
              <w:spacing w:after="0"/>
              <w:rPr>
                <w:sz w:val="13"/>
                <w:szCs w:val="13"/>
                <w:color w:val="auto"/>
              </w:rPr>
            </w:pPr>
          </w:p>
        </w:tc>
        <w:tc>
          <w:tcPr>
            <w:tcW w:w="12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Framing Systems</w:t>
            </w:r>
          </w:p>
        </w:tc>
        <w:tc>
          <w:tcPr>
            <w:tcW w:w="1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3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57,986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49,119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17,288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111,967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520" w:hanging="346"/>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w:t>
      </w:r>
    </w:p>
    <w:p>
      <w:pPr>
        <w:spacing w:after="0" w:line="3" w:lineRule="exact"/>
        <w:rPr>
          <w:rFonts w:ascii="Times New Roman" w:cs="Times New Roman" w:eastAsia="Times New Roman" w:hAnsi="Times New Roman"/>
          <w:sz w:val="14"/>
          <w:szCs w:val="14"/>
          <w:color w:val="auto"/>
        </w:rPr>
      </w:pPr>
    </w:p>
    <w:p>
      <w:pPr>
        <w:ind w:left="840" w:hanging="153"/>
        <w:spacing w:after="0"/>
        <w:tabs>
          <w:tab w:leader="none" w:pos="8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costs related to the UW Solutions acquisition.</w:t>
      </w:r>
    </w:p>
    <w:p>
      <w:pPr>
        <w:spacing w:after="0" w:line="1" w:lineRule="exact"/>
        <w:rPr>
          <w:rFonts w:ascii="Times New Roman" w:cs="Times New Roman" w:eastAsia="Times New Roman" w:hAnsi="Times New Roman"/>
          <w:sz w:val="14"/>
          <w:szCs w:val="14"/>
          <w:color w:val="auto"/>
        </w:rPr>
      </w:pPr>
    </w:p>
    <w:p>
      <w:pPr>
        <w:ind w:left="840" w:hanging="153"/>
        <w:spacing w:after="0"/>
        <w:tabs>
          <w:tab w:leader="none" w:pos="8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costs related to one-time expenses incurred to integrate the UW Solutions acquisition.</w:t>
      </w:r>
    </w:p>
    <w:p>
      <w:pPr>
        <w:spacing w:after="0" w:line="1" w:lineRule="exact"/>
        <w:rPr>
          <w:rFonts w:ascii="Times New Roman" w:cs="Times New Roman" w:eastAsia="Times New Roman" w:hAnsi="Times New Roman"/>
          <w:sz w:val="14"/>
          <w:szCs w:val="14"/>
          <w:color w:val="auto"/>
        </w:rPr>
      </w:pPr>
    </w:p>
    <w:p>
      <w:pPr>
        <w:ind w:left="840" w:right="40" w:hanging="153"/>
        <w:spacing w:after="0" w:line="241" w:lineRule="auto"/>
        <w:tabs>
          <w:tab w:leader="none" w:pos="836"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amortization is related to the value attributed to contracting the backlog purchased in the UW Solutions acquisition. These costs will be amortized in SG&amp;A over the period that the contracted backlog is shipped.</w:t>
      </w:r>
    </w:p>
    <w:p>
      <w:pPr>
        <w:ind w:left="840" w:right="40" w:hanging="153"/>
        <w:spacing w:after="0" w:line="249" w:lineRule="auto"/>
        <w:tabs>
          <w:tab w:leader="none" w:pos="836"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Inventory step-up is related to the incremental cost to value inventory acquired as part of the UW Solutions acquisition at fair value. These costs will be expensed to cost of goods sold over the period the inventory is sold.</w:t>
      </w:r>
    </w:p>
    <w:p>
      <w:pPr>
        <w:spacing w:after="0" w:line="14" w:lineRule="exact"/>
        <w:rPr>
          <w:rFonts w:ascii="Times New Roman" w:cs="Times New Roman" w:eastAsia="Times New Roman" w:hAnsi="Times New Roman"/>
          <w:sz w:val="14"/>
          <w:szCs w:val="14"/>
          <w:color w:val="auto"/>
        </w:rPr>
      </w:pPr>
    </w:p>
    <w:p>
      <w:pPr>
        <w:ind w:left="520" w:right="20" w:hanging="346"/>
        <w:spacing w:after="0" w:line="182" w:lineRule="auto"/>
        <w:tabs>
          <w:tab w:leader="none" w:pos="520" w:val="left"/>
        </w:tabs>
        <w:numPr>
          <w:ilvl w:val="0"/>
          <w:numId w:val="33"/>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3"/>
          <w:szCs w:val="13"/>
          <w:color w:val="auto"/>
        </w:rPr>
        <w:t>Restructuring charges related to Project Fortify, including $1.3 million of employee termination costs, $0.1 million of contract termination costs and $1.8 million of other costs incurred in the first nine months of fiscal 2025.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Adjusted Net Earnings and Adjusted Diluted Earnings Per Share</w:t>
      </w:r>
    </w:p>
    <w:p>
      <w:pPr>
        <w:spacing w:after="0" w:line="2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(Unaudited)</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4"/>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20" w:type="dxa"/>
            <w:vAlign w:val="bottom"/>
          </w:tcPr>
          <w:p>
            <w:pPr>
              <w:spacing w:after="0"/>
              <w:rPr>
                <w:sz w:val="16"/>
                <w:szCs w:val="16"/>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4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0" w:type="dxa"/>
            <w:vAlign w:val="bottom"/>
          </w:tcPr>
          <w:p>
            <w:pPr>
              <w:spacing w:after="0"/>
              <w:rPr>
                <w:sz w:val="1"/>
                <w:szCs w:val="1"/>
                <w:color w:val="auto"/>
              </w:rPr>
            </w:pPr>
          </w:p>
        </w:tc>
      </w:tr>
      <w:tr>
        <w:trPr>
          <w:trHeight w:val="216"/>
        </w:trPr>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83,877</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Transaction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Integration</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Backlog amortization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Inventory step-up</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Acquisition-related costs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82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NMTC settlement gain </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Income tax impact on above adjustments </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0" w:type="dxa"/>
            <w:vAlign w:val="bottom"/>
          </w:tcPr>
          <w:p>
            <w:pPr>
              <w:spacing w:after="0"/>
              <w:rPr>
                <w:sz w:val="1"/>
                <w:szCs w:val="1"/>
                <w:color w:val="auto"/>
              </w:rPr>
            </w:pPr>
          </w:p>
        </w:tc>
      </w:tr>
      <w:tr>
        <w:trPr>
          <w:trHeight w:val="234"/>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80,338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40" w:type="dxa"/>
            <w:vAlign w:val="bottom"/>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4"/>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20" w:type="dxa"/>
            <w:vAlign w:val="bottom"/>
          </w:tcPr>
          <w:p>
            <w:pPr>
              <w:spacing w:after="0"/>
              <w:rPr>
                <w:sz w:val="16"/>
                <w:szCs w:val="16"/>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4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Transaction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Integration</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Backlog amortization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Inventory step-up</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Acquisition-related costs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82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NMTC settlement gain </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Income tax impact on above adjustments </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EPS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outstanding for EPS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22,093</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60" w:hanging="286"/>
        <w:spacing w:after="0"/>
        <w:tabs>
          <w:tab w:leader="none" w:pos="46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w:t>
      </w:r>
    </w:p>
    <w:p>
      <w:pPr>
        <w:spacing w:after="0" w:line="3" w:lineRule="exact"/>
        <w:rPr>
          <w:rFonts w:ascii="Times New Roman" w:cs="Times New Roman" w:eastAsia="Times New Roman" w:hAnsi="Times New Roman"/>
          <w:sz w:val="14"/>
          <w:szCs w:val="14"/>
          <w:color w:val="auto"/>
        </w:rPr>
      </w:pPr>
    </w:p>
    <w:p>
      <w:pPr>
        <w:ind w:left="780" w:hanging="160"/>
        <w:spacing w:after="0"/>
        <w:tabs>
          <w:tab w:leader="none" w:pos="780" w:val="left"/>
        </w:tabs>
        <w:numPr>
          <w:ilvl w:val="2"/>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costs related to the UW Solutions acquisition.</w:t>
      </w:r>
    </w:p>
    <w:p>
      <w:pPr>
        <w:spacing w:after="0" w:line="1" w:lineRule="exact"/>
        <w:rPr>
          <w:rFonts w:ascii="Times New Roman" w:cs="Times New Roman" w:eastAsia="Times New Roman" w:hAnsi="Times New Roman"/>
          <w:sz w:val="14"/>
          <w:szCs w:val="14"/>
          <w:color w:val="auto"/>
        </w:rPr>
      </w:pPr>
    </w:p>
    <w:p>
      <w:pPr>
        <w:ind w:left="780" w:hanging="160"/>
        <w:spacing w:after="0"/>
        <w:tabs>
          <w:tab w:leader="none" w:pos="780" w:val="left"/>
        </w:tabs>
        <w:numPr>
          <w:ilvl w:val="2"/>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costs related to one-time expenses incurred to integrate the UW Solutions acquisition.</w:t>
      </w:r>
    </w:p>
    <w:p>
      <w:pPr>
        <w:spacing w:after="0" w:line="1" w:lineRule="exact"/>
        <w:rPr>
          <w:rFonts w:ascii="Times New Roman" w:cs="Times New Roman" w:eastAsia="Times New Roman" w:hAnsi="Times New Roman"/>
          <w:sz w:val="14"/>
          <w:szCs w:val="14"/>
          <w:color w:val="auto"/>
        </w:rPr>
      </w:pPr>
    </w:p>
    <w:p>
      <w:pPr>
        <w:ind w:left="780" w:right="40" w:hanging="160"/>
        <w:spacing w:after="0" w:line="241" w:lineRule="auto"/>
        <w:tabs>
          <w:tab w:leader="none" w:pos="776" w:val="left"/>
        </w:tabs>
        <w:numPr>
          <w:ilvl w:val="2"/>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amortization is related to the value attributed to contracting the backlog purchased in the UW Solutions acquisition. These costs will be amortized in SG&amp;A over the period that the contracted backlog is shipped.</w:t>
      </w:r>
    </w:p>
    <w:p>
      <w:pPr>
        <w:ind w:left="780" w:right="40" w:hanging="160"/>
        <w:spacing w:after="0" w:line="258" w:lineRule="auto"/>
        <w:tabs>
          <w:tab w:leader="none" w:pos="776" w:val="left"/>
        </w:tabs>
        <w:numPr>
          <w:ilvl w:val="2"/>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Inventory step-up is related to the incremental cost to value inventory acquired as part of the UW Solutions acquisition at fair value. These costs will be expensed to cost of goods sold over the period the inventory is sold.</w:t>
      </w:r>
    </w:p>
    <w:p>
      <w:pPr>
        <w:spacing w:after="0" w:line="2" w:lineRule="exact"/>
        <w:rPr>
          <w:rFonts w:ascii="Times New Roman" w:cs="Times New Roman" w:eastAsia="Times New Roman" w:hAnsi="Times New Roman"/>
          <w:sz w:val="14"/>
          <w:szCs w:val="14"/>
          <w:color w:val="auto"/>
        </w:rPr>
      </w:pPr>
    </w:p>
    <w:p>
      <w:pPr>
        <w:ind w:left="460" w:right="20" w:hanging="367"/>
        <w:spacing w:after="0" w:line="241" w:lineRule="auto"/>
        <w:tabs>
          <w:tab w:leader="none" w:pos="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related to Project Fortify, including $0.4 million of employee termination costs and $0.5 million of other costs incurred in the third quarter of fiscal 2025, and $1.3 million of employee termination costs, $0.1 million of contract termination costs and $1.8 million of other costs incurred in the first nine months of fiscal 2025.</w:t>
      </w:r>
    </w:p>
    <w:p>
      <w:pPr>
        <w:spacing w:after="0" w:line="14" w:lineRule="exact"/>
        <w:rPr>
          <w:rFonts w:ascii="Times New Roman" w:cs="Times New Roman" w:eastAsia="Times New Roman" w:hAnsi="Times New Roman"/>
          <w:sz w:val="14"/>
          <w:szCs w:val="14"/>
          <w:color w:val="auto"/>
        </w:rPr>
      </w:pPr>
    </w:p>
    <w:p>
      <w:pPr>
        <w:ind w:left="460" w:hanging="367"/>
        <w:spacing w:after="0"/>
        <w:tabs>
          <w:tab w:leader="none" w:pos="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Realization of a New Markets Tax Credit (NMTC) benefit during the second quarter of fiscal 2024, which was recorded in other expense (income), net.</w:t>
      </w:r>
    </w:p>
    <w:p>
      <w:pPr>
        <w:spacing w:after="0" w:line="41" w:lineRule="exact"/>
        <w:rPr>
          <w:rFonts w:ascii="Times New Roman" w:cs="Times New Roman" w:eastAsia="Times New Roman" w:hAnsi="Times New Roman"/>
          <w:sz w:val="14"/>
          <w:szCs w:val="14"/>
          <w:color w:val="auto"/>
        </w:rPr>
      </w:pPr>
    </w:p>
    <w:p>
      <w:pPr>
        <w:ind w:left="460" w:right="20" w:hanging="367"/>
        <w:spacing w:after="0" w:line="241" w:lineRule="auto"/>
        <w:tabs>
          <w:tab w:leader="none" w:pos="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impact calculated using an estimated statutory tax rate of 24.5%, which reflects the estimated blended statutory tax rate for the jurisdictions in which the charge or income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w:t>
      </w: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40" w:type="dxa"/>
            <w:vAlign w:val="bottom"/>
            <w:gridSpan w:val="4"/>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60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0" w:type="dxa"/>
            <w:vAlign w:val="bottom"/>
          </w:tcPr>
          <w:p>
            <w:pPr>
              <w:spacing w:after="0"/>
              <w:rPr>
                <w:sz w:val="1"/>
                <w:szCs w:val="1"/>
                <w:color w:val="auto"/>
              </w:rPr>
            </w:pPr>
          </w:p>
        </w:tc>
      </w:tr>
      <w:tr>
        <w:trPr>
          <w:trHeight w:val="213"/>
        </w:trPr>
        <w:tc>
          <w:tcPr>
            <w:tcW w:w="4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20,989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color w:val="auto"/>
              </w:rPr>
              <w:t>26,974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82,566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rPr>
              <w:t>83,877</w:t>
            </w:r>
          </w:p>
        </w:tc>
        <w:tc>
          <w:tcPr>
            <w:tcW w:w="0" w:type="dxa"/>
            <w:vAlign w:val="bottom"/>
          </w:tcPr>
          <w:p>
            <w:pPr>
              <w:spacing w:after="0"/>
              <w:rPr>
                <w:sz w:val="1"/>
                <w:szCs w:val="1"/>
                <w:color w:val="auto"/>
              </w:rPr>
            </w:pPr>
          </w:p>
        </w:tc>
      </w:tr>
      <w:tr>
        <w:trPr>
          <w:trHeight w:val="21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Pr>
          <w:p>
            <w:pPr>
              <w:spacing w:after="0"/>
              <w:rPr>
                <w:sz w:val="18"/>
                <w:szCs w:val="18"/>
                <w:color w:val="auto"/>
              </w:rPr>
            </w:pPr>
          </w:p>
        </w:tc>
        <w:tc>
          <w:tcPr>
            <w:tcW w:w="14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6,656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37"/>
              <w:spacing w:after="0"/>
              <w:rPr>
                <w:sz w:val="20"/>
                <w:szCs w:val="20"/>
                <w:color w:val="auto"/>
              </w:rPr>
            </w:pPr>
            <w:r>
              <w:rPr>
                <w:rFonts w:ascii="Times New Roman" w:cs="Times New Roman" w:eastAsia="Times New Roman" w:hAnsi="Times New Roman"/>
                <w:sz w:val="16"/>
                <w:szCs w:val="16"/>
                <w:color w:val="auto"/>
              </w:rPr>
              <w:t>8,329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27,268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17"/>
              <w:spacing w:after="0"/>
              <w:rPr>
                <w:sz w:val="20"/>
                <w:szCs w:val="20"/>
                <w:color w:val="auto"/>
              </w:rPr>
            </w:pPr>
            <w:r>
              <w:rPr>
                <w:rFonts w:ascii="Times New Roman" w:cs="Times New Roman" w:eastAsia="Times New Roman" w:hAnsi="Times New Roman"/>
                <w:sz w:val="16"/>
                <w:szCs w:val="16"/>
                <w:color w:val="auto"/>
              </w:rPr>
              <w:t>26,092</w:t>
            </w:r>
          </w:p>
        </w:tc>
        <w:tc>
          <w:tcPr>
            <w:tcW w:w="0" w:type="dxa"/>
            <w:vAlign w:val="bottom"/>
          </w:tcPr>
          <w:p>
            <w:pPr>
              <w:spacing w:after="0"/>
              <w:rPr>
                <w:sz w:val="1"/>
                <w:szCs w:val="1"/>
                <w:color w:val="auto"/>
              </w:rPr>
            </w:pPr>
          </w:p>
        </w:tc>
      </w:tr>
      <w:tr>
        <w:trPr>
          <w:trHeight w:val="21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color w:val="auto"/>
              </w:rPr>
              <w:t>1,454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2,634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rPr>
              <w:t>5,720</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11,134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color w:val="auto"/>
              </w:rPr>
              <w:t>10,524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30,798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color w:val="auto"/>
              </w:rPr>
              <w:t>31,185</w:t>
            </w:r>
          </w:p>
        </w:tc>
        <w:tc>
          <w:tcPr>
            <w:tcW w:w="0" w:type="dxa"/>
            <w:vAlign w:val="bottom"/>
          </w:tcPr>
          <w:p>
            <w:pPr>
              <w:spacing w:after="0"/>
              <w:rPr>
                <w:sz w:val="1"/>
                <w:szCs w:val="1"/>
                <w:color w:val="auto"/>
              </w:rPr>
            </w:pPr>
          </w:p>
        </w:tc>
      </w:tr>
      <w:tr>
        <w:trPr>
          <w:trHeight w:val="212"/>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39,823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color w:val="auto"/>
              </w:rPr>
              <w:t>47,281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143,266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rPr>
              <w:t>146,874</w:t>
            </w: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Transaction</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Integration</w:t>
            </w:r>
          </w:p>
        </w:tc>
        <w:tc>
          <w:tcPr>
            <w:tcW w:w="140" w:type="dxa"/>
            <w:vAlign w:val="bottom"/>
          </w:tcPr>
          <w:p>
            <w:pPr>
              <w:spacing w:after="0"/>
              <w:rPr>
                <w:sz w:val="19"/>
                <w:szCs w:val="19"/>
                <w:color w:val="auto"/>
              </w:rPr>
            </w:pPr>
          </w:p>
        </w:tc>
        <w:tc>
          <w:tcPr>
            <w:tcW w:w="144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Inventory step-up</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Acquisition-related costs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3,213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NMTC settlement gain </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60" w:type="dxa"/>
            <w:vAlign w:val="bottom"/>
          </w:tcPr>
          <w:p>
            <w:pPr>
              <w:jc w:val="right"/>
              <w:ind w:right="77"/>
              <w:spacing w:after="0"/>
              <w:rPr>
                <w:sz w:val="20"/>
                <w:szCs w:val="20"/>
                <w:color w:val="auto"/>
              </w:rPr>
            </w:pPr>
            <w:r>
              <w:rPr>
                <w:rFonts w:ascii="Times New Roman" w:cs="Times New Roman" w:eastAsia="Times New Roman" w:hAnsi="Times New Roman"/>
                <w:sz w:val="16"/>
                <w:szCs w:val="16"/>
                <w:color w:val="auto"/>
              </w:rPr>
              <w:t>(4,687)</w:t>
            </w:r>
          </w:p>
        </w:tc>
        <w:tc>
          <w:tcPr>
            <w:tcW w:w="0" w:type="dxa"/>
            <w:vAlign w:val="bottom"/>
          </w:tcPr>
          <w:p>
            <w:pPr>
              <w:spacing w:after="0"/>
              <w:rPr>
                <w:sz w:val="1"/>
                <w:szCs w:val="1"/>
                <w:color w:val="auto"/>
              </w:rPr>
            </w:pPr>
          </w:p>
        </w:tc>
      </w:tr>
      <w:tr>
        <w:trPr>
          <w:trHeight w:val="234"/>
        </w:trPr>
        <w:tc>
          <w:tcPr>
            <w:tcW w:w="4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45,803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color w:val="auto"/>
              </w:rPr>
              <w:t>47,281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151,547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rPr>
              <w:t>142,187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 Margin</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0" w:type="dxa"/>
            <w:vAlign w:val="bottom"/>
          </w:tcPr>
          <w:p>
            <w:pPr>
              <w:spacing w:after="0"/>
              <w:rPr>
                <w:sz w:val="1"/>
                <w:szCs w:val="1"/>
                <w:color w:val="auto"/>
              </w:rPr>
            </w:pPr>
          </w:p>
        </w:tc>
      </w:tr>
      <w:tr>
        <w:trPr>
          <w:trHeight w:val="21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00" w:hanging="374"/>
        <w:spacing w:after="0"/>
        <w:tabs>
          <w:tab w:leader="none" w:pos="4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w:t>
      </w:r>
    </w:p>
    <w:p>
      <w:pPr>
        <w:spacing w:after="0" w:line="17" w:lineRule="exact"/>
        <w:rPr>
          <w:rFonts w:ascii="Times New Roman" w:cs="Times New Roman" w:eastAsia="Times New Roman" w:hAnsi="Times New Roman"/>
          <w:sz w:val="14"/>
          <w:szCs w:val="14"/>
          <w:color w:val="auto"/>
        </w:rPr>
      </w:pPr>
    </w:p>
    <w:p>
      <w:pPr>
        <w:ind w:left="720" w:hanging="168"/>
        <w:spacing w:after="0"/>
        <w:tabs>
          <w:tab w:leader="none" w:pos="7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costs related to the UW Solutions acquisition.</w:t>
      </w:r>
    </w:p>
    <w:p>
      <w:pPr>
        <w:spacing w:after="0" w:line="1" w:lineRule="exact"/>
        <w:rPr>
          <w:rFonts w:ascii="Times New Roman" w:cs="Times New Roman" w:eastAsia="Times New Roman" w:hAnsi="Times New Roman"/>
          <w:sz w:val="14"/>
          <w:szCs w:val="14"/>
          <w:color w:val="auto"/>
        </w:rPr>
      </w:pPr>
    </w:p>
    <w:p>
      <w:pPr>
        <w:ind w:left="720" w:hanging="168"/>
        <w:spacing w:after="0"/>
        <w:tabs>
          <w:tab w:leader="none" w:pos="7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costs related to one-time expenses incurred to integrate the UW Solutions acquisition.</w:t>
      </w:r>
    </w:p>
    <w:p>
      <w:pPr>
        <w:spacing w:after="0" w:line="1" w:lineRule="exact"/>
        <w:rPr>
          <w:rFonts w:ascii="Times New Roman" w:cs="Times New Roman" w:eastAsia="Times New Roman" w:hAnsi="Times New Roman"/>
          <w:sz w:val="14"/>
          <w:szCs w:val="14"/>
          <w:color w:val="auto"/>
        </w:rPr>
      </w:pPr>
    </w:p>
    <w:p>
      <w:pPr>
        <w:ind w:left="720" w:right="100" w:hanging="168"/>
        <w:spacing w:after="0" w:line="239" w:lineRule="auto"/>
        <w:tabs>
          <w:tab w:leader="none" w:pos="716"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Inventory step-up is related to the incremental cost to value inventory acquired as part of the UW Solutions acquisition at fair value. These costs will be expensed to cost of goods sold over the period the inventory is sold.</w:t>
      </w:r>
    </w:p>
    <w:p>
      <w:pPr>
        <w:spacing w:after="0" w:line="14" w:lineRule="exact"/>
        <w:rPr>
          <w:rFonts w:ascii="Times New Roman" w:cs="Times New Roman" w:eastAsia="Times New Roman" w:hAnsi="Times New Roman"/>
          <w:sz w:val="14"/>
          <w:szCs w:val="14"/>
          <w:color w:val="auto"/>
        </w:rPr>
      </w:pPr>
    </w:p>
    <w:p>
      <w:pPr>
        <w:ind w:left="400" w:right="80" w:hanging="374"/>
        <w:spacing w:after="0" w:line="251" w:lineRule="auto"/>
        <w:tabs>
          <w:tab w:leader="none" w:pos="4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related to Project Fortify, including $0.4 million of employee termination costs and $0.5 million of other costs incurred in the third quarter of fiscal 2025, and $1.3 million of employee termination costs, $0.1 million of contract termination costs and $1.8 million of other costs incurred in the first nine months of fiscal 2025.</w:t>
      </w:r>
    </w:p>
    <w:p>
      <w:pPr>
        <w:ind w:left="400" w:hanging="374"/>
        <w:spacing w:after="0"/>
        <w:tabs>
          <w:tab w:leader="none" w:pos="4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Realization of a New Markets Tax Credit (NMTC) benefit during the second quarter of fiscal 2024, which was recorded in other expense (income), net.</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cash provided by operations for our material cash requirements, including working capital needs, capital expenditures, satisfaction of contractual commitments (including principal and interest payments on our outstanding indebtedness) and shareholder return through dividend payments and share repurchases.</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$95.1 million for the first nine months of fiscal 2025, compared to $129.3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year period. The decrease in net cash provided by operating activities was primarily driven by cash used for working capital.</w:t>
      </w:r>
    </w:p>
    <w:p>
      <w:pPr>
        <w:spacing w:after="0" w:line="167"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Investing Activities. </w:t>
      </w:r>
      <w:r>
        <w:rPr>
          <w:rFonts w:ascii="Times New Roman" w:cs="Times New Roman" w:eastAsia="Times New Roman" w:hAnsi="Times New Roman"/>
          <w:sz w:val="17"/>
          <w:szCs w:val="17"/>
          <w:color w:val="auto"/>
        </w:rPr>
        <w:t>Net cash used by investing activities was $257.1 million for the first nine months of fiscal 2025, compared to $26.3 million in the prior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 period. The increase in net cash used by investing activities was primarily related to $233.1 million of cash used for the acquisition of UW Solutions.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was $169.0 million for the first nine months of fiscal 2025, compared to $100.4 million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cash used by financing activities in the prior year period. The increase in net cash provided by financing activities was primarily driven by the proceeds of $250.0 million from the delayed draw term loan utilized to finance the UW Solutions acquisition.</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Liquidity Considerations. </w:t>
      </w:r>
      <w:r>
        <w:rPr>
          <w:rFonts w:ascii="Times New Roman" w:cs="Times New Roman" w:eastAsia="Times New Roman" w:hAnsi="Times New Roman"/>
          <w:sz w:val="18"/>
          <w:szCs w:val="18"/>
          <w:color w:val="auto"/>
        </w:rPr>
        <w:t>We periodically evaluate our liquidity requirements, cash needs and availability of debt resources relative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plans, significant capital plans, and other working capital needs.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July 19, 2024, we entered into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five-year revolving credit facility and a committed $250.0 million delayed draw term loan facility. Borrowings under the revolving credit facility can be in Canadian dollars (CAD) limited to $25.0 million USD. The term loan facility may be utilized in up to two drawdowns, which are available to be made within one year after the closing date. The senior credit facility has a term of five years with a maturity date of July 19, 2029.</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Credit Agreement replaces the previous revolving credit facility with Wells Fargo Bank, N.A., as administrative agent, and other lenders, with maximum borrowings up to $385.0 million, and the two Canadian credit facilities with Bank of Montreal totaling $25.0 million USD. Outstanding borrowings under the previous revolving credit facility were $50.0 million as of March 2, 2024. We had no outstanding borrowings under the Canadian facilities as of March 2, 2024.</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a result of the execution of the Credit Agreement, in the second quarter of fiscal 2025, we recognized a loss on extinguishment of debt within interest expense of $0.5 million for the write-off of unamortized financing fees related to the previous revolving credit facility. Additionally, we capitalized $3.0 million of lender fees and $0.8 million of third-party fees incurred in connection with the Credit Agreement, which were recorded as other non-current assets and will be amortized over the term of the credit facility as interest expense.</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November 30, 2024, we were in compliance with all covenants as defined under the terms of the Credit Agreement.</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Credit Agreement also contains an acquisition “holiday.” In the event we make an acquisition for which the purchase price is greater than $75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Borrowings under the Credit Agreement bear floating interest at either the Base Rate or Term Secured Overnight Financing Rate (SOFR), or for CAD borrowings, Canadian Overnight Repo Rate Average (CORRA) plus, in each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 respectively.</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an “accordion” provision. Under this provision, we can request that the senior credit facility be increased by unlimited additional amounts. Any lender may elect or decline to participate in the requested increase at their sole discretion.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November 4, 2024, as part of the acquisition of UW Solutions, and for working capital and general corporate purposes, we executed a drawdown against the delayed draw term loan facility for $250.0 million. Outstanding borrowings under the term loan facility were $230.0 million as of November 30, 2024. Outstanding borrowings under the revolving credit facility were $30.0 million as of November 30, 2024.</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November 30, 2024, we had a total of $27.3 million of ongoing letters of credit related to the senior credit facility and industrial revenue bonds, construction contracts and insurance collateral that expire in fiscal years 2026 through 2032 and reduce borrowing capacity under the revolving credit facility. As of November 30, 2024, the amount available for revolving borrowings was $405.0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 the use of certain assets through operating leases, such as property, manufacturing equipment, vehicles and other equipment. Future payments for such leases, excluding leases with initial terms of one year or less, were $73.9 million at November 30, 2024, with $4.3 million payable during the remainder of fiscal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2024, we had $20.0 million of open purchase obligations, of which payments totaling $14.5 million are expected to become due during the remainder of fiscal 2025. These purchase obligations primarily relate to raw material commitments and capital expenditures and are not expected to impact future liquidity, as amounts should be recovered through customer billings.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$0.4 million to our defined-benefit pension plans in fiscal 2025, which will equal or exceed our minimum funding requirements.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30, 2024, we had reserves of $5.7 million for unrecognized tax benefits. We are unable to reasonably estimate in which future periods the remaining unrecognized tax benefits will ultimately be settled.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required, in the ordinary course of business, to provide surety or performance bonds that commit payments to our customers for any non-performance. At November 30, 2024, $1.2 billion of these types of bonds were outstanding, of which $307.2 million is in our backlog. These bonds have expiration dates that align with completion of the purchase order or contract. We have not been required to make any payments under these bonds with respect to our existing businesses.</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our borrowing capability under our committed revolving credit facility, we believe that our sources of liquidity will be adequate to meet our short-term and long-term liquidity and capital expenditure needs. In addition, we believe we have the ability to obtain both short-term and long-term debt to meet our financing needs, including additional sources of debt to finance potential acquisitions, for the foreseeable future. We also believe we will be able to operate our business so as to continue to be in compliance with our existing debt covenants over the next fiscal year.</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 material changes have occurred in the disclosure with respect to our related party transactions set forth in our Annual Report on Form 10-K for the fiscal year ended March 2,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our Annual Report on Form 10-K for the fiscal year ended March 2, 2024.</w:t>
      </w:r>
    </w:p>
    <w:p>
      <w:pPr>
        <w:spacing w:after="0" w:line="22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Refer to the Company’s Annual Report on Form 10-K for the fiscal year ended March 2, 2024 for a discussion of the Company’s market risk. There have been no material changes in market risk since March 2, 2024.</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left="1300" w:hanging="644"/>
        <w:spacing w:after="0" w:line="254" w:lineRule="auto"/>
        <w:tabs>
          <w:tab w:leader="none" w:pos="12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 There was no change in the Company’s internal control over financial reporting that occurred during the fiscal quarter ended November 30, 2024, that has materially affected, or is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has appealed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or additions to our risk factors discussed in our Annual Report on Form 10-K for the fiscal year ended March 2, 2024.</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third quarter of fiscal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37"/>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60"/>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 (a)</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to September 28, 2024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2,731,910</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29, 2024 to October 26,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19"/>
                <w:szCs w:val="19"/>
                <w:color w:val="auto"/>
              </w:rPr>
            </w:pP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2,731,910</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27, 2024 to November 30, 2024</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2,731,910</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2,731,910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line="271" w:lineRule="auto"/>
        <w:tabs>
          <w:tab w:leader="none" w:pos="33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in this column represent the total number of shares surrendered to us by plan participants to satisfy withholding tax obligations related to share-based compensation. We did not purchase any shares pursuant to our publicly announced repurchase program during the fiscal quarter.</w:t>
      </w:r>
    </w:p>
    <w:p>
      <w:pPr>
        <w:jc w:val="both"/>
        <w:ind w:left="340" w:hanging="332"/>
        <w:spacing w:after="0" w:line="264" w:lineRule="auto"/>
        <w:tabs>
          <w:tab w:leader="none" w:pos="33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on each of the announcement dates of October 3, 2018, January 14, 2022 and October 6, 2023. The repurchase program does not have an expiration date.</w:t>
      </w:r>
    </w:p>
    <w:p>
      <w:pPr>
        <w:spacing w:after="0" w:line="3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Adoption or Termination of Trading Arrangements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November 30, 2024, none of our directors or officers (as defined in Rule 16a-1(f) of the Exchange Act) adopted or terminated any “Rule 10b5-1 trading arrangement” or any “non-Rule 10b5-1 trading arrangement”, as each term is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19"/>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72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7"/>
            <w:shd w:val="clear" w:color="auto" w:fill="CCEEFF"/>
          </w:tcPr>
          <w:p>
            <w:pPr>
              <w:ind w:left="20"/>
              <w:spacing w:after="0" w:line="18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Membership Interest Purchase Agreement, dated as of September 23, 2024, by and among UW Holdings, LLC, UW Interco, LLC</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14"/>
            <w:shd w:val="clear" w:color="auto" w:fill="CCEEFF"/>
          </w:tcPr>
          <w:p>
            <w:pPr>
              <w:ind w:left="20"/>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and Apogee Enterprises, Inc. Incorporate by reference to Exhibit 2.1 to Registrant's Current Report on Form 8-K filed on September</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0000FF"/>
            </w:tcBorders>
            <w:gridSpan w:val="2"/>
            <w:shd w:val="clear" w:color="auto" w:fill="CCEEFF"/>
          </w:tcPr>
          <w:p>
            <w:pPr>
              <w:ind w:left="20"/>
              <w:spacing w:after="0" w:line="16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25, 2024.</w:t>
              </w:r>
            </w:hyperlink>
          </w:p>
        </w:tc>
        <w:tc>
          <w:tcPr>
            <w:tcW w:w="880" w:type="dxa"/>
            <w:vAlign w:val="bottom"/>
            <w:tcBorders>
              <w:top w:val="single" w:sz="8" w:color="0000FF"/>
            </w:tcBorders>
            <w:shd w:val="clear" w:color="auto" w:fill="CCEEFF"/>
          </w:tcPr>
          <w:p>
            <w:pPr>
              <w:spacing w:after="0"/>
              <w:rPr>
                <w:sz w:val="14"/>
                <w:szCs w:val="14"/>
                <w:color w:val="auto"/>
              </w:rPr>
            </w:pPr>
          </w:p>
        </w:tc>
        <w:tc>
          <w:tcPr>
            <w:tcW w:w="60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2920" w:type="dxa"/>
            <w:vAlign w:val="bottom"/>
            <w:tcBorders>
              <w:top w:val="single" w:sz="8" w:color="0000FF"/>
            </w:tcBorders>
            <w:shd w:val="clear" w:color="auto" w:fill="CCEEFF"/>
          </w:tcPr>
          <w:p>
            <w:pPr>
              <w:spacing w:after="0"/>
              <w:rPr>
                <w:sz w:val="14"/>
                <w:szCs w:val="14"/>
                <w:color w:val="auto"/>
              </w:rPr>
            </w:pPr>
          </w:p>
        </w:tc>
        <w:tc>
          <w:tcPr>
            <w:tcW w:w="19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5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spacing w:after="0"/>
              <w:rPr>
                <w:sz w:val="16"/>
                <w:szCs w:val="16"/>
                <w:color w:val="auto"/>
              </w:rPr>
            </w:pPr>
          </w:p>
        </w:tc>
        <w:tc>
          <w:tcPr>
            <w:tcW w:w="9780" w:type="dxa"/>
            <w:vAlign w:val="bottom"/>
            <w:gridSpan w:val="17"/>
          </w:tcPr>
          <w:p>
            <w:pPr>
              <w:ind w:left="20"/>
              <w:spacing w:after="0" w:line="18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Restated Articles of Incorporation. (Incorporated by reference to Exhibit 3.1 to Registrant's Annual Report on Form 10-K for the</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0" w:type="dxa"/>
            <w:vAlign w:val="bottom"/>
            <w:tcBorders>
              <w:top w:val="single" w:sz="8" w:color="0000FF"/>
            </w:tcBorders>
            <w:gridSpan w:val="9"/>
          </w:tcPr>
          <w:p>
            <w:pPr>
              <w:ind w:left="20"/>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year-ended February 28, 2004.)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72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7"/>
            <w:shd w:val="clear" w:color="auto" w:fill="CCEEFF"/>
          </w:tcPr>
          <w:p>
            <w:pPr>
              <w:ind w:left="20"/>
              <w:spacing w:after="0" w:line="18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Articles of Amendment to Restated Articles of Incorporation. Incorporated by reference to Exhibit 3.1 to Registrant's Current Report</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2880" w:type="dxa"/>
            <w:vAlign w:val="bottom"/>
            <w:tcBorders>
              <w:top w:val="single" w:sz="8" w:color="0000FF"/>
              <w:bottom w:val="single" w:sz="8" w:color="0000FF"/>
            </w:tcBorders>
            <w:gridSpan w:val="4"/>
            <w:shd w:val="clear" w:color="auto" w:fill="CCEEFF"/>
          </w:tcPr>
          <w:p>
            <w:pPr>
              <w:ind w:left="20"/>
              <w:spacing w:after="0" w:line="15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on Form 8-K filed on January 16, 2020.</w:t>
              </w:r>
            </w:hyperlink>
          </w:p>
        </w:tc>
        <w:tc>
          <w:tcPr>
            <w:tcW w:w="6900" w:type="dxa"/>
            <w:vAlign w:val="bottom"/>
            <w:tcBorders>
              <w:top w:val="single" w:sz="8" w:color="0000FF"/>
              <w:bottom w:val="single" w:sz="8" w:color="CCEEFF"/>
              <w:right w:val="single" w:sz="8" w:color="CCEEFF"/>
            </w:tcBorders>
            <w:gridSpan w:val="13"/>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720" w:type="dxa"/>
            <w:vAlign w:val="bottom"/>
          </w:tcPr>
          <w:p>
            <w:pPr>
              <w:spacing w:after="0"/>
              <w:rPr>
                <w:sz w:val="16"/>
                <w:szCs w:val="16"/>
                <w:color w:val="auto"/>
              </w:rPr>
            </w:pPr>
          </w:p>
        </w:tc>
        <w:tc>
          <w:tcPr>
            <w:tcW w:w="9780" w:type="dxa"/>
            <w:vAlign w:val="bottom"/>
            <w:gridSpan w:val="17"/>
          </w:tcPr>
          <w:p>
            <w:pPr>
              <w:ind w:left="20"/>
              <w:spacing w:after="0" w:line="18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Amended and Restated Bylaws of Apogee Enterprises, Inc. Incorporated by reference to Exhibit 3.3 to the Registrant’s Quarterly</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20" w:type="dxa"/>
            <w:vAlign w:val="bottom"/>
            <w:tcBorders>
              <w:top w:val="single" w:sz="8" w:color="0000FF"/>
            </w:tcBorders>
            <w:gridSpan w:val="10"/>
          </w:tcPr>
          <w:p>
            <w:pPr>
              <w:ind w:left="20"/>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Report on Form 10-Q filed on July 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7"/>
            <w:shd w:val="clear" w:color="auto" w:fill="CCEEFF"/>
          </w:tcPr>
          <w:p>
            <w:pPr>
              <w:ind w:left="20"/>
              <w:spacing w:after="0" w:line="18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Apogee Enterprises, Inc. 2019 Non-Employee Director Stock Plan as Amended and Restated (2024). Incorporated by reference to</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6060" w:type="dxa"/>
            <w:vAlign w:val="bottom"/>
            <w:tcBorders>
              <w:top w:val="single" w:sz="8" w:color="0000FF"/>
              <w:bottom w:val="single" w:sz="8" w:color="0000FF"/>
            </w:tcBorders>
            <w:gridSpan w:val="6"/>
            <w:shd w:val="clear" w:color="auto" w:fill="CCEEFF"/>
          </w:tcPr>
          <w:p>
            <w:pPr>
              <w:ind w:left="20"/>
              <w:spacing w:after="0" w:line="15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Exhibit 4.5 to Apogee’s Registration Statement on Form S-8 filed on June 20, 2024.</w:t>
              </w:r>
            </w:hyperlink>
          </w:p>
        </w:tc>
        <w:tc>
          <w:tcPr>
            <w:tcW w:w="368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720" w:type="dxa"/>
            <w:vAlign w:val="bottom"/>
          </w:tcPr>
          <w:p>
            <w:pPr>
              <w:spacing w:after="0"/>
              <w:rPr>
                <w:sz w:val="16"/>
                <w:szCs w:val="16"/>
                <w:color w:val="auto"/>
              </w:rPr>
            </w:pPr>
          </w:p>
        </w:tc>
        <w:tc>
          <w:tcPr>
            <w:tcW w:w="9780" w:type="dxa"/>
            <w:vAlign w:val="bottom"/>
            <w:gridSpan w:val="17"/>
          </w:tcPr>
          <w:p>
            <w:pPr>
              <w:ind w:left="20"/>
              <w:spacing w:after="0" w:line="18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Credit Agreement dated July 19, 2024 between Apogee Enterprises, Inc., certain material domestic subsidiaries of the Company as</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60" w:type="dxa"/>
            <w:vAlign w:val="bottom"/>
            <w:tcBorders>
              <w:top w:val="single" w:sz="8" w:color="0000FF"/>
            </w:tcBorders>
            <w:gridSpan w:val="12"/>
          </w:tcPr>
          <w:p>
            <w:pPr>
              <w:ind w:left="20"/>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guarantors, Bank of America, N.A., as administrative agent, swingline lender and L/C issuer and the syndicate of lenders which are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40" w:type="dxa"/>
            <w:vAlign w:val="bottom"/>
            <w:tcBorders>
              <w:top w:val="single" w:sz="8" w:color="0000FF"/>
            </w:tcBorders>
            <w:gridSpan w:val="11"/>
          </w:tcPr>
          <w:p>
            <w:pPr>
              <w:ind w:left="20"/>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party thereto from time to time. Incorporated by reference to Exhibit 10.1 to Registrant's Current Report on Form 8-K filed on July</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Borders>
              <w:top w:val="single" w:sz="8" w:color="0000FF"/>
            </w:tcBorders>
            <w:gridSpan w:val="2"/>
          </w:tcPr>
          <w:p>
            <w:pPr>
              <w:ind w:left="20"/>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25, 2024.</w:t>
              </w:r>
            </w:hyperlink>
          </w:p>
        </w:tc>
        <w:tc>
          <w:tcPr>
            <w:tcW w:w="8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92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720" w:type="dxa"/>
            <w:vAlign w:val="bottom"/>
            <w:shd w:val="clear" w:color="auto" w:fill="CCEEFF"/>
          </w:tcPr>
          <w:p>
            <w:pPr>
              <w:spacing w:after="0"/>
              <w:rPr>
                <w:sz w:val="18"/>
                <w:szCs w:val="18"/>
                <w:color w:val="auto"/>
              </w:rPr>
            </w:pPr>
          </w:p>
        </w:tc>
        <w:tc>
          <w:tcPr>
            <w:tcW w:w="9780" w:type="dxa"/>
            <w:vAlign w:val="bottom"/>
            <w:tcBorders>
              <w:right w:val="single" w:sz="8" w:color="CCEEFF"/>
            </w:tcBorders>
            <w:gridSpan w:val="1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under the Securities Exchange Act of 1934.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720" w:type="dxa"/>
            <w:vAlign w:val="bottom"/>
            <w:tcBorders>
              <w:top w:val="single" w:sz="8" w:color="CCEEFF"/>
            </w:tcBorders>
          </w:tcPr>
          <w:p>
            <w:pPr>
              <w:spacing w:after="0"/>
              <w:rPr>
                <w:sz w:val="16"/>
                <w:szCs w:val="16"/>
                <w:color w:val="auto"/>
              </w:rPr>
            </w:pPr>
          </w:p>
        </w:tc>
        <w:tc>
          <w:tcPr>
            <w:tcW w:w="8040" w:type="dxa"/>
            <w:vAlign w:val="bottom"/>
            <w:tcBorders>
              <w:top w:val="single" w:sz="8" w:color="0000FF"/>
            </w:tcBorders>
            <w:gridSpan w:val="8"/>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13a-14(a) under the Securities Exchange Act of 1934.</w:t>
            </w:r>
          </w:p>
        </w:tc>
        <w:tc>
          <w:tcPr>
            <w:tcW w:w="1740" w:type="dxa"/>
            <w:vAlign w:val="bottom"/>
            <w:tcBorders>
              <w:top w:val="single" w:sz="8" w:color="CCEEFF"/>
            </w:tcBorders>
            <w:gridSpan w:val="9"/>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920" w:type="dxa"/>
            <w:vAlign w:val="bottom"/>
            <w:tcBorders>
              <w:top w:val="single" w:sz="8" w:color="0000FF"/>
            </w:tcBorders>
          </w:tcPr>
          <w:p>
            <w:pPr>
              <w:spacing w:after="0" w:line="20" w:lineRule="exact"/>
              <w:rPr>
                <w:sz w:val="1"/>
                <w:szCs w:val="1"/>
                <w:color w:val="auto"/>
              </w:rPr>
            </w:pPr>
          </w:p>
        </w:tc>
        <w:tc>
          <w:tcPr>
            <w:tcW w:w="19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72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0000FF"/>
              <w:bottom w:val="single" w:sz="8" w:color="0000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28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720" w:type="dxa"/>
            <w:vAlign w:val="bottom"/>
          </w:tcPr>
          <w:p>
            <w:pPr>
              <w:spacing w:after="0"/>
              <w:rPr>
                <w:sz w:val="16"/>
                <w:szCs w:val="16"/>
                <w:color w:val="auto"/>
              </w:rPr>
            </w:pPr>
          </w:p>
        </w:tc>
        <w:tc>
          <w:tcPr>
            <w:tcW w:w="9780" w:type="dxa"/>
            <w:vAlign w:val="bottom"/>
            <w:gridSpan w:val="17"/>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720" w:type="dxa"/>
            <w:vAlign w:val="bottom"/>
            <w:tcBorders>
              <w:top w:val="single" w:sz="8" w:color="0000FF"/>
            </w:tcBorders>
            <w:gridSpan w:val="15"/>
          </w:tcPr>
          <w:p>
            <w:pPr>
              <w:ind w:left="20"/>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7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shd w:val="clear" w:color="auto" w:fill="CCEEFF"/>
          </w:tcPr>
          <w:p>
            <w:pPr>
              <w:spacing w:after="0"/>
              <w:rPr>
                <w:sz w:val="17"/>
                <w:szCs w:val="17"/>
                <w:color w:val="auto"/>
              </w:rPr>
            </w:pPr>
          </w:p>
        </w:tc>
        <w:tc>
          <w:tcPr>
            <w:tcW w:w="9780" w:type="dxa"/>
            <w:vAlign w:val="bottom"/>
            <w:tcBorders>
              <w:right w:val="single" w:sz="8" w:color="CCEEFF"/>
            </w:tcBorders>
            <w:gridSpan w:val="17"/>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The following materials from Apogee Enterprises, Inc.’s Quarterly Report on Form 10-Q for the quarter ended November 30, 2024,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780" w:type="dxa"/>
            <w:vAlign w:val="bottom"/>
            <w:tcBorders>
              <w:right w:val="single" w:sz="8" w:color="CCEEFF"/>
            </w:tcBorders>
            <w:gridSpan w:val="17"/>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formatted in iXBRL (Inline Extensible Business Reporting Language): (i) the Consolidated Balance Sheets as of November 30, 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780" w:type="dxa"/>
            <w:vAlign w:val="bottom"/>
            <w:tcBorders>
              <w:right w:val="single" w:sz="8" w:color="CCEEFF"/>
            </w:tcBorders>
            <w:gridSpan w:val="17"/>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and March 2, 2024, (ii) the Consolidated Results of Operations for the three- and nine-months ended November 30, 2024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780" w:type="dxa"/>
            <w:vAlign w:val="bottom"/>
            <w:tcBorders>
              <w:right w:val="single" w:sz="8" w:color="CCEEFF"/>
            </w:tcBorders>
            <w:gridSpan w:val="17"/>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November 25, 2023, (iii) the Consolidated Statements of Comprehensive Earnings for the three- and nine-months ended November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780" w:type="dxa"/>
            <w:vAlign w:val="bottom"/>
            <w:tcBorders>
              <w:right w:val="single" w:sz="8" w:color="CCEEFF"/>
            </w:tcBorders>
            <w:gridSpan w:val="17"/>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30, 2024 and November 25, 2023, (iv) the Consolidated Statements of Cash Flows for the nine-months ended November 30, 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780" w:type="dxa"/>
            <w:vAlign w:val="bottom"/>
            <w:tcBorders>
              <w:right w:val="single" w:sz="8" w:color="CCEEFF"/>
            </w:tcBorders>
            <w:gridSpan w:val="17"/>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and November 25, 2023, (v) the Consolidated Statements of Shareholders' Equity for the three- and nine-months ended November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780" w:type="dxa"/>
            <w:vAlign w:val="bottom"/>
            <w:tcBorders>
              <w:right w:val="single" w:sz="8" w:color="CCEEFF"/>
            </w:tcBorders>
            <w:gridSpan w:val="1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2024 and November 25, 2023, and (vi) Notes to Consolidated Financial Statements.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19"/>
                <w:szCs w:val="19"/>
                <w:color w:val="auto"/>
              </w:rPr>
            </w:pPr>
          </w:p>
        </w:tc>
        <w:tc>
          <w:tcPr>
            <w:tcW w:w="978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780" w:type="dxa"/>
            <w:vAlign w:val="bottom"/>
            <w:tcBorders>
              <w:right w:val="single" w:sz="8" w:color="CCEEFF"/>
            </w:tcBorders>
            <w:gridSpan w:val="1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Exhibits marked with a (#) sign are filed herewith.</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700" w:type="dxa"/>
            <w:vAlign w:val="bottom"/>
          </w:tcPr>
          <w:p>
            <w:pPr>
              <w:spacing w:after="0"/>
              <w:rPr>
                <w:sz w:val="24"/>
                <w:szCs w:val="24"/>
                <w:color w:val="auto"/>
              </w:rPr>
            </w:pPr>
          </w:p>
        </w:tc>
        <w:tc>
          <w:tcPr>
            <w:tcW w:w="6780" w:type="dxa"/>
            <w:vAlign w:val="bottom"/>
            <w:gridSpan w:val="7"/>
          </w:tcPr>
          <w:p>
            <w:pPr>
              <w:jc w:val="right"/>
              <w:ind w:right="1760"/>
              <w:spacing w:after="0"/>
              <w:rPr>
                <w:sz w:val="20"/>
                <w:szCs w:val="20"/>
                <w:color w:val="auto"/>
              </w:rPr>
            </w:pPr>
            <w:r>
              <w:rPr>
                <w:rFonts w:ascii="Times New Roman" w:cs="Times New Roman" w:eastAsia="Times New Roman" w:hAnsi="Times New Roman"/>
                <w:sz w:val="18"/>
                <w:szCs w:val="18"/>
                <w:color w:val="auto"/>
              </w:rPr>
              <w:t>35</w:t>
            </w: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93"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January 7, 2025</w:t>
      </w:r>
      <w:r>
        <w:rPr>
          <w:sz w:val="20"/>
          <w:szCs w:val="20"/>
          <w:color w:val="auto"/>
        </w:rPr>
        <w:tab/>
      </w:r>
      <w:r>
        <w:rPr>
          <w:rFonts w:ascii="Times New Roman" w:cs="Times New Roman" w:eastAsia="Times New Roman" w:hAnsi="Times New Roman"/>
          <w:sz w:val="17"/>
          <w:szCs w:val="17"/>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36087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Ty R. Silberhorn</w:t>
      </w:r>
    </w:p>
    <w:p>
      <w:pPr>
        <w:ind w:left="604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8"/>
          <w:szCs w:val="18"/>
          <w:color w:val="auto"/>
        </w:rPr>
        <w:t>Date: January 7, 2025</w:t>
      </w:r>
      <w:r>
        <w:rPr>
          <w:sz w:val="20"/>
          <w:szCs w:val="20"/>
          <w:color w:val="auto"/>
        </w:rPr>
        <w:tab/>
      </w:r>
      <w:r>
        <w:rPr>
          <w:rFonts w:ascii="Times New Roman" w:cs="Times New Roman" w:eastAsia="Times New Roman" w:hAnsi="Times New Roman"/>
          <w:sz w:val="17"/>
          <w:szCs w:val="17"/>
          <w:color w:val="auto"/>
        </w:rPr>
        <w:t>By: /s/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17145</wp:posOffset>
            </wp:positionV>
            <wp:extent cx="36175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Matthew J. Osberg</w:t>
      </w:r>
    </w:p>
    <w:p>
      <w:pPr>
        <w:ind w:left="602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60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00"/>
          </w:cols>
          <w:pgMar w:left="320" w:top="121" w:right="37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20" w:hanging="652"/>
        <w:spacing w:after="0" w:line="266" w:lineRule="auto"/>
        <w:tabs>
          <w:tab w:leader="none" w:pos="195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6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5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hanging="652"/>
        <w:spacing w:after="0" w:line="266" w:lineRule="auto"/>
        <w:tabs>
          <w:tab w:leader="none" w:pos="196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120" w:hanging="652"/>
        <w:spacing w:after="0" w:line="266" w:lineRule="auto"/>
        <w:tabs>
          <w:tab w:leader="none" w:pos="195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140" w:hanging="652"/>
        <w:spacing w:after="0" w:line="282" w:lineRule="auto"/>
        <w:tabs>
          <w:tab w:leader="none" w:pos="196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7, 2025</w:t>
      </w:r>
    </w:p>
    <w:p>
      <w:pPr>
        <w:spacing w:after="0" w:line="7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43180</wp:posOffset>
            </wp:positionV>
            <wp:extent cx="27863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8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Ty R. Silberhorn</w:t>
      </w:r>
    </w:p>
    <w:p>
      <w:pPr>
        <w:spacing w:after="0" w:line="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91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Osberg, certify that:</w:t>
      </w:r>
    </w:p>
    <w:p>
      <w:pPr>
        <w:spacing w:after="0" w:line="117"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8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20" w:hanging="652"/>
        <w:spacing w:after="0" w:line="266" w:lineRule="auto"/>
        <w:tabs>
          <w:tab w:leader="none" w:pos="22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300" w:hanging="652"/>
        <w:spacing w:after="0" w:line="266" w:lineRule="auto"/>
        <w:tabs>
          <w:tab w:leader="none" w:pos="227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60" w:hanging="652"/>
        <w:spacing w:after="0" w:line="282" w:lineRule="auto"/>
        <w:tabs>
          <w:tab w:leader="none" w:pos="22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7, 2025</w:t>
      </w:r>
    </w:p>
    <w:p>
      <w:pPr>
        <w:spacing w:after="0" w:line="33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30861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Matthew J. Osberg</w:t>
      </w:r>
    </w:p>
    <w:p>
      <w:pPr>
        <w:ind w:left="64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November 30, 2024 as filed with the Securities and Exchange Commission (the “Report”), I, Ty R. Silberhorn, President and Chief Executive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Ty R. Silberhorn</w:t>
      </w: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7, 2025</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November 30, 2024 as filed with the Securities and Exchange Commission (the “Report”), I, Matthew J. Osberg, Executive Vice President and Chief Financial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54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Matthew J. Osberg</w:t>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7,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4"/>
    </w:lvl>
  </w:abstractNum>
  <w:abstractNum w:abstractNumId="5">
    <w:nsid w:val="75A2A8D4"/>
    <w:multiLevelType w:val="hybridMultilevel"/>
    <w:lvl w:ilvl="0">
      <w:lvlJc w:val="left"/>
      <w:lvlText w:val="%1."/>
      <w:numFmt w:val="decimal"/>
      <w:start w:val="6"/>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7"/>
    </w:lvl>
  </w:abstractNum>
  <w:abstractNum w:abstractNumId="9">
    <w:nsid w:val="B03E0C6"/>
    <w:multiLevelType w:val="hybridMultilevel"/>
    <w:lvl w:ilvl="0">
      <w:lvlJc w:val="left"/>
      <w:lvlText w:val="%1."/>
      <w:numFmt w:val="decimal"/>
      <w:start w:val="8"/>
    </w:lvl>
  </w:abstractNum>
  <w:abstractNum w:abstractNumId="10">
    <w:nsid w:val="189A769B"/>
    <w:multiLevelType w:val="hybridMultilevel"/>
    <w:lvl w:ilvl="0">
      <w:lvlJc w:val="left"/>
      <w:lvlText w:val="%1."/>
      <w:numFmt w:val="decimal"/>
      <w:start w:val="9"/>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lvl w:ilvl="1">
      <w:lvlJc w:val="left"/>
      <w:lvlText w:val="•"/>
      <w:numFmt w:val="bullet"/>
      <w:start w:val="1"/>
    </w:lvl>
  </w:abstractNum>
  <w:abstractNum w:abstractNumId="32">
    <w:nsid w:val="7724C67E"/>
    <w:multiLevelType w:val="hybridMultilevel"/>
    <w:lvl w:ilvl="0">
      <w:lvlJc w:val="left"/>
      <w:lvlText w:val="(%1)"/>
      <w:numFmt w:val="decimal"/>
      <w:start w:val="1"/>
    </w:lvl>
    <w:lvl w:ilvl="1">
      <w:lvlJc w:val="left"/>
      <w:lvlText w:val="•"/>
      <w:numFmt w:val="bullet"/>
      <w:start w:val="1"/>
    </w:lvl>
  </w:abstractNum>
  <w:abstractNum w:abstractNumId="33">
    <w:nsid w:val="5C482A97"/>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34">
    <w:nsid w:val="2463B9EA"/>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35">
    <w:nsid w:val="5E884ADC"/>
    <w:multiLevelType w:val="hybridMultilevel"/>
    <w:lvl w:ilvl="0">
      <w:lvlJc w:val="left"/>
      <w:lvlText w:val="(%1)"/>
      <w:numFmt w:val="decimal"/>
      <w:start w:val="1"/>
    </w:lvl>
    <w:lvl w:ilvl="1">
      <w:lvlJc w:val="left"/>
      <w:lvlText w:val="•"/>
      <w:numFmt w:val="bullet"/>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54" Type="http://schemas.openxmlformats.org/officeDocument/2006/relationships/hyperlink" Target="https://www.sec.gov/Archives/edgar/data/6845/000000684524000238/ex21husky-membershipintere.htm" TargetMode="External"/><Relationship Id="rId55" Type="http://schemas.openxmlformats.org/officeDocument/2006/relationships/hyperlink" Target="https://www.sec.gov/Archives/edgar/data/6845/000119312504079352/dex31.htm" TargetMode="External"/><Relationship Id="rId56" Type="http://schemas.openxmlformats.org/officeDocument/2006/relationships/hyperlink" Target="https://www.sec.gov/Archives/edgar/data/6845/000119312520008887/d874518dex31.htm" TargetMode="External"/><Relationship Id="rId57" Type="http://schemas.openxmlformats.org/officeDocument/2006/relationships/hyperlink" Target="https://www.sec.gov/Archives/edgar/data/0000006845/000000684521000020/apog-ex33arbylawsfinalapri.htm" TargetMode="External"/><Relationship Id="rId58" Type="http://schemas.openxmlformats.org/officeDocument/2006/relationships/hyperlink" Target="https://www.sec.gov/Archives/edgar/data/6845/000000684524000182/exhibit45plan.htm" TargetMode="External"/><Relationship Id="rId59" Type="http://schemas.openxmlformats.org/officeDocument/2006/relationships/hyperlink" Target="https://www.sec.gov/Archives/edgar/data/6845/000000684524000227/ex101creditagreement-2024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2025-01-07T14:44:39Z</dcterms:created>
  <dcterms:modified xsi:type="dcterms:W3CDTF">2025-01-07T14:44:39Z</dcterms:modified>
</cp:coreProperties>
</file>