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38" w:lineRule="exact"/>
        <w:rPr>
          <w:sz w:val="24"/>
          <w:szCs w:val="24"/>
          <w:color w:val="auto"/>
        </w:rPr>
      </w:pPr>
    </w:p>
    <w:p>
      <w:pPr>
        <w:ind w:left="720" w:right="320" w:hanging="685"/>
        <w:spacing w:after="0" w:line="262"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 2017</w:t>
      </w:r>
    </w:p>
    <w:p>
      <w:pPr>
        <w:spacing w:after="0" w:line="270" w:lineRule="exact"/>
        <w:rPr>
          <w:sz w:val="24"/>
          <w:szCs w:val="24"/>
          <w:color w:val="auto"/>
        </w:rPr>
      </w:pPr>
    </w:p>
    <w:p>
      <w:pPr>
        <w:ind w:left="720" w:right="300" w:hanging="685"/>
        <w:spacing w:after="0" w:line="262" w:lineRule="auto"/>
        <w:tabs>
          <w:tab w:leader="none" w:pos="7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9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0-6365</w:t>
      </w:r>
    </w:p>
    <w:p>
      <w:pPr>
        <w:spacing w:after="0" w:line="6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APOGEE ENTERPRISES,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49" w:lineRule="exact"/>
        <w:rPr>
          <w:sz w:val="24"/>
          <w:szCs w:val="24"/>
          <w:color w:val="auto"/>
        </w:rPr>
      </w:pPr>
    </w:p>
    <w:tbl>
      <w:tblPr>
        <w:tblLayout w:type="fixed"/>
        <w:tblInd w:w="1480" w:type="dxa"/>
        <w:tblCellMar>
          <w:top w:w="0" w:type="dxa"/>
          <w:left w:w="0" w:type="dxa"/>
          <w:bottom w:w="0" w:type="dxa"/>
          <w:right w:w="0" w:type="dxa"/>
        </w:tblCellMar>
      </w:tblPr>
      <w:tr>
        <w:trPr>
          <w:trHeight w:val="238"/>
        </w:trPr>
        <w:tc>
          <w:tcPr>
            <w:tcW w:w="4600" w:type="dxa"/>
            <w:vAlign w:val="bottom"/>
          </w:tcPr>
          <w:p>
            <w:pPr>
              <w:jc w:val="center"/>
              <w:ind w:right="1979"/>
              <w:spacing w:after="0"/>
              <w:rPr>
                <w:sz w:val="20"/>
                <w:szCs w:val="20"/>
                <w:color w:val="auto"/>
              </w:rPr>
            </w:pPr>
            <w:r>
              <w:rPr>
                <w:rFonts w:ascii="Times New Roman" w:cs="Times New Roman" w:eastAsia="Times New Roman" w:hAnsi="Times New Roman"/>
                <w:sz w:val="18"/>
                <w:szCs w:val="18"/>
                <w:b w:val="1"/>
                <w:bCs w:val="1"/>
                <w:color w:val="auto"/>
              </w:rPr>
              <w:t>Minnesota</w:t>
            </w:r>
          </w:p>
        </w:tc>
        <w:tc>
          <w:tcPr>
            <w:tcW w:w="314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41-0919654</w:t>
            </w:r>
          </w:p>
        </w:tc>
      </w:tr>
      <w:tr>
        <w:trPr>
          <w:trHeight w:val="180"/>
        </w:trPr>
        <w:tc>
          <w:tcPr>
            <w:tcW w:w="4600" w:type="dxa"/>
            <w:vAlign w:val="bottom"/>
          </w:tcPr>
          <w:p>
            <w:pPr>
              <w:jc w:val="center"/>
              <w:ind w:right="197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140" w:type="dxa"/>
            <w:vAlign w:val="bottom"/>
          </w:tcPr>
          <w:p>
            <w:pPr>
              <w:jc w:val="center"/>
              <w:ind w:left="2001"/>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4600" w:type="dxa"/>
            <w:vAlign w:val="bottom"/>
          </w:tcPr>
          <w:p>
            <w:pPr>
              <w:jc w:val="center"/>
              <w:ind w:right="197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140" w:type="dxa"/>
            <w:vAlign w:val="bottom"/>
          </w:tcPr>
          <w:p>
            <w:pPr>
              <w:jc w:val="center"/>
              <w:ind w:left="198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2"/>
        </w:trPr>
        <w:tc>
          <w:tcPr>
            <w:tcW w:w="4600" w:type="dxa"/>
            <w:vAlign w:val="bottom"/>
          </w:tcPr>
          <w:p>
            <w:pPr>
              <w:jc w:val="center"/>
              <w:ind w:right="1979"/>
              <w:spacing w:after="0"/>
              <w:rPr>
                <w:sz w:val="20"/>
                <w:szCs w:val="20"/>
                <w:color w:val="auto"/>
              </w:rPr>
            </w:pPr>
            <w:r>
              <w:rPr>
                <w:rFonts w:ascii="Times New Roman" w:cs="Times New Roman" w:eastAsia="Times New Roman" w:hAnsi="Times New Roman"/>
                <w:sz w:val="18"/>
                <w:szCs w:val="18"/>
                <w:b w:val="1"/>
                <w:bCs w:val="1"/>
                <w:color w:val="auto"/>
                <w:w w:val="97"/>
              </w:rPr>
              <w:t>4400 West 78</w:t>
            </w:r>
            <w:r>
              <w:rPr>
                <w:rFonts w:ascii="Times New Roman" w:cs="Times New Roman" w:eastAsia="Times New Roman" w:hAnsi="Times New Roman"/>
                <w:sz w:val="25"/>
                <w:szCs w:val="25"/>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Street – Suite 520,</w:t>
            </w:r>
          </w:p>
        </w:tc>
        <w:tc>
          <w:tcPr>
            <w:tcW w:w="3140" w:type="dxa"/>
            <w:vAlign w:val="bottom"/>
          </w:tcPr>
          <w:p>
            <w:pPr>
              <w:spacing w:after="0"/>
              <w:rPr>
                <w:sz w:val="24"/>
                <w:szCs w:val="24"/>
                <w:color w:val="auto"/>
              </w:rPr>
            </w:pPr>
          </w:p>
        </w:tc>
      </w:tr>
      <w:tr>
        <w:trPr>
          <w:trHeight w:val="238"/>
        </w:trPr>
        <w:tc>
          <w:tcPr>
            <w:tcW w:w="4600" w:type="dxa"/>
            <w:vAlign w:val="bottom"/>
          </w:tcPr>
          <w:p>
            <w:pPr>
              <w:jc w:val="center"/>
              <w:ind w:right="1979"/>
              <w:spacing w:after="0"/>
              <w:rPr>
                <w:sz w:val="20"/>
                <w:szCs w:val="20"/>
                <w:color w:val="auto"/>
              </w:rPr>
            </w:pPr>
            <w:r>
              <w:rPr>
                <w:rFonts w:ascii="Times New Roman" w:cs="Times New Roman" w:eastAsia="Times New Roman" w:hAnsi="Times New Roman"/>
                <w:sz w:val="18"/>
                <w:szCs w:val="18"/>
                <w:b w:val="1"/>
                <w:bCs w:val="1"/>
                <w:color w:val="auto"/>
                <w:w w:val="99"/>
              </w:rPr>
              <w:t>Minneapolis, MN</w:t>
            </w:r>
          </w:p>
        </w:tc>
        <w:tc>
          <w:tcPr>
            <w:tcW w:w="3140" w:type="dxa"/>
            <w:vAlign w:val="bottom"/>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55435</w:t>
            </w:r>
          </w:p>
        </w:tc>
      </w:tr>
      <w:tr>
        <w:trPr>
          <w:trHeight w:val="220"/>
        </w:trPr>
        <w:tc>
          <w:tcPr>
            <w:tcW w:w="4600" w:type="dxa"/>
            <w:vAlign w:val="bottom"/>
          </w:tcPr>
          <w:p>
            <w:pPr>
              <w:jc w:val="center"/>
              <w:ind w:right="19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140" w:type="dxa"/>
            <w:vAlign w:val="bottom"/>
          </w:tcPr>
          <w:p>
            <w:pPr>
              <w:jc w:val="center"/>
              <w:ind w:left="198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(952) 835-1874</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ind w:left="420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95" w:right="239" w:bottom="1440" w:gutter="0" w:footer="0" w:header="0"/>
        </w:sectPr>
      </w:pPr>
    </w:p>
    <w:p>
      <w:pPr>
        <w:spacing w:after="0" w:line="20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x</w:t>
            </w:r>
          </w:p>
        </w:tc>
        <w:tc>
          <w:tcPr>
            <w:tcW w:w="26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 (Do not check if a smaller reporting company)</w:t>
            </w:r>
          </w:p>
        </w:tc>
        <w:tc>
          <w:tcPr>
            <w:tcW w:w="26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4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w:t>
            </w:r>
          </w:p>
        </w:tc>
        <w:tc>
          <w:tcPr>
            <w:tcW w:w="2600" w:type="dxa"/>
            <w:vAlign w:val="bottom"/>
          </w:tcPr>
          <w:p>
            <w:pPr>
              <w:spacing w:after="0"/>
              <w:rPr>
                <w:sz w:val="24"/>
                <w:szCs w:val="24"/>
                <w:color w:val="auto"/>
              </w:rPr>
            </w:pPr>
          </w:p>
        </w:tc>
      </w:tr>
    </w:tbl>
    <w:p>
      <w:pPr>
        <w:spacing w:after="0" w:line="36" w:lineRule="exact"/>
        <w:rPr>
          <w:sz w:val="24"/>
          <w:szCs w:val="24"/>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ectPr>
          <w:pgSz w:w="11900" w:h="16838" w:orient="portrait"/>
          <w:cols w:equalWidth="0" w:num="2">
            <w:col w:w="10460" w:space="320"/>
            <w:col w:w="640"/>
          </w:cols>
          <w:pgMar w:left="240" w:top="795" w:right="239" w:bottom="1440" w:gutter="0" w:footer="0" w:header="0"/>
          <w:type w:val="continuous"/>
        </w:sectPr>
      </w:pPr>
    </w:p>
    <w:bookmarkStart w:id="1" w:name="page2"/>
    <w:bookmarkEnd w:id="1"/>
    <w:p>
      <w:pPr>
        <w:ind w:right="839"/>
        <w:spacing w:after="0" w:line="470"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o Yes x No As of July 11, 2017, 28,848,271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26" w:right="1440"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APOGEE ENTERPRISES, INC. AND SUBSIDIARIES</w:t>
      </w: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20" w:type="dxa"/>
            <w:vAlign w:val="bottom"/>
            <w:gridSpan w:val="5"/>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00" w:type="dxa"/>
            <w:vAlign w:val="bottom"/>
            <w:tcBorders>
              <w:bottom w:val="single" w:sz="8" w:color="0000FF"/>
            </w:tcBorders>
            <w:gridSpan w:val="5"/>
          </w:tcPr>
          <w:p>
            <w:pPr>
              <w:spacing w:after="0"/>
              <w:rPr>
                <w:rFonts w:ascii="Times New Roman" w:cs="Times New Roman" w:eastAsia="Times New Roman" w:hAnsi="Times New Roman"/>
                <w:sz w:val="18"/>
                <w:szCs w:val="18"/>
                <w:b w:val="1"/>
                <w:bCs w:val="1"/>
                <w:color w:val="0000FF"/>
                <w:w w:val="98"/>
              </w:rPr>
            </w:pPr>
            <w:hyperlink w:anchor="page4">
              <w:r>
                <w:rPr>
                  <w:rFonts w:ascii="Times New Roman" w:cs="Times New Roman" w:eastAsia="Times New Roman" w:hAnsi="Times New Roman"/>
                  <w:sz w:val="18"/>
                  <w:szCs w:val="18"/>
                  <w:b w:val="1"/>
                  <w:bCs w:val="1"/>
                  <w:color w:val="0000FF"/>
                  <w:w w:val="98"/>
                </w:rPr>
                <w:t>Financial Information</w:t>
              </w:r>
            </w:hyperlink>
          </w:p>
        </w:tc>
        <w:tc>
          <w:tcPr>
            <w:tcW w:w="6180" w:type="dxa"/>
            <w:vAlign w:val="bottom"/>
            <w:gridSpan w:val="11"/>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7880" w:type="dxa"/>
            <w:vAlign w:val="bottom"/>
            <w:gridSpan w:val="16"/>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Financial Statements (Unaudited):</w:t>
              </w:r>
            </w:hyperlink>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tcBorders>
              <w:top w:val="single" w:sz="8" w:color="0000FF"/>
            </w:tcBorders>
            <w:gridSpan w:val="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w:t>
              </w:r>
            </w:hyperlink>
          </w:p>
        </w:tc>
        <w:tc>
          <w:tcPr>
            <w:tcW w:w="5420" w:type="dxa"/>
            <w:vAlign w:val="bottom"/>
            <w:gridSpan w:val="8"/>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Results of Operations</w:t>
              </w:r>
            </w:hyperlink>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Comprehensive Earnings</w:t>
              </w:r>
            </w:hyperlink>
          </w:p>
        </w:tc>
        <w:tc>
          <w:tcPr>
            <w:tcW w:w="4040" w:type="dxa"/>
            <w:vAlign w:val="bottom"/>
            <w:gridSpan w:val="3"/>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6</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Cash Flows</w:t>
              </w:r>
            </w:hyperlink>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Consolidated Statements of Shareholders' Equity</w:t>
              </w:r>
            </w:hyperlink>
          </w:p>
        </w:tc>
        <w:tc>
          <w:tcPr>
            <w:tcW w:w="436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8</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Notes to Consolidated Financial Statements</w:t>
              </w:r>
            </w:hyperlink>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rFonts w:ascii="Times New Roman" w:cs="Times New Roman" w:eastAsia="Times New Roman" w:hAnsi="Times New Roman"/>
                <w:sz w:val="18"/>
                <w:szCs w:val="18"/>
                <w:color w:val="0000FF"/>
                <w:w w:val="99"/>
              </w:rPr>
            </w:pPr>
            <w:hyperlink w:anchor="page17">
              <w:r>
                <w:rPr>
                  <w:rFonts w:ascii="Times New Roman" w:cs="Times New Roman" w:eastAsia="Times New Roman" w:hAnsi="Times New Roman"/>
                  <w:sz w:val="18"/>
                  <w:szCs w:val="18"/>
                  <w:color w:val="0000FF"/>
                  <w:w w:val="99"/>
                </w:rPr>
                <w:t>Management’s Discussion and Analysis of Financial Condition and Results of Operations</w:t>
              </w:r>
            </w:hyperlink>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17">
              <w:r>
                <w:rPr>
                  <w:rFonts w:ascii="Times New Roman" w:cs="Times New Roman" w:eastAsia="Times New Roman" w:hAnsi="Times New Roman"/>
                  <w:sz w:val="18"/>
                  <w:szCs w:val="18"/>
                  <w:color w:val="0000FF"/>
                </w:rPr>
                <w:t>17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rPr>
                <w:rFonts w:ascii="Times New Roman" w:cs="Times New Roman" w:eastAsia="Times New Roman" w:hAnsi="Times New Roman"/>
                <w:sz w:val="18"/>
                <w:szCs w:val="18"/>
                <w:color w:val="0000FF"/>
                <w:w w:val="98"/>
              </w:rPr>
            </w:pPr>
            <w:hyperlink w:anchor="page22">
              <w:r>
                <w:rPr>
                  <w:rFonts w:ascii="Times New Roman" w:cs="Times New Roman" w:eastAsia="Times New Roman" w:hAnsi="Times New Roman"/>
                  <w:sz w:val="18"/>
                  <w:szCs w:val="18"/>
                  <w:color w:val="0000FF"/>
                  <w:w w:val="98"/>
                </w:rPr>
                <w:t>Quantitative and Qualitative Disclosures About Market Risk</w:t>
              </w:r>
            </w:hyperlink>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22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354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4"/>
          </w:tcPr>
          <w:p>
            <w:pPr>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Controls and Procedures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22</w:t>
              </w:r>
            </w:hyperlink>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b w:val="1"/>
                <w:bCs w:val="1"/>
                <w:color w:val="0000FF"/>
                <w:w w:val="98"/>
              </w:rPr>
            </w:pPr>
            <w:hyperlink w:anchor="page22">
              <w:r>
                <w:rPr>
                  <w:rFonts w:ascii="Times New Roman" w:cs="Times New Roman" w:eastAsia="Times New Roman" w:hAnsi="Times New Roman"/>
                  <w:sz w:val="18"/>
                  <w:szCs w:val="18"/>
                  <w:b w:val="1"/>
                  <w:bCs w:val="1"/>
                  <w:color w:val="0000FF"/>
                  <w:w w:val="98"/>
                </w:rPr>
                <w:t>Other Information</w:t>
              </w:r>
            </w:hyperlink>
          </w:p>
        </w:tc>
        <w:tc>
          <w:tcPr>
            <w:tcW w:w="320" w:type="dxa"/>
            <w:vAlign w:val="bottom"/>
            <w:tcBorders>
              <w:top w:val="single" w:sz="8" w:color="0000FF"/>
            </w:tcBorders>
            <w:gridSpan w:val="2"/>
          </w:tcPr>
          <w:p>
            <w:pPr>
              <w:spacing w:after="0"/>
              <w:rPr>
                <w:sz w:val="24"/>
                <w:szCs w:val="24"/>
                <w:color w:val="auto"/>
              </w:rPr>
            </w:pPr>
          </w:p>
        </w:tc>
        <w:tc>
          <w:tcPr>
            <w:tcW w:w="612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7880" w:type="dxa"/>
            <w:vAlign w:val="bottom"/>
            <w:gridSpan w:val="16"/>
          </w:tcPr>
          <w:p>
            <w:pPr>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Legal Proceedings</w:t>
              </w:r>
            </w:hyperlink>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22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rFonts w:ascii="Times New Roman" w:cs="Times New Roman" w:eastAsia="Times New Roman" w:hAnsi="Times New Roman"/>
                <w:sz w:val="18"/>
                <w:szCs w:val="18"/>
                <w:color w:val="0000FF"/>
                <w:w w:val="97"/>
              </w:rPr>
            </w:pPr>
            <w:hyperlink w:anchor="page23">
              <w:r>
                <w:rPr>
                  <w:rFonts w:ascii="Times New Roman" w:cs="Times New Roman" w:eastAsia="Times New Roman" w:hAnsi="Times New Roman"/>
                  <w:sz w:val="18"/>
                  <w:szCs w:val="18"/>
                  <w:color w:val="0000FF"/>
                  <w:w w:val="97"/>
                </w:rPr>
                <w:t>Risk Factors</w:t>
              </w:r>
            </w:hyperlink>
          </w:p>
        </w:tc>
        <w:tc>
          <w:tcPr>
            <w:tcW w:w="420" w:type="dxa"/>
            <w:vAlign w:val="bottom"/>
          </w:tcPr>
          <w:p>
            <w:pPr>
              <w:spacing w:after="0"/>
              <w:rPr>
                <w:sz w:val="24"/>
                <w:szCs w:val="24"/>
                <w:color w:val="auto"/>
              </w:rPr>
            </w:pPr>
          </w:p>
        </w:tc>
        <w:tc>
          <w:tcPr>
            <w:tcW w:w="6560" w:type="dxa"/>
            <w:vAlign w:val="bottom"/>
            <w:gridSpan w:val="13"/>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14"/>
          </w:tcPr>
          <w:p>
            <w:pPr>
              <w:spacing w:after="0"/>
              <w:rPr>
                <w:rFonts w:ascii="Times New Roman" w:cs="Times New Roman" w:eastAsia="Times New Roman" w:hAnsi="Times New Roman"/>
                <w:sz w:val="18"/>
                <w:szCs w:val="18"/>
                <w:color w:val="0000FF"/>
                <w:w w:val="98"/>
              </w:rPr>
            </w:pPr>
            <w:hyperlink w:anchor="page23">
              <w:r>
                <w:rPr>
                  <w:rFonts w:ascii="Times New Roman" w:cs="Times New Roman" w:eastAsia="Times New Roman" w:hAnsi="Times New Roman"/>
                  <w:sz w:val="18"/>
                  <w:szCs w:val="18"/>
                  <w:color w:val="0000FF"/>
                  <w:w w:val="98"/>
                </w:rPr>
                <w:t>Unregistered Sales of Equity Securities and Use of Proceeds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rFonts w:ascii="Times New Roman" w:cs="Times New Roman" w:eastAsia="Times New Roman" w:hAnsi="Times New Roman"/>
                <w:sz w:val="18"/>
                <w:szCs w:val="18"/>
                <w:color w:val="0000FF"/>
                <w:w w:val="96"/>
              </w:rPr>
            </w:pPr>
            <w:hyperlink w:anchor="page24">
              <w:r>
                <w:rPr>
                  <w:rFonts w:ascii="Times New Roman" w:cs="Times New Roman" w:eastAsia="Times New Roman" w:hAnsi="Times New Roman"/>
                  <w:sz w:val="18"/>
                  <w:szCs w:val="18"/>
                  <w:color w:val="0000FF"/>
                  <w:w w:val="96"/>
                </w:rPr>
                <w:t>Exhibits</w:t>
              </w:r>
            </w:hyperlink>
          </w:p>
        </w:tc>
        <w:tc>
          <w:tcPr>
            <w:tcW w:w="3740" w:type="dxa"/>
            <w:vAlign w:val="bottom"/>
            <w:gridSpan w:val="13"/>
          </w:tcPr>
          <w:p>
            <w:pPr>
              <w:spacing w:after="0"/>
              <w:rPr>
                <w:sz w:val="24"/>
                <w:szCs w:val="24"/>
                <w:color w:val="auto"/>
              </w:rPr>
            </w:pPr>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23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24</w:t>
              </w:r>
            </w:hyperlink>
          </w:p>
        </w:tc>
      </w:tr>
      <w:tr>
        <w:trPr>
          <w:trHeight w:val="507"/>
        </w:trPr>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gridSpan w:val="15"/>
          </w:tcPr>
          <w:p>
            <w:pPr>
              <w:ind w:left="4360"/>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080" w:type="dxa"/>
            <w:vAlign w:val="bottom"/>
            <w:gridSpan w:val="2"/>
          </w:tcPr>
          <w:p>
            <w:pPr>
              <w:ind w:left="29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78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stock data)</w:t>
            </w: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220" w:type="dxa"/>
            <w:vAlign w:val="bottom"/>
          </w:tcPr>
          <w:p>
            <w:pPr>
              <w:spacing w:after="0"/>
              <w:rPr>
                <w:sz w:val="24"/>
                <w:szCs w:val="24"/>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March 4, 2017</w:t>
            </w:r>
          </w:p>
        </w:tc>
        <w:tc>
          <w:tcPr>
            <w:tcW w:w="0" w:type="dxa"/>
            <w:vAlign w:val="bottom"/>
          </w:tcPr>
          <w:p>
            <w:pPr>
              <w:spacing w:after="0"/>
              <w:rPr>
                <w:sz w:val="1"/>
                <w:szCs w:val="1"/>
                <w:color w:val="auto"/>
              </w:rPr>
            </w:pPr>
          </w:p>
        </w:tc>
      </w:tr>
      <w:tr>
        <w:trPr>
          <w:trHeight w:val="249"/>
        </w:trPr>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6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19,463</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Short-term available for sale securities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7,834</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Receivables, net of allowance for doubtful accounts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180,483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185,740</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73,409</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Refundable income taxes</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297,272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297,461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250,979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246,748</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9,041</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101,334</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106,686</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19,363</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779,597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784,658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gridSpan w:val="2"/>
          </w:tcPr>
          <w:p>
            <w:pPr>
              <w:spacing w:after="0"/>
              <w:rPr>
                <w:sz w:val="4"/>
                <w:szCs w:val="4"/>
                <w:color w:val="auto"/>
              </w:rPr>
            </w:pPr>
          </w:p>
        </w:tc>
        <w:tc>
          <w:tcPr>
            <w:tcW w:w="6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63,182</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51,244</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Accrued self-insurance reserves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8,575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34,200</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Billings in excess of costs and earnings on uncompleted contracts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28,857</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167,268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186,058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65,400</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self-insurance reserves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8,831</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45,787</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 (Note 14)</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 28,787,701</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28,680,841, respectively</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9,560</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150,111</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351,872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341,996</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held in trust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Deferred compensation obligations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481,829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470,577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779,597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784,658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420"/>
          </w:cols>
          <w:pgMar w:left="240" w:top="108" w:right="2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08"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May 28, 2016</w:t>
            </w:r>
          </w:p>
        </w:tc>
      </w:tr>
      <w:tr>
        <w:trPr>
          <w:trHeight w:val="24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272,307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247,880</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183,452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64,428</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38,179</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26,249</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26,623</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8,901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17,722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0.62</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28,851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28,702</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28,861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28,895</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May 28, 2016</w:t>
            </w:r>
          </w:p>
        </w:tc>
      </w:tr>
      <w:tr>
        <w:trPr>
          <w:trHeight w:val="24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16,104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17,722</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(loss) on marketable securities, net of $33 and ($9) of tax expense (benefit),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2,893</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2,879</w:t>
            </w:r>
          </w:p>
        </w:tc>
      </w:tr>
      <w:tr>
        <w:trPr>
          <w:trHeight w:val="25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comprehensive earnings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15,448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20,601</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May 28, 2016</w:t>
            </w:r>
          </w:p>
        </w:tc>
      </w:tr>
      <w:tr>
        <w:trPr>
          <w:trHeight w:val="24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16,104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17,722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7,720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1,390</w:t>
            </w:r>
          </w:p>
        </w:tc>
      </w:tr>
      <w:tr>
        <w:trPr>
          <w:trHeight w:val="243"/>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377</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w:t>
            </w:r>
          </w:p>
        </w:tc>
      </w:tr>
      <w:tr>
        <w:trPr>
          <w:trHeight w:val="243"/>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(21,315)</w:t>
            </w:r>
          </w:p>
        </w:tc>
      </w:tr>
      <w:tr>
        <w:trPr>
          <w:trHeight w:val="243"/>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Billings in excess of costs and earnings on uncompleted contracts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10,513</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Refundable and accrued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2,532</w:t>
            </w:r>
          </w:p>
        </w:tc>
      </w:tr>
      <w:tr>
        <w:trPr>
          <w:trHeight w:val="243"/>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 in restricted cash</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Sales/maturities of marketable securities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37"/>
        </w:trPr>
        <w:tc>
          <w:tcPr>
            <w:tcW w:w="85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(20,318)</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1,893</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 withheld for taxes, net of stock issued to employees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r>
      <w:tr>
        <w:trPr>
          <w:trHeight w:val="237"/>
        </w:trPr>
        <w:tc>
          <w:tcPr>
            <w:tcW w:w="85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(23,667)</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60,470</w:t>
            </w: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22,972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36,967</w:t>
            </w:r>
          </w:p>
        </w:tc>
      </w:tr>
      <w:tr>
        <w:trPr>
          <w:trHeight w:val="67"/>
        </w:trPr>
        <w:tc>
          <w:tcPr>
            <w:tcW w:w="84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Noncash Activity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3,455</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Deferred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 Held in</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40" w:type="dxa"/>
            <w:vAlign w:val="bottom"/>
          </w:tcPr>
          <w:p>
            <w:pPr>
              <w:spacing w:after="0"/>
              <w:rPr>
                <w:sz w:val="12"/>
                <w:szCs w:val="12"/>
                <w:color w:val="auto"/>
              </w:rPr>
            </w:pPr>
          </w:p>
        </w:tc>
        <w:tc>
          <w:tcPr>
            <w:tcW w:w="110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r>
      <w:tr>
        <w:trPr>
          <w:trHeight w:val="186"/>
        </w:trPr>
        <w:tc>
          <w:tcPr>
            <w:tcW w:w="3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89"/>
              </w:rPr>
              <w:t>Trust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7"/>
              </w:rPr>
              <w:t>Obligation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4"/>
              </w:rPr>
              <w:t>(Loss) Income</w:t>
            </w:r>
          </w:p>
        </w:tc>
      </w:tr>
      <w:tr>
        <w:trPr>
          <w:trHeight w:val="25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March 4, 2017</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28,680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9,560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150,111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341,996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(31,090)</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earnings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16,104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Unrealized gain on marketable securities, net of $33 tax</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0"/>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62</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r>
      <w:tr>
        <w:trPr>
          <w:trHeight w:val="27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1"/>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dividends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83"/>
        </w:trPr>
        <w:tc>
          <w:tcPr>
            <w:tcW w:w="33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June 3, 2017</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28,788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9,596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152,107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351,872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886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(31,746)</w:t>
            </w:r>
          </w:p>
        </w:tc>
      </w:tr>
      <w:tr>
        <w:trPr>
          <w:trHeight w:val="305"/>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February 27, 2016</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28,684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9,561</w:t>
            </w:r>
          </w:p>
        </w:tc>
        <w:tc>
          <w:tcPr>
            <w:tcW w:w="120" w:type="dxa"/>
            <w:vAlign w:val="bottom"/>
          </w:tcPr>
          <w:p>
            <w:pPr>
              <w:spacing w:after="0"/>
              <w:rPr>
                <w:sz w:val="22"/>
                <w:szCs w:val="22"/>
                <w:color w:val="auto"/>
              </w:rPr>
            </w:pPr>
          </w:p>
        </w:tc>
        <w:tc>
          <w:tcPr>
            <w:tcW w:w="1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145,528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282,477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837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(31,371)</w:t>
            </w:r>
          </w:p>
        </w:tc>
      </w:tr>
      <w:tr>
        <w:trPr>
          <w:trHeight w:val="27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earnings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17,722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Unrealized loss on marketable securities, net of $9 tax</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benefit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7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2,893</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Tax benefit associated with stock plans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1"/>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dividends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May 28, 2016</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28,789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9,596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147,010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295,502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843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(28,492)</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March 4, 2017. We use the same accounting policies in preparing quarterly and annual financial statements. All adjustments necessary for a fair presentation of quarterly operating results are reflected herein and are of a normal, recurring nature. The results of operations for the three-month period ended June 3, 2017 are not necessarily indicative of the results to be expected for the full year.</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preparing the unaudited consolidated financial statements for the three months ended June 3, 2017, we evaluated subsequent events for potential recognition and disclosure through the date of this filing. On June 12, 2017, we acquired 100 percent of the stock of EFCO Corporation, a privately-held U.S. manufacturer of architectural aluminum window, curtainwall, storefront and entrance systems for commercial construction projects for $192 million in cash, funded through an expansion of our existing committed revolving credit facility, also occurring after the close of the first fiscal quarter (see Note 9). Preliminary purchase accounting will be completed in the second quarter and the acquired company will be included within our Architectural Framing Systems segment. Results of operations for EFCO will be included in our consolidated financial statements from the date of acquisition.</w:t>
      </w:r>
    </w:p>
    <w:p>
      <w:pPr>
        <w:spacing w:after="0" w:line="184"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Standards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outlines a single comprehensive model to use in accounting for revenue arising from contracts with customers and supersedes most current revenue recognition guidance. Under the new standard, an entity recognizes revenue to depict the transfer of promised goods or services to customers in an amount that reflects the consideration to which the entity expects to be entitled in exchange for those goods or services. This guidance is effective for annual reporting periods beginning after December 15, 2017, our fiscal 2019. We are currently undertaking a process to quantify the impact that this standard will have on our consolidated financial statements and will provide further analysis and discussion as we progress in this quantification process. At this time:</w:t>
      </w:r>
    </w:p>
    <w:p>
      <w:pPr>
        <w:spacing w:after="0" w:line="2" w:lineRule="exact"/>
        <w:rPr>
          <w:sz w:val="20"/>
          <w:szCs w:val="20"/>
          <w:color w:val="auto"/>
        </w:rPr>
      </w:pP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evaluating the significance of the guidance to our operations and as we proceed, we will finalize our determination of adoption method.</w:t>
      </w:r>
    </w:p>
    <w:p>
      <w:pPr>
        <w:jc w:val="both"/>
        <w:ind w:left="660" w:hanging="328"/>
        <w:spacing w:after="0" w:line="25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have business units that will continue to recognize revenue at the point in time when goods are shipped, as that represents when control is transferred, and business units that will continue to recognize revenue over time, following a cost-to-cost percentage of completion method of revenue recognition. Additionally, we expect that one of our business units in the Architectural Framing Systems segment will change from recognizing revenue at a point in time to recognizing revenue over time, to better reflect transfer of control to the customer in line with the new guidance. This business unit represents approximately 10 percent of our total net sales and will follow a similar cost-to-cost percentage of completion method of revenue recognition, consistent with our other business units using percentage of completion.</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provides for comprehensive changes to lease accounting. The new standard requires that a lessee recognize a lease obligation liability and a right to use asset for virtually all leases of property, plant and equipment, subsequently amortized over the lease term. The new standard is effective for fiscal years beginning after December 15, 2018, our fiscal year 2020, with a modified retrospective transition. We are currently evaluating whether we will early adopt this standard in our fiscal year 2019 to align with the adoption of the new revenue recognition standard discussed above. The adoption of this standard will result in reflecting assets and liabilities for the value of our leased property and equipment on our consolidated balance sheet but we do not expect this guidance to have a significant impact on our consolidated results of operations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and in November 2016, it issued 2016-18,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Both standards provide guidance for presentation of certain topics within the statement of cash flows, including presenting restricted cash within cash and cash equivalents, and are intended to improve consistency in presentation. The new classification guidance is effective for fiscal years beginning after December 15, 2017, our fiscal year 2019, and is to be applied retrospectively for comparability across all periods. These standards may be adopted early, and we are considering the timing of adoption, but we do not expect this guidance to have a significant impact on our consolidated financial statements.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which simplifies the accounting for goodwill impairment by requiring impairment charges to be based on the first step in the current two-step impairment test process. The new guidance eliminates the current requirement to calculate a goodwill impairment charge using step 2. The standard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is applicable to impairment tests performed in periods beginning after December 15, 2019, our fiscal 2021, with early adoption permitted. We are currently evaluating early adoption of this guidance for our future annual goodwill impairment review process.</w:t>
      </w:r>
    </w:p>
    <w:p>
      <w:pPr>
        <w:spacing w:after="0" w:line="15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share-based compensation expense included in the results of operations was $1.4 million in each of the three-month periods ended June 3, 2017 and May 28,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SARs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stock options or SARs issued in months of either period presented. Activity for the current period is summarized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Stock Options and SARs</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4, 2017</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229,901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Awards 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and exercisable at June 3, 2017</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129,901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3.5 Years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5,830,913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proceeds from the exercise of stock options were $0.8 million and $0.1 million for the three months ended June 3, 2017 and May 28, 2016, respectively. The aggregate intrinsic value of securities exercised (the amount by which the stock price on the date of exercise exceeded the stock price of the award on the date of grant) was $4.8 million during the three months ended June 3, 2017 and $0.3 million during the prior-year period.</w:t>
      </w:r>
    </w:p>
    <w:p>
      <w:pPr>
        <w:sectPr>
          <w:pgSz w:w="11900" w:h="16838" w:orient="portrait"/>
          <w:cols w:equalWidth="0" w:num="1">
            <w:col w:w="11420"/>
          </w:cols>
          <w:pgMar w:left="240" w:top="121" w:right="2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Shares and Share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share activity for the current period is summarized as follows:</w:t>
      </w: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Nonvested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Nonvested at March 4, 2017</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Vested</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Nonvested at June 3,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 and</w:t>
            </w:r>
          </w:p>
        </w:tc>
        <w:tc>
          <w:tcPr>
            <w:tcW w:w="180" w:type="dxa"/>
            <w:vAlign w:val="bottom"/>
          </w:tcPr>
          <w:p>
            <w:pPr>
              <w:spacing w:after="0"/>
              <w:rPr>
                <w:sz w:val="13"/>
                <w:szCs w:val="13"/>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42"/>
        </w:trPr>
        <w:tc>
          <w:tcPr>
            <w:tcW w:w="14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279,204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44.80</w:t>
            </w:r>
          </w:p>
        </w:tc>
      </w:tr>
      <w:tr>
        <w:trPr>
          <w:trHeight w:val="270"/>
        </w:trPr>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50,686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54.50</w:t>
            </w: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45.45</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219,146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46.70</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520" w:space="720"/>
            <w:col w:w="3180"/>
          </w:cols>
          <w:pgMar w:left="240" w:top="121" w:right="2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 2017, there was $8.0 million of total unrecognized compensation cost related to nonvested share and nonvested share unit awards, which is expected to be recognized over a weighted average period of approximately 24 months. The total fair value of shares vested during the three months ended June 3, 2017 was $6.0 million.</w:t>
      </w:r>
    </w:p>
    <w:p>
      <w:pPr>
        <w:spacing w:after="0" w:line="17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share amounts used in the computation of basic and diluted earnings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14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May 28, 2016</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 – weighted average common shares outstanding</w:t>
            </w:r>
          </w:p>
        </w:tc>
        <w:tc>
          <w:tcPr>
            <w:tcW w:w="15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28,702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effect of nonvested share grants and assumed exercise of stock options</w:t>
            </w: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193</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 – weighted average common shares and potential common shares outstanding</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28,861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28,895</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anti-dilutive stock options excluded from the calculation of earnings per share for any of the periods presented, as the average market price exceeded the exercise price of options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6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240" w:type="dxa"/>
            <w:vAlign w:val="bottom"/>
          </w:tcPr>
          <w:p>
            <w:pPr>
              <w:spacing w:after="0"/>
              <w:rPr>
                <w:sz w:val="24"/>
                <w:szCs w:val="24"/>
                <w:color w:val="auto"/>
              </w:rPr>
            </w:pPr>
          </w:p>
        </w:tc>
        <w:tc>
          <w:tcPr>
            <w:tcW w:w="13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4, 2017</w:t>
            </w:r>
          </w:p>
        </w:tc>
      </w:tr>
      <w:tr>
        <w:trPr>
          <w:trHeight w:val="249"/>
        </w:trPr>
        <w:tc>
          <w:tcPr>
            <w:tcW w:w="8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22,761</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16,154</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29,372</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Costs and earnings in excess of billings on uncompleted contracts</w:t>
            </w: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5,122</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81,083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73,409</w:t>
            </w:r>
          </w:p>
        </w:tc>
      </w:tr>
      <w:tr>
        <w:trPr>
          <w:trHeight w:val="20"/>
        </w:trPr>
        <w:tc>
          <w:tcPr>
            <w:tcW w:w="12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Marketable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are classified as available for sale: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3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3, 2017</w:t>
            </w: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7,888</w:t>
            </w:r>
          </w:p>
        </w:tc>
        <w:tc>
          <w:tcPr>
            <w:tcW w:w="10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7,976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March 4, 2017</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9,589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wholly-owned insurance subsidiary, Prism Assurance, Ltd. (Prism), which holds municipal bonds. Prism insures a portion of our general liability, workers’ compensation and automobile liability risks using reinsurance agreements to meet statutory requirements. The reinsurance carrier requires Prism to maintain fixed-maturity investments, which are generally high-quality municipal bonds, for the purpose of providing collateral for Prism’s obligations under the reinsurance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 2017, marketable securities with a fair value of $1.2 million have been in a continuous unrealized loss position for more than 12 months with unrealized losses of $0.1 million. We consider these unrealized losses to be temporary in nature. We intend to hold our investments until the full principal amount can be recovered, and we have the ability to do so based on other sources of liquidity. Gross realized gains and losses were not significant during the first three months of fiscal 2018 or fiscal 2017.</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values of municipal bonds at June 3, 2017, by contractual maturity, are shown below. Expected maturities may differ from contractual maturities, as borrowers may have the right to call or prepay obligations with or without penalty.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2,696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five years through 10 years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3,419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10 years through 15 years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1,236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beyond 15 years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7,888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7,976</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assets or liabilities.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08"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5"/>
        </w:trPr>
        <w:tc>
          <w:tcPr>
            <w:tcW w:w="6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3, 2017</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4,138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Short-term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7,551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9,376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13,514</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March 4, 2017</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9,923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Short-term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9,041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15,089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19,512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Fair value of money market funds was determined based on quoted prices for identical assets in active markets. Commercial paper was measured at fair value using inputs based on quoted prices for similar securities in active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and long-term securities</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Municipal bonds were measured at fair value based on market prices from recent trades of similar securities and are classified as short-term or long-term based on maturity date.</w:t>
      </w:r>
    </w:p>
    <w:p>
      <w:pPr>
        <w:spacing w:after="0" w:line="176"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2016, we acquired substantially all the assets of Sotawall, Inc. (now operating under the name Sotawall Limited or "Sotawall"). Sotawall specializes in the design, engineering, fabrication, assembly and installation of unitized curtainwall systems for industrial, commercial and institutional buildings, primarily serving the Canadian and northeastern U.S. geographic regions and is included within our Architectural Framing Systems segment. Sotawall's results of operations have been included in the consolidated financial statements and within the Architectural Framing Systems segment since the date of acquisition.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assets and liabilities of Sotawall were recorded in the consolidated balance sheet as of the acquisition date, at their respective fair values. The purchase price allocation was completed in the current quarter reflecting subsequent working capital adjustments and final intangible asset values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8"/>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working capital</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10,682</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7,993</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21,380</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94,630</w:t>
            </w:r>
          </w:p>
        </w:tc>
      </w:tr>
      <w:tr>
        <w:trPr>
          <w:trHeight w:val="27"/>
        </w:trPr>
        <w:tc>
          <w:tcPr>
            <w:tcW w:w="96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134,685</w:t>
            </w:r>
          </w:p>
        </w:tc>
      </w:tr>
      <w:tr>
        <w:trPr>
          <w:trHeight w:val="20"/>
        </w:trPr>
        <w:tc>
          <w:tcPr>
            <w:tcW w:w="9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significant adjustments were made to our consolidated results of operations as a result of the completion of purchase accounting.</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information provides the results of operations for the quarter ended May 28, 2016, as if the acquisition had been completed at the beginning of fiscal year 2017:</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208"/>
        </w:trPr>
        <w:tc>
          <w:tcPr>
            <w:tcW w:w="9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May 28, 2016</w:t>
            </w:r>
          </w:p>
        </w:tc>
      </w:tr>
      <w:tr>
        <w:trPr>
          <w:trHeight w:val="249"/>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272,816</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21,466</w:t>
            </w:r>
          </w:p>
        </w:tc>
      </w:tr>
      <w:tr>
        <w:trPr>
          <w:trHeight w:val="27"/>
        </w:trPr>
        <w:tc>
          <w:tcPr>
            <w:tcW w:w="9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0.75</w:t>
            </w:r>
          </w:p>
        </w:tc>
      </w:tr>
      <w:tr>
        <w:trPr>
          <w:trHeight w:val="27"/>
        </w:trPr>
        <w:tc>
          <w:tcPr>
            <w:tcW w:w="9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9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0.74</w:t>
            </w:r>
          </w:p>
        </w:tc>
      </w:tr>
      <w:tr>
        <w:trPr>
          <w:trHeight w:val="27"/>
        </w:trPr>
        <w:tc>
          <w:tcPr>
            <w:tcW w:w="9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Unaudited pro forma information has been provided for comparative purposes only and the information does not necessarily reflect what the combined company's results of operations would have been had the acquisition occurred at the beginning of fiscal year 2017. The information does not reflect the effect of any synergies or integration costs that may result from the acquisition.</w:t>
      </w:r>
    </w:p>
    <w:p>
      <w:pPr>
        <w:spacing w:after="0" w:line="17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Identifiable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attributable to each reporting segment was: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Architectural</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Architectural</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Large-Scale</w:t>
            </w:r>
          </w:p>
        </w:tc>
        <w:tc>
          <w:tcPr>
            <w:tcW w:w="300" w:type="dxa"/>
            <w:vAlign w:val="bottom"/>
          </w:tcPr>
          <w:p>
            <w:pPr>
              <w:spacing w:after="0"/>
              <w:rPr>
                <w:sz w:val="13"/>
                <w:szCs w:val="13"/>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700" w:type="dxa"/>
            <w:vAlign w:val="bottom"/>
            <w:gridSpan w:val="3"/>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36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Framing Systems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Optical</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February 27, 2016</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36,680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73,996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Goodwill acquired</w:t>
            </w:r>
          </w:p>
        </w:tc>
        <w:tc>
          <w:tcPr>
            <w:tcW w:w="3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27,444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4, 2017</w:t>
            </w: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25,956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63,701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101,334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adjustment for purchase accounting</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June 3, 2017</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57,528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95,211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accounting related to the acquisition of Sotawall was finalized during the current quarter (see Note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other intangible assets and related accumulated amortization was: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20" w:type="dxa"/>
            <w:vAlign w:val="bottom"/>
          </w:tcPr>
          <w:p>
            <w:pPr>
              <w:spacing w:after="0"/>
              <w:rPr>
                <w:sz w:val="12"/>
                <w:szCs w:val="12"/>
                <w:color w:val="auto"/>
              </w:rPr>
            </w:pPr>
          </w:p>
        </w:tc>
        <w:tc>
          <w:tcPr>
            <w:tcW w:w="9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3, 2017</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issue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85,296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69,568</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Trademarks and other intangibles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25,950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18,586</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121,598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89,392</w:t>
            </w:r>
          </w:p>
        </w:tc>
        <w:tc>
          <w:tcPr>
            <w:tcW w:w="0" w:type="dxa"/>
            <w:vAlign w:val="bottom"/>
          </w:tcPr>
          <w:p>
            <w:pPr>
              <w:spacing w:after="0"/>
              <w:rPr>
                <w:sz w:val="1"/>
                <w:szCs w:val="1"/>
                <w:color w:val="auto"/>
              </w:rPr>
            </w:pPr>
          </w:p>
        </w:tc>
      </w:tr>
      <w:tr>
        <w:trPr>
          <w:trHeight w:val="22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15,938</w:t>
            </w:r>
          </w:p>
        </w:tc>
        <w:tc>
          <w:tcPr>
            <w:tcW w:w="0" w:type="dxa"/>
            <w:vAlign w:val="bottom"/>
          </w:tcPr>
          <w:p>
            <w:pPr>
              <w:spacing w:after="0"/>
              <w:rPr>
                <w:sz w:val="1"/>
                <w:szCs w:val="1"/>
                <w:color w:val="auto"/>
              </w:rPr>
            </w:pPr>
          </w:p>
        </w:tc>
      </w:tr>
      <w:tr>
        <w:trPr>
          <w:trHeight w:val="237"/>
        </w:trPr>
        <w:tc>
          <w:tcPr>
            <w:tcW w:w="6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137,659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105,330</w:t>
            </w:r>
          </w:p>
        </w:tc>
        <w:tc>
          <w:tcPr>
            <w:tcW w:w="0" w:type="dxa"/>
            <w:vAlign w:val="bottom"/>
          </w:tcPr>
          <w:p>
            <w:pPr>
              <w:spacing w:after="0"/>
              <w:rPr>
                <w:sz w:val="1"/>
                <w:szCs w:val="1"/>
                <w:color w:val="auto"/>
              </w:rPr>
            </w:pPr>
          </w:p>
        </w:tc>
      </w:tr>
      <w:tr>
        <w:trPr>
          <w:trHeight w:val="67"/>
        </w:trPr>
        <w:tc>
          <w:tcPr>
            <w:tcW w:w="59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March 4, 2017</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issue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82,479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68,321</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Trademarks and other intangibles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25,950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21,002</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118,781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90,625</w:t>
            </w:r>
          </w:p>
        </w:tc>
        <w:tc>
          <w:tcPr>
            <w:tcW w:w="0" w:type="dxa"/>
            <w:vAlign w:val="bottom"/>
          </w:tcPr>
          <w:p>
            <w:pPr>
              <w:spacing w:after="0"/>
              <w:rPr>
                <w:sz w:val="1"/>
                <w:szCs w:val="1"/>
                <w:color w:val="auto"/>
              </w:rPr>
            </w:pPr>
          </w:p>
        </w:tc>
      </w:tr>
      <w:tr>
        <w:trPr>
          <w:trHeight w:val="22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16,061</w:t>
            </w:r>
          </w:p>
        </w:tc>
        <w:tc>
          <w:tcPr>
            <w:tcW w:w="0" w:type="dxa"/>
            <w:vAlign w:val="bottom"/>
          </w:tcPr>
          <w:p>
            <w:pPr>
              <w:spacing w:after="0"/>
              <w:rPr>
                <w:sz w:val="1"/>
                <w:szCs w:val="1"/>
                <w:color w:val="auto"/>
              </w:rPr>
            </w:pPr>
          </w:p>
        </w:tc>
      </w:tr>
      <w:tr>
        <w:trPr>
          <w:trHeight w:val="237"/>
        </w:trPr>
        <w:tc>
          <w:tcPr>
            <w:tcW w:w="6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134,803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106,686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on definite-lived intangible assets was $3.4 million and $0.4 million for the three-month periods ended June 3, 2017 and May 28, 2016, respectively. The amortization expense associated with debt issue costs is included in interest expense while the remainder is in selling, general and administrative expenses in the consolidated results of operations. At June 3, 2017, the estimated future amortization expense for definite-lived intangible assets was: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Remainder of Fiscal</w:t>
            </w:r>
          </w:p>
        </w:tc>
        <w:tc>
          <w:tcPr>
            <w:tcW w:w="24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22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22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240" w:type="dxa"/>
            <w:vAlign w:val="bottom"/>
          </w:tcPr>
          <w:p>
            <w:pPr>
              <w:spacing w:after="0"/>
              <w:rPr>
                <w:sz w:val="13"/>
                <w:szCs w:val="13"/>
                <w:color w:val="auto"/>
              </w:rPr>
            </w:pPr>
          </w:p>
        </w:tc>
        <w:tc>
          <w:tcPr>
            <w:tcW w:w="112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10,380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8,093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5,592</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5,307</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at June 3, 2017, included $20.4 million of industrial revenue bonds that mature in fiscal years 2021 through 2043. The fair value of the industrial revenue bonds approximated carrying value at June 3, 2017, due to the variable interest rates on these instruments. The bonds would be classified as Level 2 within the fair value hierarchy described in Note 7.</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 2017, we maintained a $175.0 million committed revolving credit facility that matures in November 2021. Outstanding borrowing was $51.0 million as of June 3, 2017 and $45.0 million as of March 4, 2017. We have two financial covenants that require us to stay below a maximum debt-to-EBITDA ratio and maintain a minimum ratio of interest expense-to-EBITDA. Both ratios are computed quarterly, with EBITDA calculated on a rolling four-quarter basis. At June 3, 2017, we were in compliance with both financial covenants. Additionally, at June 3, 2017, we had a total of $23.5 million of ongoing letters of credit related to industrial revenue bonds and construction contracts that expire in fiscal 2018 and reduce availability of funds under our committed credit facility. Subsequent to the end of the quarter, and in connection with our subsequent acquisition of EFCO, on June 9, 2017, we expanded this committed revolving credit facility to $335.0 million. There were no significant changes to terms associated with this expansion.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maintain two Canadian revolving demand facilities totaling $12.0 million Canadian dollars. No borrowings were outstanding under these facilities as of June 3, 2017 or March 4, 2017. Borrowings under these facilities are made available at the sole discretion of the lenders and are payable on demand.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payments were $0.5 million and $0.1 million for the three months ended June 3, 2017 and May 28, 2016,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two frozen defined-benefit pension plans: an unfunded Officers’ Supplemental Executive Retirement Plan and the Tubelite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Hourly Employees’ Pension Plan. Components of net periodic benefit cost were: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2"/>
                <w:szCs w:val="22"/>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220" w:type="dxa"/>
            <w:vAlign w:val="bottom"/>
          </w:tcPr>
          <w:p>
            <w:pPr>
              <w:spacing w:after="0"/>
              <w:rPr>
                <w:sz w:val="22"/>
                <w:szCs w:val="22"/>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May 28, 2016</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unrecognized net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2014, or U.S. state and local income tax examinations for years prior to fiscal 2011. The Company is not currently under U.S. federal examination for years subsequent to fiscal year 2013, and there is very limited audit activity of the Company’s income tax returns in U.S. state jurisdictions or international jurisdictions.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liability for unrecognized tax benefits at June 3, 2017 and March 4, 2017 was approximately $4.8 million and $4.5 million, respectively. Penalties and interest related to unrecognized tax benefits are recorded in income tax expense. The total liability for unrecognized tax benefits is expected to decrease by approximately $0.5 million during the next 12 months due to lapsing of statutes.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240" w:type="dxa"/>
            <w:vAlign w:val="bottom"/>
          </w:tcPr>
          <w:p>
            <w:pPr>
              <w:spacing w:after="0"/>
              <w:rPr>
                <w:sz w:val="24"/>
                <w:szCs w:val="24"/>
                <w:color w:val="auto"/>
              </w:rPr>
            </w:pPr>
          </w:p>
        </w:tc>
        <w:tc>
          <w:tcPr>
            <w:tcW w:w="13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4, 2017</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benefit from New Market Tax Credit transactions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16,708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Retirement plan obligations</w:t>
            </w: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9,635</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7,463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11,981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42,915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45,787</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7840" w:type="dxa"/>
            <w:vAlign w:val="bottom"/>
            <w:tcBorders>
              <w:top w:val="single" w:sz="8" w:color="CCEEFF"/>
              <w:bottom w:val="single" w:sz="8" w:color="CCEEFF"/>
            </w:tcBorders>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80" w:type="dxa"/>
            <w:vAlign w:val="bottom"/>
            <w:vMerge w:val="continue"/>
          </w:tcPr>
          <w:p>
            <w:pPr>
              <w:spacing w:after="0"/>
              <w:rPr>
                <w:sz w:val="24"/>
                <w:szCs w:val="24"/>
                <w:color w:val="auto"/>
              </w:rPr>
            </w:pPr>
          </w:p>
        </w:tc>
        <w:tc>
          <w:tcPr>
            <w:tcW w:w="7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lease commitments. </w:t>
      </w:r>
      <w:r>
        <w:rPr>
          <w:rFonts w:ascii="Times New Roman" w:cs="Times New Roman" w:eastAsia="Times New Roman" w:hAnsi="Times New Roman"/>
          <w:sz w:val="18"/>
          <w:szCs w:val="18"/>
          <w:color w:val="auto"/>
        </w:rPr>
        <w:t>As of June 3, 2017, the Company was obligated under non-cancelable operating leases for buildings and equipment.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leases provide for increased rental payments based upon increases in real estate taxes or operating costs. Future minimum rental payments under non-cancelable operating leases are: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16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16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8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3"/>
                <w:szCs w:val="13"/>
                <w:color w:val="auto"/>
              </w:rPr>
            </w:pPr>
          </w:p>
        </w:tc>
        <w:tc>
          <w:tcPr>
            <w:tcW w:w="8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payments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9,047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10,821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9,259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5,604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8,823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49,851</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Bond commitments. </w:t>
      </w:r>
      <w:r>
        <w:rPr>
          <w:rFonts w:ascii="Times New Roman" w:cs="Times New Roman" w:eastAsia="Times New Roman" w:hAnsi="Times New Roman"/>
          <w:sz w:val="18"/>
          <w:szCs w:val="18"/>
          <w:color w:val="auto"/>
        </w:rPr>
        <w:t>In the ordinary course of business, predominantly in our Architectural Services and Architectural Framing Systems segments,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provide surety or performance bonds that commit payments to our customers for any non-performance. At June 3, 2017, $66.0 million of our backlog was bonded by performance bonds with a face value of $329.7 million. Performance bonds do not have stated expiration dates, as we are released from the bonds upon completion of the contract. We have never been required to make any payments related to these performance bonds with respect to any of our current portfolio of businesses.</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Warranties. </w:t>
      </w: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costs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historical product liability claims as a ratio of sales. Claim costs are deducted from the accrual when paid. Factors that could have an impact on the warranty accrual in any given period include the following: changes in manufacturing quality, shifts in product mix and any significant changes in sales volume. A warranty rollforward follows: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2"/>
                <w:szCs w:val="22"/>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260" w:type="dxa"/>
            <w:vAlign w:val="bottom"/>
          </w:tcPr>
          <w:p>
            <w:pPr>
              <w:spacing w:after="0"/>
              <w:rPr>
                <w:sz w:val="22"/>
                <w:szCs w:val="22"/>
                <w:color w:val="auto"/>
              </w:rPr>
            </w:pP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May 28, 2016</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16,340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accruals</w:t>
            </w: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1,463</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Claims paid</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16,674</w:t>
            </w: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Letters of credit. </w:t>
      </w:r>
      <w:r>
        <w:rPr>
          <w:rFonts w:ascii="Times New Roman" w:cs="Times New Roman" w:eastAsia="Times New Roman" w:hAnsi="Times New Roman"/>
          <w:sz w:val="18"/>
          <w:szCs w:val="18"/>
          <w:color w:val="auto"/>
        </w:rPr>
        <w:t>At June 3, 2017, we had ongoing letters of credit related to construction contracts and certain industrial revenue bonds. The total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letters of credit under which we were obligated as of June 3, 2017 was approximately $23.5 million, all of which have been issued under our committed revolving credit facility. Availability under this credit facility is reduced by borrowings under the facility and also by letters of credit issued under the facility.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 obligations. </w:t>
      </w:r>
      <w:r>
        <w:rPr>
          <w:rFonts w:ascii="Times New Roman" w:cs="Times New Roman" w:eastAsia="Times New Roman" w:hAnsi="Times New Roman"/>
          <w:sz w:val="18"/>
          <w:szCs w:val="18"/>
          <w:color w:val="auto"/>
        </w:rPr>
        <w:t>Purchase obligations for raw material commitments and capital expenditures totaled $115.5 million as of June 3, 2017.</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Litigation. </w:t>
      </w:r>
      <w:r>
        <w:rPr>
          <w:rFonts w:ascii="Times New Roman" w:cs="Times New Roman" w:eastAsia="Times New Roman" w:hAnsi="Times New Roman"/>
          <w:sz w:val="18"/>
          <w:szCs w:val="18"/>
          <w:color w:val="auto"/>
        </w:rPr>
        <w:t>We are a party to various legal proceedings incidental to our normal operating activities. In particular, like others in the construction supply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industry, our businesses are routinely involved in various disputes and claims arising out of construction projects, sometimes involving significant monetary damages or product replacement. We are also subject to litigation arising out of general liability, employment practices, workers' compensation and automobile claims. Although it is very difficult to accurately predict the outcome of such proceedings, facts currently available indicate that no such claims will result in losses that would have a material adverse effect on our results of operations, cash flows or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reporting segments: Architectural Glass, Architectural Framing Systems, Architectural Services and Large-Scale Optical (LSO).</w:t>
      </w:r>
    </w:p>
    <w:p>
      <w:pPr>
        <w:spacing w:after="0" w:line="27" w:lineRule="exact"/>
        <w:rPr>
          <w:sz w:val="20"/>
          <w:szCs w:val="20"/>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Architectural Glass segment fabricates coated, high-performance glass used in customized window and wall systems comprising the outside skin of commercial, institutional and high-end multi-family residential buildings.</w:t>
      </w: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Architectural Framing Systems segment designs, engineers, fabricates and finishes the aluminum frames used in customized aluminum and glass window, curtainwall, storefront and entrance systems comprising the outside skin and entrances of commercial, institutional and high-end multi-family residential buildings. The Company has aggregated five operating segments into this reporting segment based on their similar products, customers, distribution methods, production processes and economic characteristics.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Architectural Services segment designs, engineers, fabricates and installs the walls of glass, windows and other curtainwall products making up the outside skin of commercial and institutional buildings.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LSO segment manufactures value-added glass and acrylic products primarily for framing and display applications.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438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200" w:type="dxa"/>
            <w:vAlign w:val="bottom"/>
          </w:tcPr>
          <w:p>
            <w:pPr>
              <w:spacing w:after="0"/>
              <w:rPr>
                <w:sz w:val="22"/>
                <w:szCs w:val="22"/>
                <w:color w:val="auto"/>
              </w:rPr>
            </w:pP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May 28, 2016</w:t>
            </w:r>
          </w:p>
        </w:tc>
        <w:tc>
          <w:tcPr>
            <w:tcW w:w="0" w:type="dxa"/>
            <w:vAlign w:val="bottom"/>
          </w:tcPr>
          <w:p>
            <w:pPr>
              <w:spacing w:after="0"/>
              <w:rPr>
                <w:sz w:val="1"/>
                <w:szCs w:val="1"/>
                <w:color w:val="auto"/>
              </w:rPr>
            </w:pPr>
          </w:p>
        </w:tc>
      </w:tr>
      <w:tr>
        <w:trPr>
          <w:trHeight w:val="249"/>
        </w:trPr>
        <w:tc>
          <w:tcPr>
            <w:tcW w:w="4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 from operations</w:t>
            </w:r>
          </w:p>
        </w:tc>
        <w:tc>
          <w:tcPr>
            <w:tcW w:w="4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Architectural Glass</w:t>
            </w:r>
          </w:p>
        </w:tc>
        <w:tc>
          <w:tcPr>
            <w:tcW w:w="4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97,735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93,360</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4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110,492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81,132</w:t>
            </w:r>
          </w:p>
        </w:tc>
        <w:tc>
          <w:tcPr>
            <w:tcW w:w="0" w:type="dxa"/>
            <w:vAlign w:val="bottom"/>
          </w:tcPr>
          <w:p>
            <w:pPr>
              <w:spacing w:after="0"/>
              <w:rPr>
                <w:sz w:val="1"/>
                <w:szCs w:val="1"/>
                <w:color w:val="auto"/>
              </w:rPr>
            </w:pPr>
          </w:p>
        </w:tc>
      </w:tr>
      <w:tr>
        <w:trPr>
          <w:trHeight w:val="243"/>
        </w:trPr>
        <w:tc>
          <w:tcPr>
            <w:tcW w:w="4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Architectural Services</w:t>
            </w:r>
          </w:p>
        </w:tc>
        <w:tc>
          <w:tcPr>
            <w:tcW w:w="4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62,820</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Large-Scale Optical</w:t>
            </w:r>
          </w:p>
        </w:tc>
        <w:tc>
          <w:tcPr>
            <w:tcW w:w="4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18,603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20,028</w:t>
            </w:r>
          </w:p>
        </w:tc>
        <w:tc>
          <w:tcPr>
            <w:tcW w:w="0" w:type="dxa"/>
            <w:vAlign w:val="bottom"/>
          </w:tcPr>
          <w:p>
            <w:pPr>
              <w:spacing w:after="0"/>
              <w:rPr>
                <w:sz w:val="1"/>
                <w:szCs w:val="1"/>
                <w:color w:val="auto"/>
              </w:rPr>
            </w:pPr>
          </w:p>
        </w:tc>
      </w:tr>
      <w:tr>
        <w:trPr>
          <w:trHeight w:val="243"/>
        </w:trPr>
        <w:tc>
          <w:tcPr>
            <w:tcW w:w="4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4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272,307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247,880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 from operations</w:t>
            </w:r>
          </w:p>
        </w:tc>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4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Architectural Glass</w:t>
            </w:r>
          </w:p>
        </w:tc>
        <w:tc>
          <w:tcPr>
            <w:tcW w:w="4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9,531</w:t>
            </w:r>
          </w:p>
        </w:tc>
        <w:tc>
          <w:tcPr>
            <w:tcW w:w="0" w:type="dxa"/>
            <w:vAlign w:val="bottom"/>
          </w:tcPr>
          <w:p>
            <w:pPr>
              <w:spacing w:after="0"/>
              <w:rPr>
                <w:sz w:val="1"/>
                <w:szCs w:val="1"/>
                <w:color w:val="auto"/>
              </w:rPr>
            </w:pPr>
          </w:p>
        </w:tc>
      </w:tr>
      <w:tr>
        <w:trPr>
          <w:trHeight w:val="243"/>
        </w:trPr>
        <w:tc>
          <w:tcPr>
            <w:tcW w:w="4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4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10,232</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Architectural Services</w:t>
            </w:r>
          </w:p>
        </w:tc>
        <w:tc>
          <w:tcPr>
            <w:tcW w:w="4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3,181</w:t>
            </w:r>
          </w:p>
        </w:tc>
        <w:tc>
          <w:tcPr>
            <w:tcW w:w="0" w:type="dxa"/>
            <w:vAlign w:val="bottom"/>
          </w:tcPr>
          <w:p>
            <w:pPr>
              <w:spacing w:after="0"/>
              <w:rPr>
                <w:sz w:val="1"/>
                <w:szCs w:val="1"/>
                <w:color w:val="auto"/>
              </w:rPr>
            </w:pPr>
          </w:p>
        </w:tc>
      </w:tr>
      <w:tr>
        <w:trPr>
          <w:trHeight w:val="243"/>
        </w:trPr>
        <w:tc>
          <w:tcPr>
            <w:tcW w:w="4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Large-Scale Optical</w:t>
            </w:r>
          </w:p>
        </w:tc>
        <w:tc>
          <w:tcPr>
            <w:tcW w:w="4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4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37"/>
        </w:trPr>
        <w:tc>
          <w:tcPr>
            <w:tcW w:w="43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2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24,106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26,249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420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2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8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of the Company’s Annual Report on Form 10-K for the fiscal year ended March 4, 2017.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of the Company’s Annual Report on Form 10-K for the fiscal year ended March 4, 2017.</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world leader in certain technologies involving the design and development of value-added glass products and services. Our four reporting segments are: Architectural Glass, Architectural Framing Systems, Architectural Services and Large-Scale Optical (LSO).</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Form 10-K for the year ended March 4, 2017 and the consolidated financial statements, including the notes to consolidated financial statements, included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First Quarter of Fiscal 2018 Compared to First Quarter of Fiscal 2017</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Consolidated net sales increased 9.9 percent, or $24.4 million, for the first quarter ended June 3, 2017, compared to the same period in the prior year. Sales growth was largely due to the additional sales from Sotawall within the Architectural Framing Systems segment. Sales also grew as a result of volume growth within two other businesses in the Architectural Framing Systems segment and volume growth with U.S. mid-size projects in the Architectural Glass segment. Foreign currency did not have a meaningful impact on sales results in the current-year period or the prior-year period.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relationship between various components of operations, as a percentage of net sales, is illustrated below:</w:t>
      </w: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(Percent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sales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Gross profit</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Interest and 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Earnings before income taxes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earnings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1903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May 28, 2016</w:t>
            </w:r>
          </w:p>
        </w:tc>
      </w:tr>
      <w:tr>
        <w:trPr>
          <w:trHeight w:val="242"/>
        </w:trPr>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14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3"/>
                <w:szCs w:val="23"/>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74.0</w:t>
            </w: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0"/>
                <w:szCs w:val="20"/>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26.0</w:t>
            </w:r>
          </w:p>
        </w:tc>
      </w:tr>
      <w:tr>
        <w:trPr>
          <w:trHeight w:val="270"/>
        </w:trPr>
        <w:tc>
          <w:tcPr>
            <w:tcW w:w="14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3"/>
                <w:szCs w:val="23"/>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10.6</w:t>
            </w:r>
          </w:p>
        </w:tc>
      </w:tr>
      <w:tr>
        <w:trPr>
          <w:trHeight w:val="270"/>
        </w:trPr>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10.7</w:t>
            </w:r>
          </w:p>
        </w:tc>
      </w:tr>
      <w:tr>
        <w:trPr>
          <w:trHeight w:val="270"/>
        </w:trPr>
        <w:tc>
          <w:tcPr>
            <w:tcW w:w="14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4"/>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bl>
    <w:p>
      <w:pPr>
        <w:spacing w:after="0" w:line="200" w:lineRule="exact"/>
        <w:rPr>
          <w:sz w:val="20"/>
          <w:szCs w:val="20"/>
          <w:color w:val="auto"/>
        </w:rPr>
      </w:pPr>
    </w:p>
    <w:p>
      <w:pPr>
        <w:sectPr>
          <w:pgSz w:w="11900" w:h="16838" w:orient="portrait"/>
          <w:cols w:equalWidth="0" w:num="2">
            <w:col w:w="7860" w:space="460"/>
            <w:col w:w="3100"/>
          </w:cols>
          <w:pgMar w:left="240" w:top="121" w:right="239" w:bottom="1440" w:gutter="0" w:footer="0" w:header="0"/>
        </w:sectPr>
      </w:pP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31" w:lineRule="exact"/>
        <w:rPr>
          <w:sz w:val="20"/>
          <w:szCs w:val="20"/>
          <w:color w:val="auto"/>
        </w:rPr>
      </w:pPr>
    </w:p>
    <w:p>
      <w:pPr>
        <w:jc w:val="both"/>
        <w:ind w:left="60"/>
        <w:spacing w:after="0" w:line="255" w:lineRule="auto"/>
        <w:rPr>
          <w:sz w:val="20"/>
          <w:szCs w:val="20"/>
          <w:color w:val="auto"/>
        </w:rPr>
      </w:pPr>
      <w:r>
        <w:rPr>
          <w:rFonts w:ascii="Times New Roman" w:cs="Times New Roman" w:eastAsia="Times New Roman" w:hAnsi="Times New Roman"/>
          <w:sz w:val="18"/>
          <w:szCs w:val="18"/>
          <w:color w:val="auto"/>
        </w:rPr>
        <w:t>Gross profit as a percent of sales was 25.8 percent for the three-months ended June 3, 2017, compared to 26.0 percent for the three-months ended May 28, 2016. Gross profit as a percent of sales declined by 20 basis points primarily due to a decline in sales and reduced volume leverage in the Architectural Services segment in the quarter.</w: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121"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8"/>
          <w:szCs w:val="18"/>
          <w:color w:val="auto"/>
        </w:rPr>
        <w:t>SG&amp;A expenses for the first quarter of fiscal 2018 increased $8.0 million over the prior period, and were 17.0 percent of sales in the current three-month period, compared to 15.4 percent of sales in first quarter of last year. The increase in the current year was made up of approximately $4.6 million of additional expense as a result of the inclusion of Sotawall, $1.1 million of a receivable write off due to a customer bankruptcy, $0.7 million of aquisition-related costs and $1.6 million of other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effective tax rate in the first quarter of fiscal 2017 was 32.9 percent, compared to 33.4 percent in the same period last year, as we have increased the portion of our earnings in international jurisdictions which have lower statutory tax rates than in the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11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May 28, 2016</w:t>
            </w:r>
          </w:p>
        </w:tc>
        <w:tc>
          <w:tcPr>
            <w:tcW w:w="120" w:type="dxa"/>
            <w:vAlign w:val="bottom"/>
            <w:vMerge w:val="restart"/>
          </w:tcPr>
          <w:p>
            <w:pPr>
              <w:spacing w:after="0"/>
              <w:rPr>
                <w:sz w:val="12"/>
                <w:szCs w:val="12"/>
                <w:color w:val="auto"/>
              </w:rPr>
            </w:pPr>
          </w:p>
        </w:tc>
        <w:tc>
          <w:tcPr>
            <w:tcW w:w="1020" w:type="dxa"/>
            <w:vAlign w:val="bottom"/>
          </w:tcPr>
          <w:p>
            <w:pPr>
              <w:jc w:val="right"/>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97,735</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93,360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9,322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9,531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auto"/>
        </w:rPr>
        <w:t>Net sales increased $4.4 million, or 4.7 percent, for the quarter-ended June 3, 2017 over the same period in the prior year, due to success in gaining share of demand with mid-size projects in the United States. Foreign currency impact on sales was nominal in the current-year period compared to the prior-year period.</w:t>
      </w:r>
    </w:p>
    <w:p>
      <w:pPr>
        <w:spacing w:after="0" w:line="68" w:lineRule="exact"/>
        <w:rPr>
          <w:sz w:val="20"/>
          <w:szCs w:val="20"/>
          <w:color w:val="auto"/>
        </w:rPr>
      </w:pPr>
    </w:p>
    <w:p>
      <w:pPr>
        <w:jc w:val="both"/>
        <w:ind w:left="60"/>
        <w:spacing w:after="0" w:line="282" w:lineRule="auto"/>
        <w:rPr>
          <w:sz w:val="20"/>
          <w:szCs w:val="20"/>
          <w:color w:val="auto"/>
        </w:rPr>
      </w:pPr>
      <w:r>
        <w:rPr>
          <w:rFonts w:ascii="Times New Roman" w:cs="Times New Roman" w:eastAsia="Times New Roman" w:hAnsi="Times New Roman"/>
          <w:sz w:val="18"/>
          <w:szCs w:val="18"/>
          <w:color w:val="auto"/>
        </w:rPr>
        <w:t>Operating margin declined 70 basis points for the three-month period this year compared to the prior year, primarily due to planned costs related to the startup of the oversize glass production line, which began operating during the period.</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Given the short lead times in this segment, backlog is not considered a significant metric.</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Framing Systems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10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May 28, 2016</w:t>
            </w:r>
          </w:p>
        </w:tc>
        <w:tc>
          <w:tcPr>
            <w:tcW w:w="120" w:type="dxa"/>
            <w:vAlign w:val="bottom"/>
            <w:vMerge w:val="restart"/>
          </w:tcPr>
          <w:p>
            <w:pPr>
              <w:spacing w:after="0"/>
              <w:rPr>
                <w:sz w:val="12"/>
                <w:szCs w:val="12"/>
                <w:color w:val="auto"/>
              </w:rPr>
            </w:pPr>
          </w:p>
        </w:tc>
        <w:tc>
          <w:tcPr>
            <w:tcW w:w="980" w:type="dxa"/>
            <w:vAlign w:val="bottom"/>
          </w:tcPr>
          <w:p>
            <w:pPr>
              <w:jc w:val="right"/>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75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7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110,492</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81,132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10,232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0" w:right="20"/>
        <w:spacing w:after="0" w:line="266" w:lineRule="auto"/>
        <w:rPr>
          <w:sz w:val="20"/>
          <w:szCs w:val="20"/>
          <w:color w:val="auto"/>
        </w:rPr>
      </w:pPr>
      <w:r>
        <w:rPr>
          <w:rFonts w:ascii="Times New Roman" w:cs="Times New Roman" w:eastAsia="Times New Roman" w:hAnsi="Times New Roman"/>
          <w:sz w:val="18"/>
          <w:szCs w:val="18"/>
          <w:color w:val="auto"/>
        </w:rPr>
        <w:t>Architectural Framing Systems net sales increased $29.4 million, or 36.2 percent, for the three-month period ended June 3, 2017 over the same period in the prior year, with the net sales of Sotawall, acquired in the fourth quarter of fiscal 2017, providing approximately 80 percent of the growth and two of the other framing systems businesses contributing the remaining growth.</w:t>
      </w:r>
    </w:p>
    <w:p>
      <w:pPr>
        <w:spacing w:after="0" w:line="68"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auto"/>
        </w:rPr>
        <w:t>Operating margin declined 180 basis points from the prior-year period. This reflected an impact of 190 basis points due to amortization of short-lived acquired intangible assets. Beyond these amortization costs, leverage on increased volume was largely offset by higher raw material and manufacturing costs in the quarter, as well as a receivable write off due to a customer bankruptcy.</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Backlog in this segment as of June 3, 2017 is approximately $255 million compared to approximately $245 million at year-end.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2"/>
                <w:szCs w:val="12"/>
                <w:color w:val="auto"/>
              </w:rPr>
            </w:pPr>
          </w:p>
        </w:tc>
        <w:tc>
          <w:tcPr>
            <w:tcW w:w="1040" w:type="dxa"/>
            <w:vAlign w:val="bottom"/>
          </w:tcPr>
          <w:p>
            <w:pPr>
              <w:jc w:val="right"/>
              <w:ind w:right="357"/>
              <w:spacing w:after="0" w:line="149" w:lineRule="exact"/>
              <w:rPr>
                <w:sz w:val="20"/>
                <w:szCs w:val="20"/>
                <w:color w:val="auto"/>
              </w:rPr>
            </w:pPr>
            <w:r>
              <w:rPr>
                <w:rFonts w:ascii="Times New Roman" w:cs="Times New Roman" w:eastAsia="Times New Roman" w:hAnsi="Times New Roman"/>
                <w:sz w:val="14"/>
                <w:szCs w:val="14"/>
                <w:b w:val="1"/>
                <w:bCs w:val="1"/>
                <w:color w:val="auto"/>
              </w:rPr>
              <w:t>June 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May 28,</w:t>
            </w:r>
          </w:p>
        </w:tc>
        <w:tc>
          <w:tcPr>
            <w:tcW w:w="1040" w:type="dxa"/>
            <w:vAlign w:val="bottom"/>
          </w:tcPr>
          <w:p>
            <w:pPr>
              <w:jc w:val="right"/>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75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50,150</w:t>
            </w: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62,820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21"/>
                <w:szCs w:val="21"/>
                <w:color w:val="auto"/>
              </w:rPr>
            </w:pP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right="20"/>
        <w:spacing w:after="0" w:line="282" w:lineRule="auto"/>
        <w:rPr>
          <w:sz w:val="20"/>
          <w:szCs w:val="20"/>
          <w:color w:val="auto"/>
        </w:rPr>
      </w:pPr>
      <w:r>
        <w:rPr>
          <w:rFonts w:ascii="Times New Roman" w:cs="Times New Roman" w:eastAsia="Times New Roman" w:hAnsi="Times New Roman"/>
          <w:sz w:val="18"/>
          <w:szCs w:val="18"/>
          <w:color w:val="auto"/>
        </w:rPr>
        <w:t>Architectural Services net sales decreased $12.7 million, or 20.2 percent, for the three-month period ended June 3, 2017, over the same period in the prior year primarily due to year-on-year timing of project activity.</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margin declined 350 basis points due to lower volume leverage on fixed project management, engineering and manufacturing costs.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June 3, 2017, backlog in this segment is approximately $293 million compared to $255 million at year-end.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Large-Scale Optical (LSO)</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11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May 28, 2016</w:t>
            </w:r>
          </w:p>
        </w:tc>
        <w:tc>
          <w:tcPr>
            <w:tcW w:w="100" w:type="dxa"/>
            <w:vAlign w:val="bottom"/>
            <w:vMerge w:val="restart"/>
          </w:tcPr>
          <w:p>
            <w:pPr>
              <w:spacing w:after="0"/>
              <w:rPr>
                <w:sz w:val="12"/>
                <w:szCs w:val="12"/>
                <w:color w:val="auto"/>
              </w:rPr>
            </w:pPr>
          </w:p>
        </w:tc>
        <w:tc>
          <w:tcPr>
            <w:tcW w:w="1140" w:type="dxa"/>
            <w:vAlign w:val="bottom"/>
          </w:tcPr>
          <w:p>
            <w:pPr>
              <w:jc w:val="right"/>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74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18,603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20,028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21"/>
                <w:szCs w:val="21"/>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4,050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right="20"/>
        <w:spacing w:after="0" w:line="282" w:lineRule="auto"/>
        <w:rPr>
          <w:sz w:val="20"/>
          <w:szCs w:val="20"/>
          <w:color w:val="auto"/>
        </w:rPr>
      </w:pPr>
      <w:r>
        <w:rPr>
          <w:rFonts w:ascii="Times New Roman" w:cs="Times New Roman" w:eastAsia="Times New Roman" w:hAnsi="Times New Roman"/>
          <w:sz w:val="18"/>
          <w:szCs w:val="18"/>
          <w:color w:val="auto"/>
        </w:rPr>
        <w:t>LSO net sales declined $1.4 million, or 7.1 percent, for the three-month period ended June 3, 2017, due to timing of customer orders and softer custom picture framing end-markets.</w:t>
      </w:r>
    </w:p>
    <w:p>
      <w:pPr>
        <w:spacing w:after="0" w:line="54"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Operating margin declined 140 basis points due to lower volume leverage on operating costs. Given the short lead times in this segment, backlog is not considered a significant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80"/>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0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2"/>
                <w:szCs w:val="22"/>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260" w:type="dxa"/>
            <w:vAlign w:val="bottom"/>
          </w:tcPr>
          <w:p>
            <w:pPr>
              <w:spacing w:after="0"/>
              <w:rPr>
                <w:sz w:val="22"/>
                <w:szCs w:val="22"/>
                <w:color w:val="auto"/>
              </w:rPr>
            </w:pP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May 28, 2016</w:t>
            </w:r>
          </w:p>
        </w:tc>
      </w:tr>
      <w:tr>
        <w:trPr>
          <w:trHeight w:val="249"/>
        </w:trPr>
        <w:tc>
          <w:tcPr>
            <w:tcW w:w="8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r>
    </w:tbl>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provided by operating activities was $5.9 million for the first three months of fiscal 2018, increasing $6.4 million over the prior-year period due to timing of working capital payments.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In the first three months of fiscal 2018 and 2017, net cash used by investing activities was mainly driven by capital expenditures.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 fiscal 2018 capital expenditures to be approximately $60 million, as we continue to invest in capabilities and productivity.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review our portfolio of businesses and their assets in comparison to our internal strategic and performance objectives. As part of this review, we may acquire other businesses, pursue geographic expansion, take actions to manage capacity and/or further invest in, fully divest and/or sell parts of our current businesses.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As of June 3, 2017, we maintained a $175.0 million committed revolving credit facility that expires in November 2021. As 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our amended committed revolving credit facility, we are required to comply with two financial covenants. These financial covenants require us to stay below a maximum leverage ratio and to maintain a minimum interest coverage ratio. At June 3, 2017, we were in compliance with both financial covenants.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paid dividends totaling $4.0 million ($0.14 per share) in the first three months of fiscal 2018. We did not repurchase shares under our authorized share repurchase program during the first three months of fiscal 2018 or fiscal 2017. Subsequent to the end of the quarter, in June and July 2017, we purchased 150,000 shares under the program for a total cost of $8.2 million. We have repurchased a total of 3,457,633 shares, at a total cost of $80.5 million, since the inception of this program. We have remaining authority to repurchase 792,367 shares under this program, which has no expiration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Financing Activities. </w:t>
      </w:r>
      <w:r>
        <w:rPr>
          <w:rFonts w:ascii="Times New Roman" w:cs="Times New Roman" w:eastAsia="Times New Roman" w:hAnsi="Times New Roman"/>
          <w:sz w:val="18"/>
          <w:szCs w:val="18"/>
          <w:color w:val="auto"/>
        </w:rPr>
        <w:t>The following summarizes our significant contractual obligations that impact our liquidity as of June 3, 2017:</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Payments Due by Fiscal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Remainder of</w:t>
            </w:r>
          </w:p>
        </w:tc>
        <w:tc>
          <w:tcPr>
            <w:tcW w:w="180" w:type="dxa"/>
            <w:vAlign w:val="bottom"/>
          </w:tcPr>
          <w:p>
            <w:pPr>
              <w:spacing w:after="0"/>
              <w:rPr>
                <w:sz w:val="12"/>
                <w:szCs w:val="12"/>
                <w:color w:val="auto"/>
              </w:rPr>
            </w:pPr>
          </w:p>
        </w:tc>
        <w:tc>
          <w:tcPr>
            <w:tcW w:w="9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71,400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 (undiscounted)</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9,047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49,851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91,083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19,697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115,513</w:t>
            </w:r>
          </w:p>
        </w:tc>
        <w:tc>
          <w:tcPr>
            <w:tcW w:w="0" w:type="dxa"/>
            <w:vAlign w:val="bottom"/>
          </w:tcPr>
          <w:p>
            <w:pPr>
              <w:spacing w:after="0"/>
              <w:rPr>
                <w:sz w:val="1"/>
                <w:szCs w:val="1"/>
                <w:color w:val="auto"/>
              </w:rPr>
            </w:pPr>
          </w:p>
        </w:tc>
      </w:tr>
      <w:tr>
        <w:trPr>
          <w:trHeight w:val="237"/>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cash obligations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100,130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30,518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11,532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12,927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59,834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21,823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236,764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acquire the use of certain assets through operating leases, such as warehouses, vehicles, forklifts, office equipment, hardware, software and some manufacturing equipment. Many of these operating leases have termination penalties. However, because the assets are used in the conduct of our business operations, it is unlikely that any significant portion of these operating leases would be terminated prior to the normal expiration of their lease terms. Therefore, we consider the risk related to termination penalties to be minimal.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in the table above relate to raw material commitments and capital expenditures.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$1.0 million to our defined-benefit pension plans in fiscal 2018, which will equal or exceed our minimum funding requirements.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08"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 2017, we had reserves of $4.8 million and $1.4 million for unrecognized tax benefits and environmental liabilities, respectively. We expect approximately $0.5 million of the unrecognized tax benefits to lapse during the next 12 months. We are unable to reasonably estimate in which future periods the remaining unrecognized tax benefits and environmental liabilities will ultimately be settled.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 2017, we had a total of $23.5 million of ongoing letters of credit related to industrial revenue bonds and construction contracts that expire in fiscal 2018 and reduce availability of funds under our committed credit facility.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above standby letters of credit, we are required, in the ordinary course of business, to provide surety or performance bonds that commit payments to our customers for any non-performance by us. At June 3, 2017, $66.0 million of our backlog was bonded by performance bonds with a face value of $329.7 million. Performance bonds do not have stated expiration dates, as we are released from the bonds upon completion of the contract. We have never been required to make any payments related to these performance bonds with respect to any of our current portfolio of businesses.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borrowing capability under our committed revolving credit facility, we believe that our sources of liquidity will continue to be adequate to fund our working capital requirements, planned capital expenditures and dividend payments for at least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9, 2017, we expanded our committed revolving credit facility (see Note 9) to $335.0 million. There were no significant changes to terms associated with this expansion.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12, 2017, we acquired 100 percent of the stock of EFCO Corporation, a privately-held U.S. manufacturer of architectural aluminum window, curtainwall, storefront and entrance systems for commercial construction projects for $192.0 million, funded by our committed revolving credit facility. Preliminary purchase accounting will be completed in the second quarter and the acquired company will be included within our Architectural Framing Systems segment. Results of operations for EFCO will be included in our consolidated financial statements from the date of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analyze non-GAAP measures for adjusted net earnings, adjusted diluted earnings per common share and adjusted operating income. These measures are used by management to evaluate the Company's financial performance on a more consistent basis and improve comparability of results from period to period, because they exclude certain amounts that are not considered part of core operating results. These non-GAAP measures should be viewed in addition to, and not as an alternative to, the reported financial results of the company prepared in accordance with GAAP. The non-GAAP measures presented below may differ from similar measures used by other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earnings to adjusted net earnings and earnings per diluted common share to adjusted earnings per diluted common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tcPr>
          <w:p>
            <w:pPr>
              <w:spacing w:after="0"/>
              <w:rPr>
                <w:sz w:val="16"/>
                <w:szCs w:val="16"/>
                <w:color w:val="auto"/>
              </w:rPr>
            </w:pPr>
          </w:p>
        </w:tc>
      </w:tr>
      <w:tr>
        <w:trPr>
          <w:trHeight w:val="275"/>
        </w:trPr>
        <w:tc>
          <w:tcPr>
            <w:tcW w:w="6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June 3, 2017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May 28, 2016</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16,104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short-lived acquired intangibles</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N/M</w:t>
            </w:r>
          </w:p>
        </w:tc>
      </w:tr>
      <w:tr>
        <w:trPr>
          <w:trHeight w:val="270"/>
        </w:trPr>
        <w:tc>
          <w:tcPr>
            <w:tcW w:w="6740" w:type="dxa"/>
            <w:vAlign w:val="bottom"/>
            <w:tcBorders>
              <w:bottom w:val="single" w:sz="8" w:color="CCEEFF"/>
            </w:tcBorders>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Income tax impact on above adjustments </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N/M</w:t>
            </w: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17,939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324"/>
        </w:trPr>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diluted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short-lived acquired intangibles</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N/M</w:t>
            </w:r>
          </w:p>
        </w:tc>
      </w:tr>
      <w:tr>
        <w:trPr>
          <w:trHeight w:val="270"/>
        </w:trPr>
        <w:tc>
          <w:tcPr>
            <w:tcW w:w="6740" w:type="dxa"/>
            <w:vAlign w:val="bottom"/>
            <w:tcBorders>
              <w:bottom w:val="single" w:sz="8" w:color="CCEEFF"/>
            </w:tcBorders>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Income tax impact on above adjustments </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6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earnings per diluted common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0.62</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7"/>
        </w:trPr>
        <w:tc>
          <w:tcPr>
            <w:tcW w:w="6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4" w:lineRule="exact"/>
        <w:rPr>
          <w:sz w:val="20"/>
          <w:szCs w:val="20"/>
          <w:color w:val="auto"/>
        </w:rPr>
      </w:pPr>
    </w:p>
    <w:p>
      <w:pPr>
        <w:ind w:left="180" w:hanging="145"/>
        <w:spacing w:after="0"/>
        <w:tabs>
          <w:tab w:leader="none" w:pos="18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Income tax impact on adjustments was calculated using the quarterly effective income tax rate of 32.9%.</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line="4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operating income (loss) to adjusted operating income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Framing Systems Segment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00" w:type="dxa"/>
            <w:vAlign w:val="bottom"/>
            <w:vMerge w:val="restart"/>
          </w:tcPr>
          <w:p>
            <w:pPr>
              <w:spacing w:after="0"/>
              <w:rPr>
                <w:sz w:val="12"/>
                <w:szCs w:val="12"/>
                <w:color w:val="auto"/>
              </w:rPr>
            </w:pPr>
          </w:p>
        </w:tc>
        <w:tc>
          <w:tcPr>
            <w:tcW w:w="13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20" w:type="dxa"/>
            <w:vAlign w:val="bottom"/>
            <w:vMerge w:val="restart"/>
          </w:tcPr>
          <w:p>
            <w:pPr>
              <w:spacing w:after="0"/>
              <w:rPr>
                <w:sz w:val="12"/>
                <w:szCs w:val="12"/>
                <w:color w:val="auto"/>
              </w:rPr>
            </w:pPr>
          </w:p>
        </w:tc>
        <w:tc>
          <w:tcPr>
            <w:tcW w:w="13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 2017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11,964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1"/>
                <w:szCs w:val="21"/>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24,106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short-lived acquired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2,054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14,018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26,840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May 28, 2016</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Operating income (loss) </w:t>
            </w:r>
            <w:r>
              <w:rPr>
                <w:rFonts w:ascii="Times New Roman" w:cs="Times New Roman" w:eastAsia="Times New Roman" w:hAnsi="Times New Roman"/>
                <w:sz w:val="25"/>
                <w:szCs w:val="25"/>
                <w:color w:val="auto"/>
                <w:vertAlign w:val="superscript"/>
              </w:rPr>
              <w:t>(1)</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10,232</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26,249</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0" w:right="280" w:hanging="5"/>
        <w:spacing w:after="0" w:line="262" w:lineRule="auto"/>
        <w:tabs>
          <w:tab w:leader="none" w:pos="181"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Expenses related to amortization of short-lived acquired intangibles and acquisition-related costs are not applicable to the period ended May 28, 2016, and therefore no adjustments have been made.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statements are based on our current expectations for full-year fiscal 2018 results, inclusive of the recent EFCO acquisition. These statements are forward-looking, and actual results may differ materially.</w:t>
      </w:r>
    </w:p>
    <w:p>
      <w:pPr>
        <w:spacing w:after="0" w:line="72" w:lineRule="exact"/>
        <w:rPr>
          <w:sz w:val="20"/>
          <w:szCs w:val="20"/>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approximately 26 to 28 percent over fiscal 2017.</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10.5 percent to 11.0 percent.</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of $3.31 to $3.51.</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of 11.5 to 12.0 percent and adjusted diluted earnings per share of $3.65 to $3.85</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p>
      <w:pPr>
        <w:spacing w:after="0" w:line="45"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of approximately $60 million.</w:t>
      </w:r>
    </w:p>
    <w:p>
      <w:pPr>
        <w:spacing w:after="0" w:line="108" w:lineRule="exact"/>
        <w:rPr>
          <w:rFonts w:ascii="Times New Roman" w:cs="Times New Roman" w:eastAsia="Times New Roman" w:hAnsi="Times New Roman"/>
          <w:sz w:val="18"/>
          <w:szCs w:val="18"/>
          <w:color w:val="auto"/>
        </w:rPr>
      </w:pPr>
    </w:p>
    <w:p>
      <w:pPr>
        <w:jc w:val="both"/>
        <w:ind w:left="640"/>
        <w:spacing w:after="0" w:line="28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4"/>
          <w:szCs w:val="14"/>
          <w:color w:val="auto"/>
        </w:rPr>
        <w:t xml:space="preserve"> Adjusted operating margin and adjusted diluted earnings per share exclude the after-tax impact of amortization of short-lived acquired intangible assets associated with the acquired backlog of Sotawall and EFCO of $7 million ($0.24 per diluted share) and acquisition-related costs for Sotawall and EFCO of approximately $2.9 million ($0.10 per diluted share). These two adjustments have a combined approximate 100 basis point impact on operating margin. These non-GAAP measures are used by management to evaluate prospective financial performance on a more consistent basis across periods. These non-GAAP measures should be viewed in addition to, and not as an alternative to, the financial results of the company prepared in accordance with GAAP.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 material changes have occurred in the disclosure with respect to our related party transactions set forth in our Annual Report on Form 10-K for the fiscal year ended March 4,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 material changes have occurred in the disclosure of our critical accounting policies set forth in our Annual Report on Form 10-K for the fiscal year ended March 4, 2017.</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material changes have occurred to the disclosures of quantitative and qualitative market risk set forth in our Annual Report on Form 10-K for the fiscal year ended March 4, 2017.</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left="1300" w:hanging="644"/>
        <w:spacing w:after="0" w:line="254"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w:t>
      </w: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7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was no change in the Company’s internal control over financial reporting that occurred during the fiscal quarter ended June 3, 2017, that has materially affected, or is reasonably likely to materially affect, the Company’s internal control over financial reporting.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been a party to various legal proceedings incidental to its normal operating activities. In particular, like others in the construction supply and services industry, the Company’s construction supply and services businesses are routinely involved in various disputes and claims arising out of construction projects, sometimes involving significant monetary damages or product replacement. The Company is also subject to litigation arising out of employment practices, workers compensation, general liability and automobile claims. Although it is very difficult to accurately predict the outcome of such proceedings, facts currently available indicate that no such claims will result in losses that would have a material adverse effect on the results of operations, cash flows or financial condition of the Company.</w:t>
      </w:r>
    </w:p>
    <w:p>
      <w:pPr>
        <w:sectPr>
          <w:pgSz w:w="11900" w:h="16880" w:orient="portrait"/>
          <w:cols w:equalWidth="0" w:num="1">
            <w:col w:w="11420"/>
          </w:cols>
          <w:pgMar w:left="240" w:top="121" w:right="239"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or additions to our risk factors discussed in our Annual Report on Form 10-K for the fiscal year ended March 4, 2017.</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first quarter of fiscal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Yet Be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95"/>
        </w:trPr>
        <w:tc>
          <w:tcPr>
            <w:tcW w:w="5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5, 2017 to April 1, 2017</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942,367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2, 2017 to April 29, 2017</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31,364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942,367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30, 2017 to June 3, 2017</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13,660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942,367</w:t>
            </w:r>
          </w:p>
        </w:tc>
        <w:tc>
          <w:tcPr>
            <w:tcW w:w="0" w:type="dxa"/>
            <w:vAlign w:val="bottom"/>
          </w:tcPr>
          <w:p>
            <w:pPr>
              <w:spacing w:after="0"/>
              <w:rPr>
                <w:sz w:val="1"/>
                <w:szCs w:val="1"/>
                <w:color w:val="auto"/>
              </w:rPr>
            </w:pPr>
          </w:p>
        </w:tc>
      </w:tr>
      <w:tr>
        <w:trPr>
          <w:trHeight w:val="237"/>
        </w:trPr>
        <w:tc>
          <w:tcPr>
            <w:tcW w:w="5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45,826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942,367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right="60" w:hanging="652"/>
        <w:spacing w:after="0" w:line="253"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in this column represent shares that were surrendered to us by plan participants to satisfy stock-for-stock option exercises or withholding tax obligations related to share-based compensation.</w:t>
      </w:r>
    </w:p>
    <w:p>
      <w:pPr>
        <w:ind w:left="660" w:right="240" w:hanging="652"/>
        <w:spacing w:after="0" w:line="250"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the Board of Directors authorized the repurchase of 1,500,000 shares of Company stock, which was announced on April 10, 2003. Subsequently, the Board of Directors increased the authorization by 750,000 shares, which was announced on January 24, 2008; by 1,000,000 shares, which was announced on October 8, 2008; and by 1,000,000 shares, which was announced on January 13, 2016. The repurchase program does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33"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60"/>
        </w:trPr>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Stock Purchase Agreement, dated as of April 28, 2017, by and among Apogee Enterprises, Inc., EFCO Corporation, and Pella</w:t>
            </w:r>
          </w:p>
        </w:tc>
      </w:tr>
      <w:tr>
        <w:trPr>
          <w:trHeight w:val="234"/>
        </w:trPr>
        <w:tc>
          <w:tcPr>
            <w:tcW w:w="680" w:type="dxa"/>
            <w:vAlign w:val="bottom"/>
          </w:tcPr>
          <w:p>
            <w:pPr>
              <w:spacing w:after="0"/>
              <w:rPr>
                <w:sz w:val="20"/>
                <w:szCs w:val="20"/>
                <w:color w:val="auto"/>
              </w:rPr>
            </w:pP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Corporation. Incorporated herein by reference to Exhibit 2.1 to the Company's Current Report on Form 8-K filed May 2, 2017.</w:t>
            </w:r>
          </w:p>
        </w:tc>
      </w:tr>
      <w:tr>
        <w:trPr>
          <w:trHeight w:val="373"/>
        </w:trPr>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Form of Bonus Pool Award Agreement under the Apogee Enterprises, Inc. 2012 Executive Management Incentive Plan. Incorporated</w:t>
            </w:r>
          </w:p>
        </w:tc>
      </w:tr>
      <w:tr>
        <w:trPr>
          <w:trHeight w:val="234"/>
        </w:trPr>
        <w:tc>
          <w:tcPr>
            <w:tcW w:w="680" w:type="dxa"/>
            <w:vAlign w:val="bottom"/>
          </w:tcPr>
          <w:p>
            <w:pPr>
              <w:spacing w:after="0"/>
              <w:rPr>
                <w:sz w:val="20"/>
                <w:szCs w:val="20"/>
                <w:color w:val="auto"/>
              </w:rPr>
            </w:pP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herein by reference to Exhibit 10.1 to the Company's Current Report on Form 8-K filed May 3, 2017.</w:t>
            </w:r>
          </w:p>
        </w:tc>
      </w:tr>
      <w:tr>
        <w:trPr>
          <w:trHeight w:val="373"/>
        </w:trPr>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Form of CEO Evaluation-Based Retention Incentive Agreement under the Apogee Enterprises, Inc. 2016 Executive Management</w:t>
            </w:r>
          </w:p>
        </w:tc>
      </w:tr>
      <w:tr>
        <w:trPr>
          <w:trHeight w:val="234"/>
        </w:trPr>
        <w:tc>
          <w:tcPr>
            <w:tcW w:w="680" w:type="dxa"/>
            <w:vAlign w:val="bottom"/>
          </w:tcPr>
          <w:p>
            <w:pPr>
              <w:spacing w:after="0"/>
              <w:rPr>
                <w:sz w:val="20"/>
                <w:szCs w:val="20"/>
                <w:color w:val="auto"/>
              </w:rPr>
            </w:pP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Incentive Plan. Incorporated herein by reference to Exhibit 10.3 to the Company's Current Report on Form 8-K filed May 3, 2017.</w:t>
            </w:r>
          </w:p>
        </w:tc>
      </w:tr>
      <w:tr>
        <w:trPr>
          <w:trHeight w:val="373"/>
        </w:trPr>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Amendment No. 1 to the Second Amended and Restated Credit Agreement, dated as of June 9, 2017, by and among the Company, the</w:t>
            </w:r>
          </w:p>
        </w:tc>
      </w:tr>
      <w:tr>
        <w:trPr>
          <w:trHeight w:val="216"/>
        </w:trPr>
        <w:tc>
          <w:tcPr>
            <w:tcW w:w="680" w:type="dxa"/>
            <w:vAlign w:val="bottom"/>
          </w:tcPr>
          <w:p>
            <w:pPr>
              <w:spacing w:after="0"/>
              <w:rPr>
                <w:sz w:val="18"/>
                <w:szCs w:val="18"/>
                <w:color w:val="auto"/>
              </w:rPr>
            </w:pP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Lenders (as defined therein), and Wells Fargo Bank, National Association, as administrative agent for the Lenders, swingline lender and</w:t>
            </w:r>
          </w:p>
        </w:tc>
      </w:tr>
      <w:tr>
        <w:trPr>
          <w:trHeight w:val="216"/>
        </w:trPr>
        <w:tc>
          <w:tcPr>
            <w:tcW w:w="680" w:type="dxa"/>
            <w:vAlign w:val="bottom"/>
          </w:tcPr>
          <w:p>
            <w:pPr>
              <w:spacing w:after="0"/>
              <w:rPr>
                <w:sz w:val="18"/>
                <w:szCs w:val="18"/>
                <w:color w:val="auto"/>
              </w:rPr>
            </w:pP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(with Comerica Bank) issuer of letters of credit. Incorporated herein by reference to Exhibit 10.1 to the Company's Current Report on</w:t>
            </w:r>
          </w:p>
        </w:tc>
      </w:tr>
      <w:tr>
        <w:trPr>
          <w:trHeight w:val="234"/>
        </w:trPr>
        <w:tc>
          <w:tcPr>
            <w:tcW w:w="680" w:type="dxa"/>
            <w:vAlign w:val="bottom"/>
          </w:tcPr>
          <w:p>
            <w:pPr>
              <w:spacing w:after="0"/>
              <w:rPr>
                <w:sz w:val="20"/>
                <w:szCs w:val="20"/>
                <w:color w:val="auto"/>
              </w:rPr>
            </w:pP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Form 8-K filed June 14, 2017.</w:t>
            </w:r>
          </w:p>
        </w:tc>
      </w:tr>
      <w:tr>
        <w:trPr>
          <w:trHeight w:val="392"/>
        </w:trPr>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under the Securities Exchange Act of 1934.</w:t>
            </w:r>
          </w:p>
        </w:tc>
      </w:tr>
      <w:tr>
        <w:trPr>
          <w:trHeight w:val="392"/>
        </w:trPr>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under the Securities Exchange Act of 1934.</w:t>
            </w:r>
          </w:p>
        </w:tc>
      </w:tr>
      <w:tr>
        <w:trPr>
          <w:trHeight w:val="373"/>
        </w:trPr>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r>
      <w:tr>
        <w:trPr>
          <w:trHeight w:val="234"/>
        </w:trPr>
        <w:tc>
          <w:tcPr>
            <w:tcW w:w="680" w:type="dxa"/>
            <w:vAlign w:val="bottom"/>
          </w:tcPr>
          <w:p>
            <w:pPr>
              <w:spacing w:after="0"/>
              <w:rPr>
                <w:sz w:val="20"/>
                <w:szCs w:val="20"/>
                <w:color w:val="auto"/>
              </w:rPr>
            </w:pP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Act of 2002.</w:t>
            </w:r>
          </w:p>
        </w:tc>
      </w:tr>
      <w:tr>
        <w:trPr>
          <w:trHeight w:val="373"/>
        </w:trPr>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r>
      <w:tr>
        <w:trPr>
          <w:trHeight w:val="234"/>
        </w:trPr>
        <w:tc>
          <w:tcPr>
            <w:tcW w:w="680" w:type="dxa"/>
            <w:vAlign w:val="bottom"/>
          </w:tcPr>
          <w:p>
            <w:pPr>
              <w:spacing w:after="0"/>
              <w:rPr>
                <w:sz w:val="20"/>
                <w:szCs w:val="20"/>
                <w:color w:val="auto"/>
              </w:rPr>
            </w:pPr>
          </w:p>
        </w:tc>
        <w:tc>
          <w:tcPr>
            <w:tcW w:w="10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Act of 2002.</w:t>
            </w:r>
          </w:p>
        </w:tc>
      </w:tr>
    </w:tbl>
    <w:p>
      <w:pPr>
        <w:spacing w:after="0" w:line="157" w:lineRule="exact"/>
        <w:rPr>
          <w:sz w:val="20"/>
          <w:szCs w:val="20"/>
          <w:color w:val="auto"/>
        </w:rPr>
      </w:pPr>
    </w:p>
    <w:p>
      <w:pPr>
        <w:jc w:val="both"/>
        <w:ind w:left="1520" w:right="20" w:hanging="1485"/>
        <w:spacing w:after="0" w:line="256"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Apogee Enterprises, Inc.’s Quarterly Report on Form 10-Q for the quarter ended June 3, 2017 are furnished herewith, formatted in XBRL (Extensible Business Reporting Language): (i) the Consolidated Balance Sheets as of June 3, 2017 and March 4, 2017, (ii) the Consolidated Results of Operations for the three months ended June 3, 2017 and May 28, 2016, (iii) the Consolidated Statements of Comprehensive Earnings for the three months ended June 3, 2017 and May 28, 2016, (iv) the Consolidated Statements of Cash Flows for the three months ended June 3, 2017 and May 28, 2016, (v) the Consolidated Statements of Shareholders' Equity for the three months ended June 3, 2017 and May 28, 2016, and (vi) Notes to Consolidated Financial Statements.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387" w:lineRule="exact"/>
        <w:rPr>
          <w:sz w:val="20"/>
          <w:szCs w:val="20"/>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18"/>
          <w:szCs w:val="18"/>
          <w:color w:val="auto"/>
        </w:rPr>
        <w:t>Date: July 12, 2017</w:t>
      </w:r>
      <w:r>
        <w:rPr>
          <w:sz w:val="20"/>
          <w:szCs w:val="20"/>
          <w:color w:val="auto"/>
        </w:rPr>
        <w:tab/>
      </w:r>
      <w:r>
        <w:rPr>
          <w:rFonts w:ascii="Times New Roman" w:cs="Times New Roman" w:eastAsia="Times New Roman" w:hAnsi="Times New Roman"/>
          <w:sz w:val="17"/>
          <w:szCs w:val="17"/>
          <w:color w:val="auto"/>
        </w:rPr>
        <w:t>By: /s/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34290</wp:posOffset>
            </wp:positionV>
            <wp:extent cx="32931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Joseph F. Puishys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 and Chief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9" w:lineRule="exact"/>
        <w:rPr>
          <w:sz w:val="20"/>
          <w:szCs w:val="20"/>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18"/>
          <w:szCs w:val="18"/>
          <w:color w:val="auto"/>
        </w:rPr>
        <w:t>Date: July 12, 2017</w:t>
      </w:r>
      <w:r>
        <w:rPr>
          <w:sz w:val="20"/>
          <w:szCs w:val="20"/>
          <w:color w:val="auto"/>
        </w:rPr>
        <w:tab/>
      </w:r>
      <w:r>
        <w:rPr>
          <w:rFonts w:ascii="Times New Roman" w:cs="Times New Roman" w:eastAsia="Times New Roman" w:hAnsi="Times New Roman"/>
          <w:sz w:val="18"/>
          <w:szCs w:val="18"/>
          <w:color w:val="auto"/>
        </w:rPr>
        <w:t>By: /s/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34290</wp:posOffset>
            </wp:positionV>
            <wp:extent cx="32931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James S. Porter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240" w:top="121" w:right="4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1000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Exhibit Index to Form 10-Q for the Period Ended June 3, 2017</w:t>
            </w:r>
          </w:p>
        </w:tc>
      </w:tr>
      <w:tr>
        <w:trPr>
          <w:trHeight w:val="360"/>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Purchase Agreement, dated as of April 28, 2017, by and among Apogee Enterprises, Inc., EFCO Corporation, and Pella</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Corporation. Incorporated herein by reference to Exhibit 2.1 to the Company's Current Report on Form 8-K filed May 2, 2017.</w:t>
            </w:r>
          </w:p>
        </w:tc>
      </w:tr>
      <w:tr>
        <w:trPr>
          <w:trHeight w:val="37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Bonus Pool Award Agreement under the Apogee Enterprises, Inc. 2012 Executive Management Incentive Plan. Incorporated</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herein by reference to Exhibit 10.1 to the Company's Current Report on Form 8-K filed May 3, 2017.</w:t>
            </w:r>
          </w:p>
        </w:tc>
      </w:tr>
      <w:tr>
        <w:trPr>
          <w:trHeight w:val="37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CEO Evaluation-Based Retention Incentive Agreement under the Apogee Enterprises, Inc. 2016 Executive Management</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Plan. Incorporated herein by reference to Exhibit 10.3 to the Company's Current Report on Form 8-K filed May 3, 2017.</w:t>
            </w:r>
          </w:p>
        </w:tc>
      </w:tr>
      <w:tr>
        <w:trPr>
          <w:trHeight w:val="37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No. 1 to the Second Amended and Restated Credit Agreement, dated as of June 9, 2017, by and among the Company, the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Lenders (as defined therein), and Wells Fargo Bank, National Association, as administrative agent for the Lenders, swingline lender 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Comerica Bank) issuer of letters of credit. Incorporated herein by reference to Exhibit 10.1 to the Company's Current Report on</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8-K filed June 14, 2017.</w:t>
            </w:r>
          </w:p>
        </w:tc>
      </w:tr>
      <w:tr>
        <w:trPr>
          <w:trHeight w:val="39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under the Securities Exchange Act of 1934.</w:t>
            </w:r>
          </w:p>
        </w:tc>
      </w:tr>
      <w:tr>
        <w:trPr>
          <w:trHeight w:val="39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under the Securities Exchange Act of 1934.</w:t>
            </w:r>
          </w:p>
        </w:tc>
      </w:tr>
      <w:tr>
        <w:trPr>
          <w:trHeight w:val="37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 of 2002.</w:t>
            </w:r>
          </w:p>
        </w:tc>
      </w:tr>
      <w:tr>
        <w:trPr>
          <w:trHeight w:val="37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 of 2002.</w:t>
            </w:r>
          </w:p>
        </w:tc>
      </w:tr>
    </w:tbl>
    <w:p>
      <w:pPr>
        <w:spacing w:after="0" w:line="157" w:lineRule="exact"/>
        <w:rPr>
          <w:sz w:val="20"/>
          <w:szCs w:val="20"/>
          <w:color w:val="auto"/>
        </w:rPr>
      </w:pPr>
    </w:p>
    <w:p>
      <w:pPr>
        <w:jc w:val="both"/>
        <w:ind w:left="1520" w:right="20" w:hanging="1485"/>
        <w:spacing w:after="0" w:line="256"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Apogee Enterprises, Inc.’s Quarterly Report on Form 10-Q for the quarter ended June 3, 2017 are furnished herewith, formatted in XBRL (Extensible Business Reporting Language): (i) the Consolidated Balance Sheets as of June 3, 2017 and March 4, 2017, (ii) the Consolidated Results of Operations for the three months ended June 3, 2017 and May 28, 2016, (iii) the Consolidated Statements of Comprehensive Earnings for the three months ended June 3, 2017 and May 28, 2016, (iv) the Consolidated Statements of Cash Flows for the three months ended June 3, 2017 and May 28, 2016, (v) the Consolidated Statements of Shareholders' Equity for the three months ended June 3, 2017 and May 28, 2016, and (vi) Notes to Consolidated Financial Statements.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08" w:right="25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F. Puishys, certify that:</w:t>
      </w:r>
    </w:p>
    <w:p>
      <w:pPr>
        <w:spacing w:after="0" w:line="117"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2280" w:right="80" w:hanging="651"/>
        <w:spacing w:after="0" w:line="266" w:lineRule="auto"/>
        <w:tabs>
          <w:tab w:leader="none" w:pos="2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280" w:right="100" w:hanging="651"/>
        <w:spacing w:after="0" w:line="266" w:lineRule="auto"/>
        <w:tabs>
          <w:tab w:leader="none" w:pos="2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2280" w:right="180" w:hanging="651"/>
        <w:spacing w:after="0" w:line="266" w:lineRule="auto"/>
        <w:tabs>
          <w:tab w:leader="none" w:pos="2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2280" w:right="240" w:hanging="651"/>
        <w:spacing w:after="0" w:line="266" w:lineRule="auto"/>
        <w:tabs>
          <w:tab w:leader="none" w:pos="2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300" w:right="32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280" w:right="460" w:hanging="651"/>
        <w:spacing w:after="0" w:line="266" w:lineRule="auto"/>
        <w:tabs>
          <w:tab w:leader="none" w:pos="2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2280" w:right="840" w:hanging="651"/>
        <w:spacing w:after="0" w:line="282" w:lineRule="auto"/>
        <w:tabs>
          <w:tab w:leader="none" w:pos="2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12, 2017</w:t>
      </w:r>
    </w:p>
    <w:p>
      <w:pPr>
        <w:spacing w:after="0" w:line="360"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Joseph F. Puishys</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S. Porter, certify that:</w:t>
      </w:r>
    </w:p>
    <w:p>
      <w:pPr>
        <w:spacing w:after="0" w:line="117"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2280" w:right="80" w:hanging="651"/>
        <w:spacing w:after="0" w:line="266" w:lineRule="auto"/>
        <w:tabs>
          <w:tab w:leader="none" w:pos="2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280" w:right="100" w:hanging="651"/>
        <w:spacing w:after="0" w:line="266" w:lineRule="auto"/>
        <w:tabs>
          <w:tab w:leader="none" w:pos="2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2280" w:right="180" w:hanging="651"/>
        <w:spacing w:after="0" w:line="266" w:lineRule="auto"/>
        <w:tabs>
          <w:tab w:leader="none" w:pos="2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2280" w:right="240" w:hanging="651"/>
        <w:spacing w:after="0" w:line="266" w:lineRule="auto"/>
        <w:tabs>
          <w:tab w:leader="none" w:pos="2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300" w:right="32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280" w:right="460" w:hanging="651"/>
        <w:spacing w:after="0" w:line="266" w:lineRule="auto"/>
        <w:tabs>
          <w:tab w:leader="none" w:pos="2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2280" w:right="840" w:hanging="651"/>
        <w:spacing w:after="0" w:line="282" w:lineRule="auto"/>
        <w:tabs>
          <w:tab w:leader="none" w:pos="2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12, 2017</w:t>
      </w:r>
    </w:p>
    <w:p>
      <w:pPr>
        <w:spacing w:after="0" w:line="36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James S. Porter</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June 3, 2017 as filed with the Securities and Exchange Commission (the “Report”), I, Joseph F. Puishys, Chief Executive Officer of the Company, certify, pursuant to 18 U.S.C. § 1350, as adopted pursuant to § 906 of the Sarbanes-Oxley Act of 2002, that based on my knowledge:</w:t>
      </w:r>
    </w:p>
    <w:p>
      <w:pPr>
        <w:spacing w:after="0" w:line="12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301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Joseph F. Puishys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July 12, 2017</w:t>
      </w:r>
    </w:p>
    <w:p>
      <w:pPr>
        <w:sectPr>
          <w:pgSz w:w="11900" w:h="16838" w:orient="portrait"/>
          <w:cols w:equalWidth="0" w:num="1">
            <w:col w:w="11420"/>
          </w:cols>
          <w:pgMar w:left="240" w:top="576"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June 3, 2017 as filed with the Securities and Exchange Commission (the “Report”), I, James S. Porter, Chief Financial Officer of the Company, certify, pursuant to 18 U.S.C. § 1350, as adopted pursuant to § 906 of the Sarbanes-Oxley Act of 2002, that based on my knowledge:</w:t>
      </w:r>
    </w:p>
    <w:p>
      <w:pPr>
        <w:spacing w:after="0" w:line="12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301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S. Porter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July 12, 2017</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01"/>
    </w:lvl>
  </w:abstractNum>
  <w:abstractNum w:abstractNumId="17">
    <w:nsid w:val="62BBD95A"/>
    <w:multiLevelType w:val="hybridMultilevel"/>
    <w:lvl w:ilvl="0">
      <w:lvlJc w:val="left"/>
      <w:lvlText w:val="%1"/>
      <w:numFmt w:val="decimal"/>
      <w:start w:val="10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2019-12-29T05:38:18Z</dcterms:created>
  <dcterms:modified xsi:type="dcterms:W3CDTF">2019-12-29T05:38:18Z</dcterms:modified>
</cp:coreProperties>
</file>