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779"/>
        <w:spacing w:after="0"/>
        <w:rPr>
          <w:sz w:val="20"/>
          <w:szCs w:val="20"/>
          <w:color w:val="auto"/>
        </w:rPr>
      </w:pPr>
      <w:r>
        <w:rPr>
          <w:rFonts w:ascii="Courier New" w:cs="Courier New" w:eastAsia="Courier New" w:hAnsi="Courier New"/>
          <w:sz w:val="18"/>
          <w:szCs w:val="18"/>
          <w:color w:val="auto"/>
        </w:rPr>
        <w:t>CONFORMED COPY</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0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4" w:lineRule="exact"/>
        <w:rPr>
          <w:sz w:val="24"/>
          <w:szCs w:val="24"/>
          <w:color w:val="auto"/>
        </w:rPr>
      </w:pPr>
    </w:p>
    <w:p>
      <w:pPr>
        <w:ind w:left="1800" w:hanging="423"/>
        <w:spacing w:after="0"/>
        <w:tabs>
          <w:tab w:leader="none" w:pos="1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[_] TRANSITION REPORT PURSUANT TO SECTION 13 OR</w:t>
      </w:r>
    </w:p>
    <w:p>
      <w:pPr>
        <w:ind w:left="1800"/>
        <w:spacing w:after="0" w:line="238" w:lineRule="auto"/>
        <w:rPr>
          <w:sz w:val="20"/>
          <w:szCs w:val="20"/>
          <w:color w:val="auto"/>
        </w:rPr>
      </w:pPr>
      <w:r>
        <w:rPr>
          <w:rFonts w:ascii="Courier New" w:cs="Courier New" w:eastAsia="Courier New" w:hAnsi="Courier New"/>
          <w:sz w:val="18"/>
          <w:szCs w:val="18"/>
          <w:color w:val="auto"/>
        </w:rPr>
        <w:t>15(d) OF THE SECURITIES EXCHANGE ACT OF 1934</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10"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For Quarter Ended</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November 27, 1993</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0-6365</w:t>
      </w:r>
    </w:p>
    <w:p>
      <w:pPr>
        <w:spacing w:after="0" w:line="200" w:lineRule="exact"/>
        <w:rPr>
          <w:sz w:val="24"/>
          <w:szCs w:val="24"/>
          <w:color w:val="auto"/>
        </w:rPr>
      </w:pPr>
    </w:p>
    <w:p>
      <w:pPr>
        <w:sectPr>
          <w:pgSz w:w="11900" w:h="16838" w:orient="portrait"/>
          <w:cols w:equalWidth="0" w:num="4">
            <w:col w:w="2220" w:space="320"/>
            <w:col w:w="1780" w:space="220"/>
            <w:col w:w="2320" w:space="320"/>
            <w:col w:w="3039"/>
          </w:cols>
          <w:pgMar w:left="240" w:top="649" w:right="1440" w:bottom="1440" w:gutter="0" w:footer="0" w:header="0"/>
          <w:type w:val="continuous"/>
        </w:sectPr>
      </w:pPr>
    </w:p>
    <w:p>
      <w:pPr>
        <w:spacing w:after="0" w:line="18"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APOGEE ENTERPRISES, INC.</w:t>
      </w:r>
    </w:p>
    <w:p>
      <w:pPr>
        <w:spacing w:after="0" w:line="4"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(Exact Name of Registrant as Specified in Charter)</w:t>
      </w:r>
    </w:p>
    <w:p>
      <w:pPr>
        <w:sectPr>
          <w:pgSz w:w="11900" w:h="16838" w:orient="portrait"/>
          <w:cols w:equalWidth="0" w:num="1">
            <w:col w:w="10219"/>
          </w:cols>
          <w:pgMar w:left="240" w:top="649" w:right="1440" w:bottom="1440" w:gutter="0" w:footer="0" w:header="0"/>
          <w:type w:val="continuous"/>
        </w:sectPr>
      </w:pPr>
    </w:p>
    <w:p>
      <w:pPr>
        <w:spacing w:after="0" w:line="218"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Minnesota</w:t>
      </w:r>
    </w:p>
    <w:p>
      <w:pPr>
        <w:spacing w:after="0" w:line="4"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41-0919654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 No.)</w:t>
      </w:r>
    </w:p>
    <w:p>
      <w:pPr>
        <w:spacing w:after="0" w:line="200" w:lineRule="exact"/>
        <w:rPr>
          <w:sz w:val="24"/>
          <w:szCs w:val="24"/>
          <w:color w:val="auto"/>
        </w:rPr>
      </w:pPr>
    </w:p>
    <w:p>
      <w:pPr>
        <w:sectPr>
          <w:pgSz w:w="11900" w:h="16838" w:orient="portrait"/>
          <w:cols w:equalWidth="0" w:num="2">
            <w:col w:w="3820" w:space="720"/>
            <w:col w:w="5679"/>
          </w:cols>
          <w:pgMar w:left="240" w:top="649" w:right="1440" w:bottom="1440" w:gutter="0" w:footer="0" w:header="0"/>
          <w:type w:val="continuous"/>
        </w:sectPr>
      </w:pPr>
    </w:p>
    <w:p>
      <w:pPr>
        <w:spacing w:after="0" w:line="221" w:lineRule="exact"/>
        <w:rPr>
          <w:sz w:val="24"/>
          <w:szCs w:val="24"/>
          <w:color w:val="auto"/>
        </w:rPr>
      </w:pPr>
    </w:p>
    <w:p>
      <w:pPr>
        <w:jc w:val="center"/>
        <w:ind w:right="1879"/>
        <w:spacing w:after="0"/>
        <w:tabs>
          <w:tab w:leader="none" w:pos="200" w:val="left"/>
        </w:tabs>
        <w:rPr>
          <w:sz w:val="20"/>
          <w:szCs w:val="20"/>
          <w:color w:val="auto"/>
        </w:rPr>
      </w:pPr>
      <w:r>
        <w:rPr>
          <w:rFonts w:ascii="Courier New" w:cs="Courier New" w:eastAsia="Courier New" w:hAnsi="Courier New"/>
          <w:sz w:val="18"/>
          <w:szCs w:val="18"/>
          <w:color w:val="auto"/>
        </w:rPr>
        <w:t>7900 Xerxes Avenue South, Suite 1800, Minneapolis, Minnesota</w:t>
      </w:r>
      <w:r>
        <w:rPr>
          <w:sz w:val="20"/>
          <w:szCs w:val="20"/>
          <w:color w:val="auto"/>
        </w:rPr>
        <w:tab/>
      </w:r>
      <w:r>
        <w:rPr>
          <w:rFonts w:ascii="Courier New" w:cs="Courier New" w:eastAsia="Courier New" w:hAnsi="Courier New"/>
          <w:sz w:val="16"/>
          <w:szCs w:val="16"/>
          <w:color w:val="auto"/>
        </w:rPr>
        <w:t>55431</w:t>
      </w:r>
    </w:p>
    <w:p>
      <w:pPr>
        <w:jc w:val="center"/>
        <w:ind w:right="1979"/>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ectPr>
          <w:pgSz w:w="11900" w:h="16838" w:orient="portrait"/>
          <w:cols w:equalWidth="0" w:num="1">
            <w:col w:w="10219"/>
          </w:cols>
          <w:pgMar w:left="240" w:top="649" w:right="1440" w:bottom="1440" w:gutter="0" w:footer="0" w:header="0"/>
          <w:type w:val="continuous"/>
        </w:sectPr>
      </w:pPr>
    </w:p>
    <w:p>
      <w:pPr>
        <w:spacing w:after="0" w:line="200" w:lineRule="exact"/>
        <w:rPr>
          <w:sz w:val="24"/>
          <w:szCs w:val="24"/>
          <w:color w:val="auto"/>
        </w:rPr>
      </w:pPr>
    </w:p>
    <w:p>
      <w:pPr>
        <w:spacing w:after="0" w:line="210"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Registrant's Telephone Number</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(612) 835-1874</w:t>
      </w:r>
    </w:p>
    <w:p>
      <w:pPr>
        <w:spacing w:after="0" w:line="200" w:lineRule="exact"/>
        <w:rPr>
          <w:sz w:val="24"/>
          <w:szCs w:val="24"/>
          <w:color w:val="auto"/>
        </w:rPr>
      </w:pPr>
    </w:p>
    <w:p>
      <w:pPr>
        <w:sectPr>
          <w:pgSz w:w="11900" w:h="16838" w:orient="portrait"/>
          <w:cols w:equalWidth="0" w:num="2">
            <w:col w:w="4740" w:space="320"/>
            <w:col w:w="5159"/>
          </w:cols>
          <w:pgMar w:left="240" w:top="649" w:right="1440" w:bottom="1440" w:gutter="0" w:footer="0" w:header="0"/>
          <w:type w:val="continuous"/>
        </w:sect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Indicate by check mark whether the registrant (1) has filed all reports required</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be filed by Section 13 or 15(d) of the Securities Exchange Act of 1934 during</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preceding 12 months (or for such shorter period that the registrant was</w:t>
      </w:r>
    </w:p>
    <w:p>
      <w:pPr>
        <w:spacing w:after="0" w:line="238" w:lineRule="auto"/>
        <w:rPr>
          <w:sz w:val="20"/>
          <w:szCs w:val="20"/>
          <w:color w:val="auto"/>
        </w:rPr>
      </w:pPr>
      <w:r>
        <w:rPr>
          <w:rFonts w:ascii="Courier New" w:cs="Courier New" w:eastAsia="Courier New" w:hAnsi="Courier New"/>
          <w:sz w:val="18"/>
          <w:szCs w:val="18"/>
          <w:color w:val="auto"/>
        </w:rPr>
        <w:t>required to file such reports), and (2) has been subject to such filing</w:t>
      </w:r>
    </w:p>
    <w:p>
      <w:pPr>
        <w:spacing w:after="0"/>
        <w:tabs>
          <w:tab w:leader="none" w:pos="4000" w:val="left"/>
          <w:tab w:leader="none" w:pos="4720" w:val="left"/>
          <w:tab w:leader="none" w:pos="5360" w:val="left"/>
        </w:tabs>
        <w:rPr>
          <w:sz w:val="20"/>
          <w:szCs w:val="20"/>
          <w:color w:val="auto"/>
        </w:rPr>
      </w:pPr>
      <w:r>
        <w:rPr>
          <w:rFonts w:ascii="Courier New" w:cs="Courier New" w:eastAsia="Courier New" w:hAnsi="Courier New"/>
          <w:sz w:val="18"/>
          <w:szCs w:val="18"/>
          <w:color w:val="auto"/>
        </w:rPr>
        <w:t>requirements for the past 90 days.</w:t>
      </w:r>
      <w:r>
        <w:rPr>
          <w:sz w:val="20"/>
          <w:szCs w:val="20"/>
          <w:color w:val="auto"/>
        </w:rPr>
        <w:tab/>
      </w: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r>
    </w:p>
    <w:p>
      <w:pPr>
        <w:ind w:left="4440"/>
        <w:spacing w:after="0" w:line="237" w:lineRule="auto"/>
        <w:tabs>
          <w:tab w:leader="none" w:pos="5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ectPr>
          <w:pgSz w:w="11900" w:h="16838" w:orient="portrait"/>
          <w:cols w:equalWidth="0" w:num="1">
            <w:col w:w="10219"/>
          </w:cols>
          <w:pgMar w:left="240" w:top="649" w:right="1440" w:bottom="144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APPLICABLE ONLY TO CORPORATE ISSUERS:</w:t>
      </w:r>
    </w:p>
    <w:p>
      <w:pPr>
        <w:spacing w:after="0" w:line="207"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close of the latest practicable date.</w:t>
      </w:r>
    </w:p>
    <w:p>
      <w:pPr>
        <w:sectPr>
          <w:pgSz w:w="11900" w:h="16838" w:orient="portrait"/>
          <w:cols w:equalWidth="0" w:num="1">
            <w:col w:w="10219"/>
          </w:cols>
          <w:pgMar w:left="240" w:top="649" w:right="1440" w:bottom="1440" w:gutter="0" w:footer="0" w:header="0"/>
          <w:type w:val="continuous"/>
        </w:sectPr>
      </w:pPr>
    </w:p>
    <w:p>
      <w:pPr>
        <w:spacing w:after="0" w:line="200" w:lineRule="exact"/>
        <w:rPr>
          <w:sz w:val="24"/>
          <w:szCs w:val="24"/>
          <w:color w:val="auto"/>
        </w:rPr>
      </w:pPr>
    </w:p>
    <w:p>
      <w:pPr>
        <w:spacing w:after="0" w:line="205" w:lineRule="exact"/>
        <w:rPr>
          <w:sz w:val="24"/>
          <w:szCs w:val="24"/>
          <w:color w:val="auto"/>
        </w:rPr>
      </w:pPr>
    </w:p>
    <w:p>
      <w:pPr>
        <w:jc w:val="center"/>
        <w:ind w:right="860"/>
        <w:spacing w:after="0"/>
        <w:rPr>
          <w:sz w:val="20"/>
          <w:szCs w:val="20"/>
          <w:color w:val="auto"/>
        </w:rPr>
      </w:pPr>
      <w:r>
        <w:rPr>
          <w:rFonts w:ascii="Courier New" w:cs="Courier New" w:eastAsia="Courier New" w:hAnsi="Courier New"/>
          <w:sz w:val="18"/>
          <w:szCs w:val="18"/>
          <w:color w:val="auto"/>
        </w:rPr>
        <w:t>Class</w:t>
      </w:r>
    </w:p>
    <w:p>
      <w:pPr>
        <w:spacing w:after="0" w:line="4" w:lineRule="exact"/>
        <w:rPr>
          <w:sz w:val="24"/>
          <w:szCs w:val="24"/>
          <w:color w:val="auto"/>
        </w:rPr>
      </w:pPr>
    </w:p>
    <w:p>
      <w:pPr>
        <w:jc w:val="center"/>
        <w:ind w:right="760"/>
        <w:spacing w:after="0"/>
        <w:rPr>
          <w:sz w:val="20"/>
          <w:szCs w:val="20"/>
          <w:color w:val="auto"/>
        </w:rPr>
      </w:pPr>
      <w:r>
        <w:rPr>
          <w:rFonts w:ascii="Courier New" w:cs="Courier New" w:eastAsia="Courier New" w:hAnsi="Courier New"/>
          <w:sz w:val="16"/>
          <w:szCs w:val="16"/>
          <w:color w:val="auto"/>
        </w:rPr>
        <w:t>Common Stock, $.33-1/3 Par Value</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6"/>
          <w:szCs w:val="16"/>
          <w:color w:val="auto"/>
        </w:rPr>
        <w:t>Outstanding at December 31, 1993</w:t>
      </w:r>
    </w:p>
    <w:p>
      <w:pPr>
        <w:spacing w:after="0" w:line="1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13,315,492</w:t>
      </w:r>
    </w:p>
    <w:p>
      <w:pPr>
        <w:sectPr>
          <w:pgSz w:w="11900" w:h="16838" w:orient="portrait"/>
          <w:cols w:equalWidth="0" w:num="2">
            <w:col w:w="4140" w:space="720"/>
            <w:col w:w="5359"/>
          </w:cols>
          <w:pgMar w:left="240" w:top="649" w:right="1440"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APOGEE ENTERPRISES, INC. AND SUBSIDIARIES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FORM 10-Q</w:t>
      </w:r>
    </w:p>
    <w:p>
      <w:pPr>
        <w:jc w:val="center"/>
        <w:ind w:right="1879"/>
        <w:spacing w:after="0"/>
        <w:rPr>
          <w:sz w:val="20"/>
          <w:szCs w:val="20"/>
          <w:color w:val="auto"/>
        </w:rPr>
      </w:pPr>
      <w:r>
        <w:rPr>
          <w:rFonts w:ascii="Courier New" w:cs="Courier New" w:eastAsia="Courier New" w:hAnsi="Courier New"/>
          <w:sz w:val="18"/>
          <w:szCs w:val="18"/>
          <w:color w:val="auto"/>
        </w:rPr>
        <w:t>TABLE OF CONTENTS</w:t>
      </w:r>
    </w:p>
    <w:p>
      <w:pPr>
        <w:jc w:val="center"/>
        <w:ind w:right="1879"/>
        <w:spacing w:after="0" w:line="237" w:lineRule="auto"/>
        <w:rPr>
          <w:sz w:val="20"/>
          <w:szCs w:val="20"/>
          <w:color w:val="auto"/>
        </w:rPr>
      </w:pPr>
      <w:r>
        <w:rPr>
          <w:rFonts w:ascii="Courier New" w:cs="Courier New" w:eastAsia="Courier New" w:hAnsi="Courier New"/>
          <w:sz w:val="18"/>
          <w:szCs w:val="18"/>
          <w:color w:val="auto"/>
        </w:rPr>
        <w:t>FOR THE QUARTER ENDED NOVEMBER 27,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17"/>
                <w:szCs w:val="17"/>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Description</w:t>
            </w:r>
          </w:p>
        </w:tc>
        <w:tc>
          <w:tcPr>
            <w:tcW w:w="4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1060" w:type="dxa"/>
            <w:vAlign w:val="bottom"/>
          </w:tcPr>
          <w:p>
            <w:pPr>
              <w:spacing w:after="0"/>
              <w:rPr>
                <w:sz w:val="17"/>
                <w:szCs w:val="17"/>
                <w:color w:val="auto"/>
              </w:rPr>
            </w:pP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06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14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4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5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Financial Statements</w:t>
            </w:r>
          </w:p>
        </w:tc>
        <w:tc>
          <w:tcPr>
            <w:tcW w:w="540" w:type="dxa"/>
            <w:vAlign w:val="bottom"/>
          </w:tcPr>
          <w:p>
            <w:pPr>
              <w:spacing w:after="0"/>
              <w:rPr>
                <w:sz w:val="24"/>
                <w:szCs w:val="24"/>
                <w:color w:val="auto"/>
              </w:rPr>
            </w:pPr>
          </w:p>
        </w:tc>
      </w:tr>
      <w:tr>
        <w:trPr>
          <w:trHeight w:val="405"/>
        </w:trPr>
        <w:tc>
          <w:tcPr>
            <w:tcW w:w="10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Consolidated</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w w:val="99"/>
              </w:rPr>
              <w:t>Balance Sheets as of November 27, 1993</w:t>
            </w:r>
          </w:p>
        </w:tc>
        <w:tc>
          <w:tcPr>
            <w:tcW w:w="54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February</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27, 1993</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10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Consolidated</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Results of Operations for the</w:t>
            </w:r>
          </w:p>
        </w:tc>
        <w:tc>
          <w:tcPr>
            <w:tcW w:w="54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Three Months</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Nine Months Ended</w:t>
            </w:r>
          </w:p>
        </w:tc>
        <w:tc>
          <w:tcPr>
            <w:tcW w:w="54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November 27,</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1993 and November 28, 1992</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10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Consolidated</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Statements of Cash Flows for</w:t>
            </w:r>
          </w:p>
        </w:tc>
        <w:tc>
          <w:tcPr>
            <w:tcW w:w="54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5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the Nine Months Ended November 27, 1993</w:t>
            </w:r>
          </w:p>
        </w:tc>
        <w:tc>
          <w:tcPr>
            <w:tcW w:w="54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November</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28, 1992</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1060" w:type="dxa"/>
            <w:vAlign w:val="bottom"/>
          </w:tcPr>
          <w:p>
            <w:pPr>
              <w:spacing w:after="0"/>
              <w:rPr>
                <w:sz w:val="24"/>
                <w:szCs w:val="24"/>
                <w:color w:val="auto"/>
              </w:rPr>
            </w:pPr>
          </w:p>
        </w:tc>
        <w:tc>
          <w:tcPr>
            <w:tcW w:w="5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Notes to Consolidated Financial Statements</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Management's</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Discussion and Analysis of</w:t>
            </w:r>
          </w:p>
        </w:tc>
        <w:tc>
          <w:tcPr>
            <w:tcW w:w="54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5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Financial Condition and Results of Operations</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7-10</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5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Other Information</w:t>
            </w:r>
          </w:p>
        </w:tc>
        <w:tc>
          <w:tcPr>
            <w:tcW w:w="540" w:type="dxa"/>
            <w:vAlign w:val="bottom"/>
          </w:tcPr>
          <w:p>
            <w:pPr>
              <w:spacing w:after="0"/>
              <w:rPr>
                <w:sz w:val="24"/>
                <w:szCs w:val="24"/>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4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Exhibits</w:t>
            </w:r>
          </w:p>
        </w:tc>
        <w:tc>
          <w:tcPr>
            <w:tcW w:w="4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608"/>
        </w:trPr>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160" w:type="dxa"/>
            <w:vAlign w:val="bottom"/>
          </w:tcPr>
          <w:p>
            <w:pPr>
              <w:ind w:left="1540"/>
              <w:spacing w:after="0"/>
              <w:rPr>
                <w:sz w:val="20"/>
                <w:szCs w:val="20"/>
                <w:color w:val="auto"/>
              </w:rPr>
            </w:pPr>
            <w:r>
              <w:rPr>
                <w:rFonts w:ascii="Courier New" w:cs="Courier New" w:eastAsia="Courier New" w:hAnsi="Courier New"/>
                <w:sz w:val="18"/>
                <w:szCs w:val="18"/>
                <w:color w:val="auto"/>
              </w:rPr>
              <w:t>-2-</w:t>
            </w:r>
          </w:p>
        </w:tc>
        <w:tc>
          <w:tcPr>
            <w:tcW w:w="54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2" w:name="page3"/>
    <w:bookmarkEnd w:id="2"/>
    <w:p>
      <w:pPr>
        <w:ind w:left="2000"/>
        <w:spacing w:after="0"/>
        <w:rPr>
          <w:sz w:val="20"/>
          <w:szCs w:val="20"/>
          <w:color w:val="auto"/>
        </w:rPr>
      </w:pPr>
      <w:r>
        <w:rPr>
          <w:rFonts w:ascii="Courier New" w:cs="Courier New" w:eastAsia="Courier New" w:hAnsi="Courier New"/>
          <w:sz w:val="18"/>
          <w:szCs w:val="18"/>
          <w:color w:val="auto"/>
        </w:rPr>
        <w:t>APOGEE ENTERPRISES, INC. AND SUBSIDIARIES</w:t>
      </w:r>
    </w:p>
    <w:p>
      <w:pPr>
        <w:ind w:left="2740"/>
        <w:spacing w:after="0" w:line="238" w:lineRule="auto"/>
        <w:rPr>
          <w:sz w:val="20"/>
          <w:szCs w:val="20"/>
          <w:color w:val="auto"/>
        </w:rPr>
      </w:pPr>
      <w:r>
        <w:rPr>
          <w:rFonts w:ascii="Courier New" w:cs="Courier New" w:eastAsia="Courier New" w:hAnsi="Courier New"/>
          <w:sz w:val="18"/>
          <w:szCs w:val="18"/>
          <w:color w:val="auto"/>
        </w:rPr>
        <w:t>CONSOLIDATED BALANCE SHEETS</w:t>
      </w:r>
    </w:p>
    <w:p>
      <w:pPr>
        <w:ind w:left="2960"/>
        <w:spacing w:after="0"/>
        <w:rPr>
          <w:sz w:val="20"/>
          <w:szCs w:val="20"/>
          <w:color w:val="auto"/>
        </w:rPr>
      </w:pPr>
      <w:r>
        <w:rPr>
          <w:rFonts w:ascii="Courier New" w:cs="Courier New" w:eastAsia="Courier New" w:hAnsi="Courier New"/>
          <w:sz w:val="18"/>
          <w:szCs w:val="18"/>
          <w:color w:val="auto"/>
        </w:rPr>
        <w:t>(Thousands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tcPr>
          <w:p>
            <w:pPr>
              <w:spacing w:after="0"/>
              <w:rPr>
                <w:sz w:val="17"/>
                <w:szCs w:val="17"/>
                <w:color w:val="auto"/>
              </w:rPr>
            </w:pP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November 27,</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February 27,</w:t>
            </w:r>
          </w:p>
        </w:tc>
      </w:tr>
      <w:tr>
        <w:trPr>
          <w:trHeight w:val="203"/>
        </w:trPr>
        <w:tc>
          <w:tcPr>
            <w:tcW w:w="506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1993</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506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1,291</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8,908</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Receivables, net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158,423</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106,421</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45,780</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40,189</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9,381</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8,481</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6,927</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5,030</w:t>
            </w:r>
          </w:p>
        </w:tc>
      </w:tr>
      <w:tr>
        <w:trPr>
          <w:trHeight w:val="203"/>
        </w:trPr>
        <w:tc>
          <w:tcPr>
            <w:tcW w:w="506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221,802</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169,029</w:t>
            </w:r>
          </w:p>
        </w:tc>
      </w:tr>
      <w:tr>
        <w:trPr>
          <w:trHeight w:val="203"/>
        </w:trPr>
        <w:tc>
          <w:tcPr>
            <w:tcW w:w="506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66,225</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66,128</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Intangible assets, at cost less</w:t>
            </w: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amortization</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3,421</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4,917</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in and advances to</w:t>
            </w:r>
          </w:p>
        </w:tc>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affiliated companies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11,509</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10,179</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1,270</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1,203</w:t>
            </w:r>
          </w:p>
        </w:tc>
      </w:tr>
      <w:tr>
        <w:trPr>
          <w:trHeight w:val="203"/>
        </w:trPr>
        <w:tc>
          <w:tcPr>
            <w:tcW w:w="506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$304,227</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$251,456</w:t>
            </w:r>
          </w:p>
        </w:tc>
      </w:tr>
      <w:tr>
        <w:trPr>
          <w:trHeight w:val="203"/>
        </w:trPr>
        <w:tc>
          <w:tcPr>
            <w:tcW w:w="506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$ 46,979</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$ 37,200</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39,176</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36,414</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Billings in excess of costs and earnings</w:t>
            </w:r>
          </w:p>
        </w:tc>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on uncompleted contracts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21,717</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17,440</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income taxes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4,468</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4,556</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Notes payable</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22,800</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installments of long-term debt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4,056</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4,177</w:t>
            </w:r>
          </w:p>
        </w:tc>
      </w:tr>
      <w:tr>
        <w:trPr>
          <w:trHeight w:val="203"/>
        </w:trPr>
        <w:tc>
          <w:tcPr>
            <w:tcW w:w="506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139,196</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99,787</w:t>
            </w:r>
          </w:p>
        </w:tc>
      </w:tr>
      <w:tr>
        <w:trPr>
          <w:trHeight w:val="203"/>
        </w:trPr>
        <w:tc>
          <w:tcPr>
            <w:tcW w:w="506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35,809</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28,419</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Other long-term liabilities</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12,436</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10,915</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$.33-1/3 par value;</w:t>
            </w:r>
          </w:p>
        </w:tc>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authorized 50,000,000 shares; issued</w:t>
            </w:r>
          </w:p>
        </w:tc>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outstanding 13,215,000 and</w:t>
            </w:r>
          </w:p>
        </w:tc>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13,177,000 shares, respectively</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4,405</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4,392</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16,375</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15,845</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96,006</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92,098</w:t>
            </w:r>
          </w:p>
        </w:tc>
      </w:tr>
      <w:tr>
        <w:trPr>
          <w:trHeight w:val="203"/>
        </w:trPr>
        <w:tc>
          <w:tcPr>
            <w:tcW w:w="506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116,786</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112,335</w:t>
            </w:r>
          </w:p>
        </w:tc>
      </w:tr>
      <w:tr>
        <w:trPr>
          <w:trHeight w:val="203"/>
        </w:trPr>
        <w:tc>
          <w:tcPr>
            <w:tcW w:w="506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shareholders' equity</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$304,227</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$251,456</w:t>
            </w:r>
          </w:p>
        </w:tc>
      </w:tr>
      <w:tr>
        <w:trPr>
          <w:trHeight w:val="203"/>
        </w:trPr>
        <w:tc>
          <w:tcPr>
            <w:tcW w:w="506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19" w:right="1440" w:bottom="1440" w:gutter="0" w:footer="0" w:header="0"/>
        </w:sectPr>
      </w:pPr>
    </w:p>
    <w:bookmarkStart w:id="3" w:name="page4"/>
    <w:bookmarkEnd w:id="3"/>
    <w:p>
      <w:pPr>
        <w:ind w:left="2000"/>
        <w:spacing w:after="0"/>
        <w:rPr>
          <w:sz w:val="20"/>
          <w:szCs w:val="20"/>
          <w:color w:val="auto"/>
        </w:rPr>
      </w:pPr>
      <w:r>
        <w:rPr>
          <w:rFonts w:ascii="Courier New" w:cs="Courier New" w:eastAsia="Courier New" w:hAnsi="Courier New"/>
          <w:sz w:val="18"/>
          <w:szCs w:val="18"/>
          <w:color w:val="auto"/>
        </w:rPr>
        <w:t>APOGEE ENTERPRISES, INC. AND SUBSIDIARIES</w:t>
      </w:r>
    </w:p>
    <w:p>
      <w:pPr>
        <w:ind w:left="2320"/>
        <w:spacing w:after="0" w:line="238" w:lineRule="auto"/>
        <w:rPr>
          <w:sz w:val="20"/>
          <w:szCs w:val="20"/>
          <w:color w:val="auto"/>
        </w:rPr>
      </w:pPr>
      <w:r>
        <w:rPr>
          <w:rFonts w:ascii="Courier New" w:cs="Courier New" w:eastAsia="Courier New" w:hAnsi="Courier New"/>
          <w:sz w:val="18"/>
          <w:szCs w:val="18"/>
          <w:color w:val="auto"/>
        </w:rPr>
        <w:t>CONSOLIDATED RESULTS OF OPERATIONS</w:t>
      </w:r>
    </w:p>
    <w:p>
      <w:pPr>
        <w:ind w:left="1900"/>
        <w:spacing w:after="0"/>
        <w:rPr>
          <w:sz w:val="20"/>
          <w:szCs w:val="20"/>
          <w:color w:val="auto"/>
        </w:rPr>
      </w:pPr>
      <w:r>
        <w:rPr>
          <w:rFonts w:ascii="Courier New" w:cs="Courier New" w:eastAsia="Courier New" w:hAnsi="Courier New"/>
          <w:sz w:val="18"/>
          <w:szCs w:val="18"/>
          <w:color w:val="auto"/>
        </w:rPr>
        <w:t>FOR THE THREE MONTHS AND NINE MONTHS ENDED</w:t>
      </w:r>
    </w:p>
    <w:p>
      <w:pPr>
        <w:ind w:left="2120"/>
        <w:spacing w:after="0" w:line="237" w:lineRule="auto"/>
        <w:rPr>
          <w:sz w:val="20"/>
          <w:szCs w:val="20"/>
          <w:color w:val="auto"/>
        </w:rPr>
      </w:pPr>
      <w:r>
        <w:rPr>
          <w:rFonts w:ascii="Courier New" w:cs="Courier New" w:eastAsia="Courier New" w:hAnsi="Courier New"/>
          <w:sz w:val="18"/>
          <w:szCs w:val="18"/>
          <w:color w:val="auto"/>
        </w:rPr>
        <w:t>NOVEMBER 27, 1993 AND NOVEMBER 28, 1992</w:t>
      </w:r>
    </w:p>
    <w:p>
      <w:pPr>
        <w:ind w:left="1160"/>
        <w:spacing w:after="0" w:line="238" w:lineRule="auto"/>
        <w:rPr>
          <w:sz w:val="20"/>
          <w:szCs w:val="20"/>
          <w:color w:val="auto"/>
        </w:rPr>
      </w:pPr>
      <w:r>
        <w:rPr>
          <w:rFonts w:ascii="Courier New" w:cs="Courier New" w:eastAsia="Courier New" w:hAnsi="Courier New"/>
          <w:sz w:val="18"/>
          <w:szCs w:val="18"/>
          <w:color w:val="auto"/>
        </w:rPr>
        <w:t>(Thousands of Dollars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4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rPr>
              <w:t>Three Months Ended</w:t>
            </w:r>
          </w:p>
        </w:tc>
        <w:tc>
          <w:tcPr>
            <w:tcW w:w="320" w:type="dxa"/>
            <w:vAlign w:val="bottom"/>
          </w:tcPr>
          <w:p>
            <w:pPr>
              <w:spacing w:after="0"/>
              <w:rPr>
                <w:sz w:val="17"/>
                <w:szCs w:val="17"/>
                <w:color w:val="auto"/>
              </w:rPr>
            </w:pPr>
          </w:p>
        </w:tc>
        <w:tc>
          <w:tcPr>
            <w:tcW w:w="274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3700" w:type="dxa"/>
            <w:vAlign w:val="bottom"/>
          </w:tcPr>
          <w:p>
            <w:pPr>
              <w:spacing w:after="0"/>
              <w:rPr>
                <w:sz w:val="17"/>
                <w:szCs w:val="17"/>
                <w:color w:val="auto"/>
              </w:rPr>
            </w:pPr>
          </w:p>
        </w:tc>
        <w:tc>
          <w:tcPr>
            <w:tcW w:w="326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3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700" w:type="dxa"/>
            <w:vAlign w:val="bottom"/>
          </w:tcPr>
          <w:p>
            <w:pPr>
              <w:spacing w:after="0"/>
              <w:rPr>
                <w:sz w:val="17"/>
                <w:szCs w:val="17"/>
                <w:color w:val="auto"/>
              </w:rPr>
            </w:pPr>
          </w:p>
        </w:tc>
        <w:tc>
          <w:tcPr>
            <w:tcW w:w="1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November 27,</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November 28,</w:t>
            </w:r>
          </w:p>
        </w:tc>
        <w:tc>
          <w:tcPr>
            <w:tcW w:w="1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November 27,</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November 28,</w:t>
            </w:r>
          </w:p>
        </w:tc>
      </w:tr>
      <w:tr>
        <w:trPr>
          <w:trHeight w:val="203"/>
        </w:trPr>
        <w:tc>
          <w:tcPr>
            <w:tcW w:w="3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1993</w:t>
            </w:r>
          </w:p>
        </w:tc>
        <w:tc>
          <w:tcPr>
            <w:tcW w:w="32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1992</w:t>
            </w:r>
          </w:p>
        </w:tc>
        <w:tc>
          <w:tcPr>
            <w:tcW w:w="32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1993</w:t>
            </w:r>
          </w:p>
        </w:tc>
        <w:tc>
          <w:tcPr>
            <w:tcW w:w="32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3700" w:type="dxa"/>
            <w:vAlign w:val="bottom"/>
          </w:tcPr>
          <w:p>
            <w:pPr>
              <w:spacing w:after="0"/>
              <w:rPr>
                <w:sz w:val="17"/>
                <w:szCs w:val="17"/>
                <w:color w:val="auto"/>
              </w:rPr>
            </w:pP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70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184,529</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146,723</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508,849</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423,403</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42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160,612</w:t>
            </w:r>
          </w:p>
        </w:tc>
        <w:tc>
          <w:tcPr>
            <w:tcW w:w="32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126,864</w:t>
            </w:r>
          </w:p>
        </w:tc>
        <w:tc>
          <w:tcPr>
            <w:tcW w:w="32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442,892</w:t>
            </w:r>
          </w:p>
        </w:tc>
        <w:tc>
          <w:tcPr>
            <w:tcW w:w="32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363,453</w:t>
            </w:r>
          </w:p>
        </w:tc>
      </w:tr>
      <w:tr>
        <w:trPr>
          <w:trHeight w:val="203"/>
        </w:trPr>
        <w:tc>
          <w:tcPr>
            <w:tcW w:w="3700" w:type="dxa"/>
            <w:vAlign w:val="bottom"/>
          </w:tcPr>
          <w:p>
            <w:pPr>
              <w:spacing w:after="0"/>
              <w:rPr>
                <w:sz w:val="17"/>
                <w:szCs w:val="17"/>
                <w:color w:val="auto"/>
              </w:rPr>
            </w:pP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ind w:left="420"/>
              <w:spacing w:after="0"/>
              <w:rPr>
                <w:sz w:val="20"/>
                <w:szCs w:val="20"/>
                <w:color w:val="auto"/>
              </w:rPr>
            </w:pPr>
            <w:r>
              <w:rPr>
                <w:rFonts w:ascii="Courier New" w:cs="Courier New" w:eastAsia="Courier New" w:hAnsi="Courier New"/>
                <w:sz w:val="18"/>
                <w:szCs w:val="18"/>
                <w:color w:val="auto"/>
              </w:rPr>
              <w:t>Gross profit</w:t>
            </w:r>
          </w:p>
        </w:tc>
        <w:tc>
          <w:tcPr>
            <w:tcW w:w="42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23,917</w:t>
            </w:r>
          </w:p>
        </w:tc>
        <w:tc>
          <w:tcPr>
            <w:tcW w:w="32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19,859</w:t>
            </w:r>
          </w:p>
        </w:tc>
        <w:tc>
          <w:tcPr>
            <w:tcW w:w="32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65,957</w:t>
            </w:r>
          </w:p>
        </w:tc>
        <w:tc>
          <w:tcPr>
            <w:tcW w:w="32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59,950</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Selling, general and</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 expenses</w:t>
            </w:r>
          </w:p>
        </w:tc>
        <w:tc>
          <w:tcPr>
            <w:tcW w:w="4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18,617</w:t>
            </w:r>
          </w:p>
        </w:tc>
        <w:tc>
          <w:tcPr>
            <w:tcW w:w="3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17,769</w:t>
            </w:r>
          </w:p>
        </w:tc>
        <w:tc>
          <w:tcPr>
            <w:tcW w:w="3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55,156</w:t>
            </w:r>
          </w:p>
        </w:tc>
        <w:tc>
          <w:tcPr>
            <w:tcW w:w="3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53,509</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in (earnings) of</w:t>
            </w: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affiliated companies</w:t>
            </w:r>
          </w:p>
        </w:tc>
        <w:tc>
          <w:tcPr>
            <w:tcW w:w="4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(259)</w:t>
            </w:r>
          </w:p>
        </w:tc>
        <w:tc>
          <w:tcPr>
            <w:tcW w:w="3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(1,086)</w:t>
            </w:r>
          </w:p>
        </w:tc>
        <w:tc>
          <w:tcPr>
            <w:tcW w:w="3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(1,453)</w:t>
            </w:r>
          </w:p>
        </w:tc>
        <w:tc>
          <w:tcPr>
            <w:tcW w:w="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(1,337)</w:t>
            </w:r>
          </w:p>
        </w:tc>
      </w:tr>
      <w:tr>
        <w:trPr>
          <w:trHeight w:val="203"/>
        </w:trPr>
        <w:tc>
          <w:tcPr>
            <w:tcW w:w="3700" w:type="dxa"/>
            <w:vAlign w:val="bottom"/>
          </w:tcPr>
          <w:p>
            <w:pPr>
              <w:spacing w:after="0"/>
              <w:rPr>
                <w:sz w:val="17"/>
                <w:szCs w:val="17"/>
                <w:color w:val="auto"/>
              </w:rPr>
            </w:pP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ind w:left="420"/>
              <w:spacing w:after="0"/>
              <w:rPr>
                <w:sz w:val="20"/>
                <w:szCs w:val="20"/>
                <w:color w:val="auto"/>
              </w:rPr>
            </w:pPr>
            <w:r>
              <w:rPr>
                <w:rFonts w:ascii="Courier New" w:cs="Courier New" w:eastAsia="Courier New" w:hAnsi="Courier New"/>
                <w:sz w:val="18"/>
                <w:szCs w:val="18"/>
                <w:color w:val="auto"/>
              </w:rPr>
              <w:t>Operating income</w:t>
            </w:r>
          </w:p>
        </w:tc>
        <w:tc>
          <w:tcPr>
            <w:tcW w:w="42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5,559</w:t>
            </w:r>
          </w:p>
        </w:tc>
        <w:tc>
          <w:tcPr>
            <w:tcW w:w="32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3,176</w:t>
            </w:r>
          </w:p>
        </w:tc>
        <w:tc>
          <w:tcPr>
            <w:tcW w:w="32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12,254</w:t>
            </w:r>
          </w:p>
        </w:tc>
        <w:tc>
          <w:tcPr>
            <w:tcW w:w="32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7,778</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Interest expense, net</w:t>
            </w:r>
          </w:p>
        </w:tc>
        <w:tc>
          <w:tcPr>
            <w:tcW w:w="42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916</w:t>
            </w:r>
          </w:p>
        </w:tc>
        <w:tc>
          <w:tcPr>
            <w:tcW w:w="32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376</w:t>
            </w:r>
          </w:p>
        </w:tc>
        <w:tc>
          <w:tcPr>
            <w:tcW w:w="32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2,236</w:t>
            </w:r>
          </w:p>
        </w:tc>
        <w:tc>
          <w:tcPr>
            <w:tcW w:w="32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1,378</w:t>
            </w:r>
          </w:p>
        </w:tc>
      </w:tr>
      <w:tr>
        <w:trPr>
          <w:trHeight w:val="203"/>
        </w:trPr>
        <w:tc>
          <w:tcPr>
            <w:tcW w:w="3700" w:type="dxa"/>
            <w:vAlign w:val="bottom"/>
          </w:tcPr>
          <w:p>
            <w:pPr>
              <w:spacing w:after="0"/>
              <w:rPr>
                <w:sz w:val="17"/>
                <w:szCs w:val="17"/>
                <w:color w:val="auto"/>
              </w:rPr>
            </w:pP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ind w:left="420"/>
              <w:spacing w:after="0"/>
              <w:rPr>
                <w:sz w:val="20"/>
                <w:szCs w:val="20"/>
                <w:color w:val="auto"/>
              </w:rPr>
            </w:pPr>
            <w:r>
              <w:rPr>
                <w:rFonts w:ascii="Courier New" w:cs="Courier New" w:eastAsia="Courier New" w:hAnsi="Courier New"/>
                <w:sz w:val="18"/>
                <w:szCs w:val="18"/>
                <w:color w:val="auto"/>
              </w:rPr>
              <w:t>Earnings before income taxes</w:t>
            </w:r>
          </w:p>
        </w:tc>
        <w:tc>
          <w:tcPr>
            <w:tcW w:w="42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4,643</w:t>
            </w:r>
          </w:p>
        </w:tc>
        <w:tc>
          <w:tcPr>
            <w:tcW w:w="32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2,800</w:t>
            </w:r>
          </w:p>
        </w:tc>
        <w:tc>
          <w:tcPr>
            <w:tcW w:w="32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10,018</w:t>
            </w:r>
          </w:p>
        </w:tc>
        <w:tc>
          <w:tcPr>
            <w:tcW w:w="32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6,400</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Income taxes</w:t>
            </w:r>
          </w:p>
        </w:tc>
        <w:tc>
          <w:tcPr>
            <w:tcW w:w="42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1,741</w:t>
            </w:r>
          </w:p>
        </w:tc>
        <w:tc>
          <w:tcPr>
            <w:tcW w:w="32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780</w:t>
            </w:r>
          </w:p>
        </w:tc>
        <w:tc>
          <w:tcPr>
            <w:tcW w:w="32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3,757</w:t>
            </w:r>
          </w:p>
        </w:tc>
        <w:tc>
          <w:tcPr>
            <w:tcW w:w="32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2,112</w:t>
            </w:r>
          </w:p>
        </w:tc>
      </w:tr>
      <w:tr>
        <w:trPr>
          <w:trHeight w:val="203"/>
        </w:trPr>
        <w:tc>
          <w:tcPr>
            <w:tcW w:w="3700" w:type="dxa"/>
            <w:vAlign w:val="bottom"/>
          </w:tcPr>
          <w:p>
            <w:pPr>
              <w:spacing w:after="0"/>
              <w:rPr>
                <w:sz w:val="17"/>
                <w:szCs w:val="17"/>
                <w:color w:val="auto"/>
              </w:rPr>
            </w:pP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ind w:left="420"/>
              <w:spacing w:after="0"/>
              <w:rPr>
                <w:sz w:val="20"/>
                <w:szCs w:val="20"/>
                <w:color w:val="auto"/>
              </w:rPr>
            </w:pPr>
            <w:r>
              <w:rPr>
                <w:rFonts w:ascii="Courier New" w:cs="Courier New" w:eastAsia="Courier New" w:hAnsi="Courier New"/>
                <w:sz w:val="18"/>
                <w:szCs w:val="18"/>
                <w:color w:val="auto"/>
              </w:rPr>
              <w:t>Net earnings before</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cumulative effect of change</w:t>
            </w: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 accounting principle</w:t>
            </w:r>
          </w:p>
        </w:tc>
        <w:tc>
          <w:tcPr>
            <w:tcW w:w="4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2,902</w:t>
            </w:r>
          </w:p>
        </w:tc>
        <w:tc>
          <w:tcPr>
            <w:tcW w:w="3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2,020</w:t>
            </w:r>
          </w:p>
        </w:tc>
        <w:tc>
          <w:tcPr>
            <w:tcW w:w="3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6,261</w:t>
            </w:r>
          </w:p>
        </w:tc>
        <w:tc>
          <w:tcPr>
            <w:tcW w:w="3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4,288</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Cumulative effect of change in</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4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525</w:t>
            </w:r>
          </w:p>
        </w:tc>
        <w:tc>
          <w:tcPr>
            <w:tcW w:w="3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spacing w:after="0"/>
              <w:rPr>
                <w:sz w:val="17"/>
                <w:szCs w:val="17"/>
                <w:color w:val="auto"/>
              </w:rPr>
            </w:pP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ind w:left="420"/>
              <w:spacing w:after="0"/>
              <w:rPr>
                <w:sz w:val="20"/>
                <w:szCs w:val="20"/>
                <w:color w:val="auto"/>
              </w:rPr>
            </w:pPr>
            <w:r>
              <w:rPr>
                <w:rFonts w:ascii="Courier New" w:cs="Courier New" w:eastAsia="Courier New" w:hAnsi="Courier New"/>
                <w:sz w:val="18"/>
                <w:szCs w:val="18"/>
                <w:color w:val="auto"/>
              </w:rPr>
              <w:t>Net earnings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2,902</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2,020</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6,786</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4,288</w:t>
            </w:r>
          </w:p>
        </w:tc>
      </w:tr>
      <w:tr>
        <w:trPr>
          <w:trHeight w:val="203"/>
        </w:trPr>
        <w:tc>
          <w:tcPr>
            <w:tcW w:w="3700" w:type="dxa"/>
            <w:vAlign w:val="bottom"/>
          </w:tcPr>
          <w:p>
            <w:pPr>
              <w:spacing w:after="0"/>
              <w:rPr>
                <w:sz w:val="17"/>
                <w:szCs w:val="17"/>
                <w:color w:val="auto"/>
              </w:rPr>
            </w:pP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Earnings per common and common</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equivalent share:</w:t>
            </w: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Earnings per share before</w:t>
            </w: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cumulative effect of change</w:t>
            </w: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 accounting principle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Cumulative effect of change in</w:t>
            </w: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4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.04</w:t>
            </w:r>
          </w:p>
        </w:tc>
        <w:tc>
          <w:tcPr>
            <w:tcW w:w="3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spacing w:after="0"/>
              <w:rPr>
                <w:sz w:val="17"/>
                <w:szCs w:val="17"/>
                <w:color w:val="auto"/>
              </w:rPr>
            </w:pP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.22</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.51</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w:t>
            </w:r>
          </w:p>
        </w:tc>
      </w:tr>
      <w:tr>
        <w:trPr>
          <w:trHeight w:val="203"/>
        </w:trPr>
        <w:tc>
          <w:tcPr>
            <w:tcW w:w="3700" w:type="dxa"/>
            <w:vAlign w:val="bottom"/>
          </w:tcPr>
          <w:p>
            <w:pPr>
              <w:spacing w:after="0"/>
              <w:rPr>
                <w:sz w:val="17"/>
                <w:szCs w:val="17"/>
                <w:color w:val="auto"/>
              </w:rPr>
            </w:pP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Weighted average number of</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and common equivalent</w:t>
            </w: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4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13,278,000</w:t>
            </w:r>
          </w:p>
        </w:tc>
        <w:tc>
          <w:tcPr>
            <w:tcW w:w="3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13,182,000</w:t>
            </w:r>
          </w:p>
        </w:tc>
        <w:tc>
          <w:tcPr>
            <w:tcW w:w="3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13,252,000</w:t>
            </w:r>
          </w:p>
        </w:tc>
        <w:tc>
          <w:tcPr>
            <w:tcW w:w="3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13,329,000</w:t>
            </w:r>
          </w:p>
        </w:tc>
      </w:tr>
      <w:tr>
        <w:trPr>
          <w:trHeight w:val="203"/>
        </w:trPr>
        <w:tc>
          <w:tcPr>
            <w:tcW w:w="3700" w:type="dxa"/>
            <w:vAlign w:val="bottom"/>
          </w:tcPr>
          <w:p>
            <w:pPr>
              <w:spacing w:after="0"/>
              <w:rPr>
                <w:sz w:val="17"/>
                <w:szCs w:val="17"/>
                <w:color w:val="auto"/>
              </w:rPr>
            </w:pP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Cash dividends per common share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.075</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.070</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.215</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w:t>
            </w:r>
          </w:p>
        </w:tc>
      </w:tr>
      <w:tr>
        <w:trPr>
          <w:trHeight w:val="203"/>
        </w:trPr>
        <w:tc>
          <w:tcPr>
            <w:tcW w:w="3700" w:type="dxa"/>
            <w:vAlign w:val="bottom"/>
          </w:tcPr>
          <w:p>
            <w:pPr>
              <w:spacing w:after="0"/>
              <w:rPr>
                <w:sz w:val="17"/>
                <w:szCs w:val="17"/>
                <w:color w:val="auto"/>
              </w:rPr>
            </w:pP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19" w:right="1440" w:bottom="564" w:gutter="0" w:footer="0" w:header="0"/>
        </w:sectPr>
      </w:pPr>
    </w:p>
    <w:bookmarkStart w:id="4" w:name="page5"/>
    <w:bookmarkEnd w:id="4"/>
    <w:p>
      <w:pPr>
        <w:jc w:val="center"/>
        <w:ind w:right="1879"/>
        <w:spacing w:after="0"/>
        <w:rPr>
          <w:sz w:val="20"/>
          <w:szCs w:val="20"/>
          <w:color w:val="auto"/>
        </w:rPr>
      </w:pPr>
      <w:r>
        <w:rPr>
          <w:rFonts w:ascii="Courier New" w:cs="Courier New" w:eastAsia="Courier New" w:hAnsi="Courier New"/>
          <w:sz w:val="18"/>
          <w:szCs w:val="18"/>
          <w:color w:val="auto"/>
        </w:rPr>
        <w:t>APOGEE ENTERPRISES, INC. AND SUBSIDIARIES CONSOLIDATED STATEMENTS OF CASH FLOWS FOR THE NINE MONTHS ENDED NOVEMBER 27, 1993 AND NOVEMBER 28, 1992 (Thousands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tcPr>
          <w:p>
            <w:pPr>
              <w:spacing w:after="0"/>
              <w:rPr>
                <w:sz w:val="17"/>
                <w:szCs w:val="17"/>
                <w:color w:val="auto"/>
              </w:rPr>
            </w:pP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1993</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60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OPERATING ACTIVITIES</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6,786</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4,288</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earnings to net</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used in operating activities:</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Cumulative effect of change in accounting principle</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(525)</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11,180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11,299</w:t>
            </w: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Provision for losses on accounts receivable</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1,955</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965</w:t>
            </w: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Noncurrent deferred income taxes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Equity in net earnings of affiliated</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companies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(1,453)</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(1,337)</w:t>
            </w: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net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97</w:t>
            </w: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of effect of acquisitions:</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Receivables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(53,433)</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(9,695)</w:t>
            </w:r>
          </w:p>
        </w:tc>
      </w:tr>
      <w:tr>
        <w:trPr>
          <w:trHeight w:val="203"/>
        </w:trPr>
        <w:tc>
          <w:tcPr>
            <w:tcW w:w="6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Inventories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(3,305)</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3,252</w:t>
            </w:r>
          </w:p>
        </w:tc>
      </w:tr>
      <w:tr>
        <w:trPr>
          <w:trHeight w:val="203"/>
        </w:trPr>
        <w:tc>
          <w:tcPr>
            <w:tcW w:w="6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(1,674)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(558)</w:t>
            </w:r>
          </w:p>
        </w:tc>
      </w:tr>
      <w:tr>
        <w:trPr>
          <w:trHeight w:val="203"/>
        </w:trPr>
        <w:tc>
          <w:tcPr>
            <w:tcW w:w="6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12,541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(5,951)</w:t>
            </w:r>
          </w:p>
        </w:tc>
      </w:tr>
      <w:tr>
        <w:trPr>
          <w:trHeight w:val="203"/>
        </w:trPr>
        <w:tc>
          <w:tcPr>
            <w:tcW w:w="6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Billings in excess of costs and earnings</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on uncompleted contracts</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4,277</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5,542</w:t>
            </w:r>
          </w:p>
        </w:tc>
      </w:tr>
      <w:tr>
        <w:trPr>
          <w:trHeight w:val="203"/>
        </w:trPr>
        <w:tc>
          <w:tcPr>
            <w:tcW w:w="6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Accrued and current deferred income taxes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(463)</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(2,009)</w:t>
            </w:r>
          </w:p>
        </w:tc>
      </w:tr>
      <w:tr>
        <w:trPr>
          <w:trHeight w:val="203"/>
        </w:trPr>
        <w:tc>
          <w:tcPr>
            <w:tcW w:w="6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Other long-term liabilities</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2,181</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1,523</w:t>
            </w:r>
          </w:p>
        </w:tc>
      </w:tr>
      <w:tr>
        <w:trPr>
          <w:trHeight w:val="203"/>
        </w:trPr>
        <w:tc>
          <w:tcPr>
            <w:tcW w:w="60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Net cash (used in) provided by operating</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0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activities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(22,592)</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7,360</w:t>
            </w:r>
          </w:p>
        </w:tc>
      </w:tr>
      <w:tr>
        <w:trPr>
          <w:trHeight w:val="203"/>
        </w:trPr>
        <w:tc>
          <w:tcPr>
            <w:tcW w:w="60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INVESTING ACTIVITIES</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(8,204)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(7,182)</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Acquisition of businesses, net of cash acquired</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(3,834)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(289)</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in and advances to affiliated companies</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98</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(4,032)</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net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60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(12,784)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(11,538)</w:t>
            </w:r>
          </w:p>
        </w:tc>
      </w:tr>
      <w:tr>
        <w:trPr>
          <w:trHeight w:val="203"/>
        </w:trPr>
        <w:tc>
          <w:tcPr>
            <w:tcW w:w="60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Payments on long-term debt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(6,831)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(7,714)</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issuance of long-term debt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14,100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8,300</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issuance of notes payable</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22,800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issuance of common stock</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554</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1,508</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Repurchase and retirement of common stock</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(3,882)</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paid</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(2,844)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(2,661)</w:t>
            </w:r>
          </w:p>
        </w:tc>
      </w:tr>
      <w:tr>
        <w:trPr>
          <w:trHeight w:val="203"/>
        </w:trPr>
        <w:tc>
          <w:tcPr>
            <w:tcW w:w="60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Net cash provided by (used in) financing</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02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activities</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27,759</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(4,449)</w:t>
            </w:r>
          </w:p>
        </w:tc>
      </w:tr>
      <w:tr>
        <w:trPr>
          <w:trHeight w:val="203"/>
        </w:trPr>
        <w:tc>
          <w:tcPr>
            <w:tcW w:w="60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Decrease in cash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(7,617)</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(8,627)</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8,908</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18,742</w:t>
            </w:r>
          </w:p>
        </w:tc>
      </w:tr>
      <w:tr>
        <w:trPr>
          <w:trHeight w:val="203"/>
        </w:trPr>
        <w:tc>
          <w:tcPr>
            <w:tcW w:w="60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1,291</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$ 10,115</w:t>
            </w:r>
          </w:p>
        </w:tc>
      </w:tr>
      <w:tr>
        <w:trPr>
          <w:trHeight w:val="203"/>
        </w:trPr>
        <w:tc>
          <w:tcPr>
            <w:tcW w:w="60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5" w:name="page6"/>
    <w:bookmarkEnd w:id="5"/>
    <w:p>
      <w:pPr>
        <w:ind w:left="1992"/>
        <w:spacing w:after="0"/>
        <w:rPr>
          <w:sz w:val="20"/>
          <w:szCs w:val="20"/>
          <w:color w:val="auto"/>
        </w:rPr>
      </w:pPr>
      <w:r>
        <w:rPr>
          <w:rFonts w:ascii="Courier New" w:cs="Courier New" w:eastAsia="Courier New" w:hAnsi="Courier New"/>
          <w:sz w:val="18"/>
          <w:szCs w:val="18"/>
          <w:color w:val="auto"/>
        </w:rPr>
        <w:t>APOGEE ENTERPRISES, INC. AND SUBSIDIARIES</w:t>
      </w:r>
    </w:p>
    <w:p>
      <w:pPr>
        <w:ind w:left="1892"/>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10" w:lineRule="exact"/>
        <w:rPr>
          <w:sz w:val="20"/>
          <w:szCs w:val="20"/>
          <w:color w:val="auto"/>
        </w:rPr>
      </w:pPr>
    </w:p>
    <w:p>
      <w:pPr>
        <w:ind w:left="412" w:right="5359" w:hanging="412"/>
        <w:spacing w:after="0" w:line="470" w:lineRule="auto"/>
        <w:tabs>
          <w:tab w:leader="none" w:pos="41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 Principles of Consolidation</w:t>
      </w:r>
    </w:p>
    <w:p>
      <w:pPr>
        <w:spacing w:after="0" w:line="11" w:lineRule="exact"/>
        <w:rPr>
          <w:rFonts w:ascii="Courier New" w:cs="Courier New" w:eastAsia="Courier New" w:hAnsi="Courier New"/>
          <w:sz w:val="18"/>
          <w:szCs w:val="18"/>
          <w:color w:val="auto"/>
        </w:rPr>
      </w:pPr>
    </w:p>
    <w:p>
      <w:pPr>
        <w:ind w:left="41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the opinion of the Company, the accompanying unaudited consolidated financial statements contain all adjustments (consisting of only normal recurring accruals) necessary to present fairly the financial position as of November 27, 1993 and February 27, 1993, and the results of operations for the three months and nine months ended November 27, 1993 and November 28, 1992 and cash flows for the nine months ended November 27, 1993 and November 28, 1992. Certain prior year amounts have been reclassified to conform to the current period presentation.</w:t>
      </w:r>
    </w:p>
    <w:p>
      <w:pPr>
        <w:spacing w:after="0" w:line="212" w:lineRule="exact"/>
        <w:rPr>
          <w:rFonts w:ascii="Courier New" w:cs="Courier New" w:eastAsia="Courier New" w:hAnsi="Courier New"/>
          <w:sz w:val="18"/>
          <w:szCs w:val="18"/>
          <w:color w:val="auto"/>
        </w:rPr>
      </w:pPr>
    </w:p>
    <w:p>
      <w:pPr>
        <w:ind w:left="412"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statements and notes are presented as permitted by Form 10-Q and do not contain certain information included in the Company's annual financial statements and notes.</w:t>
      </w:r>
    </w:p>
    <w:p>
      <w:pPr>
        <w:spacing w:after="0" w:line="208" w:lineRule="exact"/>
        <w:rPr>
          <w:rFonts w:ascii="Courier New" w:cs="Courier New" w:eastAsia="Courier New" w:hAnsi="Courier New"/>
          <w:sz w:val="18"/>
          <w:szCs w:val="18"/>
          <w:color w:val="auto"/>
        </w:rPr>
      </w:pPr>
    </w:p>
    <w:p>
      <w:pPr>
        <w:ind w:left="412"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operations for the nine-month period ended November 27, 1993 and November 28, 1992 are not necessarily indicative of the results to be expected for the full year.</w:t>
      </w:r>
    </w:p>
    <w:p>
      <w:pPr>
        <w:spacing w:after="0" w:line="203" w:lineRule="exact"/>
        <w:rPr>
          <w:rFonts w:ascii="Courier New" w:cs="Courier New" w:eastAsia="Courier New" w:hAnsi="Courier New"/>
          <w:sz w:val="18"/>
          <w:szCs w:val="18"/>
          <w:color w:val="auto"/>
        </w:rPr>
      </w:pPr>
    </w:p>
    <w:p>
      <w:pPr>
        <w:ind w:left="41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Accounting period</w:t>
      </w:r>
    </w:p>
    <w:p>
      <w:pPr>
        <w:ind w:left="41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412"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fiscal year ends on the Saturday closest to February 28. Each interim quarter ends on the Saturday closest to the end of the months of May, August and November.</w:t>
      </w:r>
    </w:p>
    <w:p>
      <w:pPr>
        <w:spacing w:after="0" w:line="203" w:lineRule="exact"/>
        <w:rPr>
          <w:rFonts w:ascii="Courier New" w:cs="Courier New" w:eastAsia="Courier New" w:hAnsi="Courier New"/>
          <w:sz w:val="18"/>
          <w:szCs w:val="18"/>
          <w:color w:val="auto"/>
        </w:rPr>
      </w:pPr>
    </w:p>
    <w:p>
      <w:pPr>
        <w:ind w:left="412" w:hanging="412"/>
        <w:spacing w:after="0"/>
        <w:tabs>
          <w:tab w:leader="none" w:pos="41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Inventories</w:t>
      </w:r>
    </w:p>
    <w:p>
      <w:pPr>
        <w:spacing w:after="0" w:line="201" w:lineRule="exact"/>
        <w:rPr>
          <w:rFonts w:ascii="Courier New" w:cs="Courier New" w:eastAsia="Courier New" w:hAnsi="Courier New"/>
          <w:sz w:val="18"/>
          <w:szCs w:val="18"/>
          <w:color w:val="auto"/>
        </w:rPr>
      </w:pPr>
    </w:p>
    <w:p>
      <w:pPr>
        <w:ind w:left="41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Inventories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412"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2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November 27,</w:t>
            </w:r>
          </w:p>
        </w:tc>
        <w:tc>
          <w:tcPr>
            <w:tcW w:w="136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February 27,</w:t>
            </w:r>
          </w:p>
        </w:tc>
      </w:tr>
      <w:tr>
        <w:trPr>
          <w:trHeight w:val="203"/>
        </w:trPr>
        <w:tc>
          <w:tcPr>
            <w:tcW w:w="3380" w:type="dxa"/>
            <w:vAlign w:val="bottom"/>
          </w:tcPr>
          <w:p>
            <w:pPr>
              <w:spacing w:after="0"/>
              <w:rPr>
                <w:sz w:val="17"/>
                <w:szCs w:val="17"/>
                <w:color w:val="auto"/>
              </w:rPr>
            </w:pPr>
          </w:p>
        </w:tc>
        <w:tc>
          <w:tcPr>
            <w:tcW w:w="2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1993</w:t>
            </w:r>
          </w:p>
        </w:tc>
        <w:tc>
          <w:tcPr>
            <w:tcW w:w="13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1993</w:t>
            </w:r>
          </w:p>
        </w:tc>
      </w:tr>
      <w:tr>
        <w:trPr>
          <w:trHeight w:val="203"/>
        </w:trPr>
        <w:tc>
          <w:tcPr>
            <w:tcW w:w="3380" w:type="dxa"/>
            <w:vAlign w:val="bottom"/>
          </w:tcPr>
          <w:p>
            <w:pPr>
              <w:spacing w:after="0"/>
              <w:rPr>
                <w:sz w:val="17"/>
                <w:szCs w:val="17"/>
                <w:color w:val="auto"/>
              </w:rPr>
            </w:pPr>
          </w:p>
        </w:tc>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rPr>
              <w:t>Raw materials and supplies</w:t>
            </w:r>
          </w:p>
        </w:tc>
        <w:tc>
          <w:tcPr>
            <w:tcW w:w="2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$10,727</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$ 8,819</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In process</w:t>
            </w:r>
          </w:p>
        </w:tc>
        <w:tc>
          <w:tcPr>
            <w:tcW w:w="2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4,566</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2,315</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Finished goods</w:t>
            </w:r>
          </w:p>
        </w:tc>
        <w:tc>
          <w:tcPr>
            <w:tcW w:w="2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26,136</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23,148</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in excess of billings on</w:t>
            </w:r>
          </w:p>
        </w:tc>
        <w:tc>
          <w:tcPr>
            <w:tcW w:w="27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uncompleted contracts</w:t>
            </w:r>
          </w:p>
        </w:tc>
        <w:tc>
          <w:tcPr>
            <w:tcW w:w="2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4,351</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5,907</w:t>
            </w:r>
          </w:p>
        </w:tc>
      </w:tr>
      <w:tr>
        <w:trPr>
          <w:trHeight w:val="203"/>
        </w:trPr>
        <w:tc>
          <w:tcPr>
            <w:tcW w:w="3380" w:type="dxa"/>
            <w:vAlign w:val="bottom"/>
          </w:tcPr>
          <w:p>
            <w:pPr>
              <w:spacing w:after="0"/>
              <w:rPr>
                <w:sz w:val="17"/>
                <w:szCs w:val="17"/>
                <w:color w:val="auto"/>
              </w:rPr>
            </w:pPr>
          </w:p>
        </w:tc>
        <w:tc>
          <w:tcPr>
            <w:tcW w:w="2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spacing w:after="0"/>
              <w:rPr>
                <w:sz w:val="24"/>
                <w:szCs w:val="24"/>
                <w:color w:val="auto"/>
              </w:rPr>
            </w:pPr>
          </w:p>
        </w:tc>
        <w:tc>
          <w:tcPr>
            <w:tcW w:w="2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$45,780</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$40,189</w:t>
            </w:r>
          </w:p>
        </w:tc>
      </w:tr>
      <w:tr>
        <w:trPr>
          <w:trHeight w:val="203"/>
        </w:trPr>
        <w:tc>
          <w:tcPr>
            <w:tcW w:w="3380" w:type="dxa"/>
            <w:vAlign w:val="bottom"/>
          </w:tcPr>
          <w:p>
            <w:pPr>
              <w:spacing w:after="0"/>
              <w:rPr>
                <w:sz w:val="17"/>
                <w:szCs w:val="17"/>
                <w:color w:val="auto"/>
              </w:rPr>
            </w:pPr>
          </w:p>
        </w:tc>
        <w:tc>
          <w:tcPr>
            <w:tcW w:w="2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380" w:type="dxa"/>
            <w:vAlign w:val="bottom"/>
          </w:tcPr>
          <w:p>
            <w:pPr>
              <w:spacing w:after="0"/>
              <w:rPr>
                <w:sz w:val="24"/>
                <w:szCs w:val="24"/>
                <w:color w:val="auto"/>
              </w:rPr>
            </w:pPr>
          </w:p>
        </w:tc>
        <w:tc>
          <w:tcPr>
            <w:tcW w:w="2740" w:type="dxa"/>
            <w:vAlign w:val="bottom"/>
          </w:tcPr>
          <w:p>
            <w:pPr>
              <w:jc w:val="right"/>
              <w:ind w:right="2132"/>
              <w:spacing w:after="0"/>
              <w:rPr>
                <w:sz w:val="20"/>
                <w:szCs w:val="20"/>
                <w:color w:val="auto"/>
              </w:rPr>
            </w:pPr>
            <w:r>
              <w:rPr>
                <w:rFonts w:ascii="Courier New" w:cs="Courier New" w:eastAsia="Courier New" w:hAnsi="Courier New"/>
                <w:sz w:val="18"/>
                <w:szCs w:val="18"/>
                <w:color w:val="auto"/>
              </w:rPr>
              <w:t>-6-</w:t>
            </w:r>
          </w:p>
        </w:tc>
        <w:tc>
          <w:tcPr>
            <w:tcW w:w="1360" w:type="dxa"/>
            <w:vAlign w:val="bottom"/>
          </w:tcPr>
          <w:p>
            <w:pPr>
              <w:spacing w:after="0"/>
              <w:rPr>
                <w:sz w:val="24"/>
                <w:szCs w:val="24"/>
                <w:color w:val="auto"/>
              </w:rPr>
            </w:pPr>
          </w:p>
        </w:tc>
      </w:tr>
    </w:tbl>
    <w:p>
      <w:pPr>
        <w:sectPr>
          <w:pgSz w:w="11900" w:h="16838" w:orient="portrait"/>
          <w:cols w:equalWidth="0" w:num="1">
            <w:col w:w="10211"/>
          </w:cols>
          <w:pgMar w:left="248" w:top="717" w:right="1440" w:bottom="1440" w:gutter="0" w:footer="0" w:header="0"/>
        </w:sectPr>
      </w:pPr>
    </w:p>
    <w:bookmarkStart w:id="6" w:name="page7"/>
    <w:bookmarkEnd w:id="6"/>
    <w:p>
      <w:pPr>
        <w:jc w:val="center"/>
        <w:ind w:right="1899"/>
        <w:spacing w:after="0"/>
        <w:rPr>
          <w:sz w:val="20"/>
          <w:szCs w:val="20"/>
          <w:color w:val="auto"/>
        </w:rPr>
      </w:pPr>
      <w:r>
        <w:rPr>
          <w:rFonts w:ascii="Courier New" w:cs="Courier New" w:eastAsia="Courier New" w:hAnsi="Courier New"/>
          <w:sz w:val="18"/>
          <w:szCs w:val="18"/>
          <w:color w:val="auto"/>
        </w:rPr>
        <w:t>MANAGEMENT'S DISCUSSION AND ANALYSIS OF FINANCIAL CONDITION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AND RESULTS OF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 and Earnings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Earnings for the third quarter rose 44 percent to $2.9 million, or 22 cents per share, from $2.0 million, or 15 cents per share, a year earlier. Sales for the same period climbed 26 percent to $184.5 million from $146.7 million. Year-to-date earnings and sales climbed 46 percent and 20 percent, respectively, before a gain of $525,000 recorded in the first quarter due to a change in accounting principle.</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Strong revenue growth in commercial construction, specifically the recently acquired CFEM Facades, and glass fabrication accounted for most of the sales gain, while sharply improved profitability in glass fabrication and steady gains in auto glass and consumer glass markets combined to produce the higher earnings in both the current quarter and year to date.</w:t>
      </w:r>
    </w:p>
    <w:p>
      <w:pPr>
        <w:spacing w:after="0" w:line="200" w:lineRule="exact"/>
        <w:rPr>
          <w:sz w:val="20"/>
          <w:szCs w:val="20"/>
          <w:color w:val="auto"/>
        </w:rPr>
      </w:pP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following table presents the percentage change in sales and operating income for the Company's four divisions and on a consolidated basis, for three and nine months when compared to the corresponding periods a year ago. Divisional results were mixed and are explained below.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6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Percentage Change</w:t>
            </w:r>
          </w:p>
        </w:tc>
      </w:tr>
      <w:tr>
        <w:trPr>
          <w:trHeight w:val="203"/>
        </w:trPr>
        <w:tc>
          <w:tcPr>
            <w:tcW w:w="2620" w:type="dxa"/>
            <w:vAlign w:val="bottom"/>
          </w:tcPr>
          <w:p>
            <w:pPr>
              <w:spacing w:after="0"/>
              <w:rPr>
                <w:sz w:val="17"/>
                <w:szCs w:val="17"/>
                <w:color w:val="auto"/>
              </w:rPr>
            </w:pPr>
          </w:p>
        </w:tc>
        <w:tc>
          <w:tcPr>
            <w:tcW w:w="422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620" w:type="dxa"/>
            <w:vAlign w:val="bottom"/>
          </w:tcPr>
          <w:p>
            <w:pPr>
              <w:spacing w:after="0"/>
              <w:rPr>
                <w:sz w:val="17"/>
                <w:szCs w:val="17"/>
                <w:color w:val="auto"/>
              </w:rPr>
            </w:pPr>
          </w:p>
        </w:tc>
        <w:tc>
          <w:tcPr>
            <w:tcW w:w="2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19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Nine Months Ended</w:t>
            </w:r>
          </w:p>
        </w:tc>
      </w:tr>
      <w:tr>
        <w:trPr>
          <w:trHeight w:val="203"/>
        </w:trPr>
        <w:tc>
          <w:tcPr>
            <w:tcW w:w="2620" w:type="dxa"/>
            <w:vAlign w:val="bottom"/>
          </w:tcPr>
          <w:p>
            <w:pPr>
              <w:spacing w:after="0"/>
              <w:rPr>
                <w:sz w:val="17"/>
                <w:szCs w:val="17"/>
                <w:color w:val="auto"/>
              </w:rPr>
            </w:pPr>
          </w:p>
        </w:tc>
        <w:tc>
          <w:tcPr>
            <w:tcW w:w="2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November 27, 1993</w:t>
            </w:r>
          </w:p>
        </w:tc>
        <w:tc>
          <w:tcPr>
            <w:tcW w:w="19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November 27, 1993</w:t>
            </w:r>
          </w:p>
        </w:tc>
      </w:tr>
      <w:tr>
        <w:trPr>
          <w:trHeight w:val="203"/>
        </w:trPr>
        <w:tc>
          <w:tcPr>
            <w:tcW w:w="2620" w:type="dxa"/>
            <w:vAlign w:val="bottom"/>
          </w:tcPr>
          <w:p>
            <w:pPr>
              <w:spacing w:after="0"/>
              <w:rPr>
                <w:sz w:val="17"/>
                <w:szCs w:val="17"/>
                <w:color w:val="auto"/>
              </w:rPr>
            </w:pPr>
          </w:p>
        </w:tc>
        <w:tc>
          <w:tcPr>
            <w:tcW w:w="2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Operating</w:t>
            </w:r>
          </w:p>
        </w:tc>
        <w:tc>
          <w:tcPr>
            <w:tcW w:w="8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Operating</w:t>
            </w: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Division</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Income</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Sales</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Income</w:t>
            </w: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620" w:type="dxa"/>
            <w:vAlign w:val="bottom"/>
          </w:tcPr>
          <w:p>
            <w:pPr>
              <w:spacing w:after="0"/>
              <w:rPr>
                <w:sz w:val="20"/>
                <w:szCs w:val="20"/>
                <w:color w:val="auto"/>
              </w:rPr>
            </w:pPr>
            <w:r>
              <w:rPr>
                <w:rFonts w:ascii="Courier New" w:cs="Courier New" w:eastAsia="Courier New" w:hAnsi="Courier New"/>
                <w:sz w:val="18"/>
                <w:szCs w:val="18"/>
                <w:color w:val="auto"/>
              </w:rPr>
              <w:t>Commercial Construction</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41</w:t>
            </w:r>
          </w:p>
        </w:tc>
        <w:tc>
          <w:tcPr>
            <w:tcW w:w="1120" w:type="dxa"/>
            <w:vAlign w:val="bottom"/>
          </w:tcPr>
          <w:p>
            <w:pPr>
              <w:jc w:val="center"/>
              <w:spacing w:after="0"/>
              <w:rPr>
                <w:sz w:val="20"/>
                <w:szCs w:val="20"/>
                <w:color w:val="auto"/>
              </w:rPr>
            </w:pPr>
            <w:r>
              <w:rPr>
                <w:rFonts w:ascii="Courier New" w:cs="Courier New" w:eastAsia="Courier New" w:hAnsi="Courier New"/>
                <w:sz w:val="18"/>
                <w:szCs w:val="18"/>
                <w:color w:val="auto"/>
                <w:w w:val="97"/>
              </w:rPr>
              <w:t>Loss</w:t>
            </w: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29</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Loss</w:t>
            </w: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Window Fabrication</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w:t>
            </w:r>
          </w:p>
        </w:tc>
        <w:tc>
          <w:tcPr>
            <w:tcW w:w="1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Loss</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Loss</w:t>
            </w: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Glass Fabrication</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33</w:t>
            </w:r>
          </w:p>
        </w:tc>
        <w:tc>
          <w:tcPr>
            <w:tcW w:w="1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84</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w:t>
            </w: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Installation and</w:t>
            </w: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Distribution</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w:t>
            </w:r>
          </w:p>
        </w:tc>
        <w:tc>
          <w:tcPr>
            <w:tcW w:w="1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16</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145</w:t>
            </w:r>
          </w:p>
        </w:tc>
      </w:tr>
      <w:tr>
        <w:trPr>
          <w:trHeight w:val="405"/>
        </w:trPr>
        <w:tc>
          <w:tcPr>
            <w:tcW w:w="2620" w:type="dxa"/>
            <w:vAlign w:val="bottom"/>
          </w:tcPr>
          <w:p>
            <w:pPr>
              <w:spacing w:after="0"/>
              <w:rPr>
                <w:sz w:val="20"/>
                <w:szCs w:val="20"/>
                <w:color w:val="auto"/>
              </w:rPr>
            </w:pPr>
            <w:r>
              <w:rPr>
                <w:rFonts w:ascii="Courier New" w:cs="Courier New" w:eastAsia="Courier New" w:hAnsi="Courier New"/>
                <w:sz w:val="18"/>
                <w:szCs w:val="18"/>
                <w:color w:val="auto"/>
              </w:rPr>
              <w:t>Consolidated</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26</w:t>
            </w:r>
          </w:p>
        </w:tc>
        <w:tc>
          <w:tcPr>
            <w:tcW w:w="1120" w:type="dxa"/>
            <w:vAlign w:val="bottom"/>
          </w:tcPr>
          <w:p>
            <w:pPr>
              <w:jc w:val="center"/>
              <w:spacing w:after="0"/>
              <w:rPr>
                <w:sz w:val="20"/>
                <w:szCs w:val="20"/>
                <w:color w:val="auto"/>
              </w:rPr>
            </w:pPr>
            <w:r>
              <w:rPr>
                <w:rFonts w:ascii="Courier New" w:cs="Courier New" w:eastAsia="Courier New" w:hAnsi="Courier New"/>
                <w:sz w:val="18"/>
                <w:szCs w:val="18"/>
                <w:color w:val="auto"/>
              </w:rPr>
              <w:t>75</w:t>
            </w: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Commercial Construction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As noted, the Commercial Construction Division's (CCD) revenues rose due largely to the recently acquired CFEM Facades (CFEM). CFEM reported a profit for the quarter while the remainder of the division continued to produce disappointing results. Very tight margins, especially in U.S. construction markets, along with high overseas operating costs, accounted for CCD's loss. Though the division reported a loss, CCD has narrowed the loss through continued work on overhead reduction and improved margins. Results in upcoming quarters, however, will likely continue to reflect the competitive nature of CCD's markets.</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CCD's backlog rose 14% from the end of the second quarter to $386 million. The increase was principally due to the $80 million Kuala Lumpur job added to the Asian segment of CCD. Without the Kuala Lumpur job, CCD's backlog fell nine percent from the August ending</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7" w:name="page8"/>
    <w:bookmarkEnd w:id="7"/>
    <w:p>
      <w:pPr>
        <w:ind w:right="1999"/>
        <w:spacing w:after="0" w:line="236" w:lineRule="auto"/>
        <w:rPr>
          <w:sz w:val="20"/>
          <w:szCs w:val="20"/>
          <w:color w:val="auto"/>
        </w:rPr>
      </w:pPr>
      <w:r>
        <w:rPr>
          <w:rFonts w:ascii="Courier New" w:cs="Courier New" w:eastAsia="Courier New" w:hAnsi="Courier New"/>
          <w:sz w:val="18"/>
          <w:szCs w:val="18"/>
          <w:color w:val="auto"/>
        </w:rPr>
        <w:t>balance. Overall the Company's consolidated backlog rose to $423.9 million at the end of the third quarter, up 46% from a year ago and up 32% from the beginning of the fiscal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Window Fabrication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Window Fabrication Division registered a decline in sales and an operating loss for the quarter. The architectural units experienced a number of manufacturing difficulties resulting in delayed deliveries and higher inventories. These factors, combined with low margins on current projects, led to another quarterly loss. The group is reviewing all aspects of its production systems to improve manufacturing efficiency and customer service. Earnings from the window coverings units helped to partially offset the architectural results, but a change in sales mix kept window coverings profit margin below historical levels.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Glass Fabrication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Glass Fabrication Division's (GFD) units produced significant earnings and sales growth in the third quarter. Strong demand for replacement auto glass supplied by GFD's Curvlite unit led the improvement although signs of slowing demand began to be felt. Viracon, the division's fabricator of architectural glass, also showed sizable earnings growth. The unit was near capacity as demand for its higher-value fabricated glass grew partly a result of competitor withdrawals.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Tru Vue, GFD's picture framing glass unit, continued to record healthy sales and earnings gains while proceeding with its integration of Miller Matboard, which was acquired early in the year. Marcon Coatings (Marcon), a joint venture, reported improved results for the quarter on higher volume. GFD expects further improvements in coming quarters.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Installation and Distribution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Installation and Distribution Division (IDD) once again achieved strong results in both sales and earnings. High demand for replacement auto glass was the leading factor for the continued showing, although the division, like GFD's Curvlite unit, felt trailing off of demand near quarter end, some of which was seasonal. Fourth quarter results will depend on sales levels as IDD moves into its historically slowest quarter.</w:t>
      </w:r>
    </w:p>
    <w:p>
      <w:pPr>
        <w:spacing w:after="0" w:line="210"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The division opened five distribution centers in the first nine months of the fiscal year bringing its total to 45 distribution facilities and 238 stores.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Viratec Thin Films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Viratec Thin Films (Viratec), a 50%-owned optical-grade glass coating joint venture, again reported solid gains for the period. Recently, some softness in pricing of coated glass for computer monitors has been noted. Meanwhile, the order backlog rose to a record level, and new product development efforts continue.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Consolidated</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 following table compares quarterly results with year ago results, as a percentage of sales, for each caption.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24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Three Months Ended</w:t>
            </w:r>
          </w:p>
        </w:tc>
        <w:tc>
          <w:tcPr>
            <w:tcW w:w="21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2900" w:type="dxa"/>
            <w:vAlign w:val="bottom"/>
          </w:tcPr>
          <w:p>
            <w:pPr>
              <w:spacing w:after="0"/>
              <w:rPr>
                <w:sz w:val="17"/>
                <w:szCs w:val="17"/>
                <w:color w:val="auto"/>
              </w:rPr>
            </w:pPr>
          </w:p>
        </w:tc>
        <w:tc>
          <w:tcPr>
            <w:tcW w:w="2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00" w:type="dxa"/>
            <w:vAlign w:val="bottom"/>
          </w:tcPr>
          <w:p>
            <w:pPr>
              <w:spacing w:after="0"/>
              <w:rPr>
                <w:sz w:val="24"/>
                <w:szCs w:val="24"/>
                <w:color w:val="auto"/>
              </w:rPr>
            </w:pPr>
          </w:p>
        </w:tc>
        <w:tc>
          <w:tcPr>
            <w:tcW w:w="1260" w:type="dxa"/>
            <w:vAlign w:val="bottom"/>
          </w:tcPr>
          <w:p>
            <w:pPr>
              <w:jc w:val="right"/>
              <w:ind w:right="52"/>
              <w:spacing w:after="0"/>
              <w:rPr>
                <w:sz w:val="20"/>
                <w:szCs w:val="20"/>
                <w:color w:val="auto"/>
              </w:rPr>
            </w:pPr>
            <w:r>
              <w:rPr>
                <w:rFonts w:ascii="Courier New" w:cs="Courier New" w:eastAsia="Courier New" w:hAnsi="Courier New"/>
                <w:sz w:val="18"/>
                <w:szCs w:val="18"/>
                <w:color w:val="auto"/>
              </w:rPr>
              <w:t>Nov. 27,</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Nov. 28,</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Nov. 27,</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Nov. 28,</w:t>
            </w:r>
          </w:p>
        </w:tc>
      </w:tr>
      <w:tr>
        <w:trPr>
          <w:trHeight w:val="203"/>
        </w:trPr>
        <w:tc>
          <w:tcPr>
            <w:tcW w:w="290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1993</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1992</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1993</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29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90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100.0</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100.0</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100.0</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100.0</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87.0</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86.5</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87.0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85.8</w:t>
            </w:r>
          </w:p>
        </w:tc>
      </w:tr>
      <w:tr>
        <w:trPr>
          <w:trHeight w:val="203"/>
        </w:trPr>
        <w:tc>
          <w:tcPr>
            <w:tcW w:w="29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Gross profit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13.0</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13.5</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administrative expenses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10.1</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12.1</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10.8</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Equity in earnings of</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 companies</w:t>
            </w: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(0.1)</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(0.7)</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w:t>
            </w:r>
          </w:p>
        </w:tc>
      </w:tr>
      <w:tr>
        <w:trPr>
          <w:trHeight w:val="203"/>
        </w:trPr>
        <w:tc>
          <w:tcPr>
            <w:tcW w:w="29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Operating income</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 net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0.5</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0.3</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w:t>
            </w:r>
          </w:p>
        </w:tc>
      </w:tr>
      <w:tr>
        <w:trPr>
          <w:trHeight w:val="203"/>
        </w:trPr>
        <w:tc>
          <w:tcPr>
            <w:tcW w:w="29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before income</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taxes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Income taxes</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0.9</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0.5</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0.7</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0.5</w:t>
            </w:r>
          </w:p>
        </w:tc>
      </w:tr>
      <w:tr>
        <w:trPr>
          <w:trHeight w:val="203"/>
        </w:trPr>
        <w:tc>
          <w:tcPr>
            <w:tcW w:w="29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earnings before</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cumulative effect of</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change  in accounting</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principle</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of</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 in accounting</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principle</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0.1</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w:t>
            </w:r>
          </w:p>
        </w:tc>
      </w:tr>
      <w:tr>
        <w:trPr>
          <w:trHeight w:val="203"/>
        </w:trPr>
        <w:tc>
          <w:tcPr>
            <w:tcW w:w="29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29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Income tax rate</w:t>
            </w:r>
          </w:p>
        </w:tc>
        <w:tc>
          <w:tcPr>
            <w:tcW w:w="1260" w:type="dxa"/>
            <w:vAlign w:val="bottom"/>
          </w:tcPr>
          <w:p>
            <w:pPr>
              <w:jc w:val="right"/>
              <w:ind w:right="52"/>
              <w:spacing w:after="0"/>
              <w:rPr>
                <w:sz w:val="20"/>
                <w:szCs w:val="20"/>
                <w:color w:val="auto"/>
              </w:rPr>
            </w:pPr>
            <w:r>
              <w:rPr>
                <w:rFonts w:ascii="Courier New" w:cs="Courier New" w:eastAsia="Courier New" w:hAnsi="Courier New"/>
                <w:sz w:val="18"/>
                <w:szCs w:val="18"/>
                <w:color w:val="auto"/>
              </w:rPr>
              <w:t>37.5%</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27.9%</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37.5%</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33.0%</w:t>
            </w:r>
          </w:p>
        </w:tc>
      </w:tr>
    </w:tbl>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On a consolidated basis for the three and nine months periods, cost of sales, as a percentage of net sales, rose as very thin margins at CCD and WFD's architectural units more than offset margin gains experienced within the auto replacement glass and fabricated architectural glass businesses. Selling, general and administrative (SG &amp; A) expenses crept slightly higher but decreased as a percentage of sales due to higher sales. For the quarter, equity in earnings of affiliated companies decreased sharply, as earnings at the recently expanded Marcon Coatings joint venture significantly trailed last year's strong results. Also, the higher-than-expected earnings at the Viratec Thin Films joint venture resulted in the recording of income tax expense for the affiliated companies as their net operating loss carryforward will be fully utilized this fiscal year.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interest expense jumped significantly as increased borrowings were required to meet working capital needs. Income tax rates are slightly higher than a year ago, principally due to the higher earnings than a year ago, when a greater portion of profits reflected equity in earnings of affiliated companies, which are nontaxable at the consolidated level.</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November balance sheet and the statement of cash flows reflect the working capital needs associated with the higher sales levels. Accounts receivable rose by 49% from the beginning of the year compared to sales growth of 20%. This was partially due to delayed collection on a major curtainwall project. Subsequent to quarter end, the account was brought current. Inventory growth reflected higher inventory levels at IDD due to its additional distribution facilities and higher work-in-progress inventories at WFD due to manufacturing bottlenecks discussed earlier.</w:t>
      </w:r>
    </w:p>
    <w:p>
      <w:pPr>
        <w:spacing w:after="0" w:line="212"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During the quarter, the company raised its quarterly cash dividend 7% to 7.5 cents a share.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0" w:name="page11"/>
    <w:bookmarkEnd w:id="10"/>
    <w:p>
      <w:pPr>
        <w:jc w:val="right"/>
        <w:ind w:right="1779"/>
        <w:spacing w:after="0"/>
        <w:rPr>
          <w:sz w:val="20"/>
          <w:szCs w:val="20"/>
          <w:color w:val="auto"/>
        </w:rPr>
      </w:pPr>
      <w:r>
        <w:rPr>
          <w:rFonts w:ascii="Courier New" w:cs="Courier New" w:eastAsia="Courier New" w:hAnsi="Courier New"/>
          <w:sz w:val="18"/>
          <w:szCs w:val="18"/>
          <w:color w:val="auto"/>
        </w:rPr>
        <w:t>CONFORMED COPY</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APOGEE ENTERPRISES,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January 7, 1994</w:t>
      </w:r>
    </w:p>
    <w:p>
      <w:pPr>
        <w:spacing w:after="0" w:line="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Donald W. Goldfus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Donald W. Goldfus</w:t>
      </w:r>
    </w:p>
    <w:p>
      <w:pPr>
        <w:spacing w:after="0" w:line="238" w:lineRule="auto"/>
        <w:rPr>
          <w:sz w:val="20"/>
          <w:szCs w:val="20"/>
          <w:color w:val="auto"/>
        </w:rPr>
      </w:pPr>
      <w:r>
        <w:rPr>
          <w:rFonts w:ascii="Courier New" w:cs="Courier New" w:eastAsia="Courier New" w:hAnsi="Courier New"/>
          <w:sz w:val="18"/>
          <w:szCs w:val="18"/>
          <w:color w:val="auto"/>
        </w:rPr>
        <w:t>Chairman of the Board and</w:t>
      </w:r>
    </w:p>
    <w:p>
      <w:pPr>
        <w:ind w:left="200"/>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ectPr>
          <w:pgSz w:w="11900" w:h="16838" w:orient="portrait"/>
          <w:cols w:equalWidth="0" w:num="3">
            <w:col w:w="540" w:space="100"/>
            <w:col w:w="2760" w:space="720"/>
            <w:col w:w="6099"/>
          </w:cols>
          <w:pgMar w:left="240" w:top="717" w:right="1440"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January 7, 1994</w:t>
      </w:r>
    </w:p>
    <w:p>
      <w:pPr>
        <w:spacing w:after="0" w:line="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G. Gardner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G. Gardner</w:t>
      </w:r>
    </w:p>
    <w:p>
      <w:pPr>
        <w:spacing w:after="0" w:line="238" w:lineRule="auto"/>
        <w:rPr>
          <w:sz w:val="20"/>
          <w:szCs w:val="20"/>
          <w:color w:val="auto"/>
        </w:rPr>
      </w:pPr>
      <w:r>
        <w:rPr>
          <w:rFonts w:ascii="Courier New" w:cs="Courier New" w:eastAsia="Courier New" w:hAnsi="Courier New"/>
          <w:sz w:val="18"/>
          <w:szCs w:val="18"/>
          <w:color w:val="auto"/>
        </w:rPr>
        <w:t>Treasurer, Chief Financial Officer</w:t>
      </w:r>
    </w:p>
    <w:p>
      <w:pPr>
        <w:ind w:left="200"/>
        <w:spacing w:after="0"/>
        <w:rPr>
          <w:sz w:val="20"/>
          <w:szCs w:val="20"/>
          <w:color w:val="auto"/>
        </w:rPr>
      </w:pPr>
      <w:r>
        <w:rPr>
          <w:rFonts w:ascii="Courier New" w:cs="Courier New" w:eastAsia="Courier New" w:hAnsi="Courier New"/>
          <w:sz w:val="18"/>
          <w:szCs w:val="18"/>
          <w:color w:val="auto"/>
        </w:rPr>
        <w:t>and Secretary</w:t>
      </w:r>
    </w:p>
    <w:p>
      <w:pPr>
        <w:spacing w:after="0" w:line="200" w:lineRule="exact"/>
        <w:rPr>
          <w:sz w:val="20"/>
          <w:szCs w:val="20"/>
          <w:color w:val="auto"/>
        </w:rPr>
      </w:pPr>
    </w:p>
    <w:p>
      <w:pPr>
        <w:sectPr>
          <w:pgSz w:w="11900" w:h="16838" w:orient="portrait"/>
          <w:cols w:equalWidth="0" w:num="3">
            <w:col w:w="540" w:space="100"/>
            <w:col w:w="2760" w:space="720"/>
            <w:col w:w="6099"/>
          </w:cols>
          <w:pgMar w:left="240" w:top="717" w:right="1440" w:bottom="1440" w:gutter="0" w:footer="0" w:header="0"/>
          <w:type w:val="continuous"/>
        </w:sectPr>
      </w:pPr>
    </w:p>
    <w:p>
      <w:pPr>
        <w:spacing w:after="0" w:line="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717" w:right="1440" w:bottom="1440" w:gutter="0" w:footer="0" w:header="0"/>
          <w:type w:val="continuous"/>
        </w:sectPr>
      </w:pPr>
    </w:p>
    <w:bookmarkStart w:id="11" w:name="page12"/>
    <w:bookmarkEnd w:id="11"/>
    <w:p>
      <w:pPr>
        <w:ind w:left="7380"/>
        <w:spacing w:after="0"/>
        <w:rPr>
          <w:sz w:val="20"/>
          <w:szCs w:val="20"/>
          <w:color w:val="auto"/>
        </w:rPr>
      </w:pPr>
      <w:r>
        <w:rPr>
          <w:rFonts w:ascii="Courier New" w:cs="Courier New" w:eastAsia="Courier New" w:hAnsi="Courier New"/>
          <w:sz w:val="16"/>
          <w:szCs w:val="16"/>
          <w:color w:val="auto"/>
        </w:rPr>
        <w:t>EXHIBIT II</w:t>
      </w:r>
    </w:p>
    <w:p>
      <w:pPr>
        <w:spacing w:after="0" w:line="2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STATEMENT OF DETERMINATION OF COMMON SHARES AND COMMON SHARE EQUIVALENTS</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Average No. of Common</w:t>
      </w:r>
    </w:p>
    <w:p>
      <w:pPr>
        <w:ind w:left="3060"/>
        <w:spacing w:after="0" w:line="238" w:lineRule="auto"/>
        <w:rPr>
          <w:sz w:val="20"/>
          <w:szCs w:val="20"/>
          <w:color w:val="auto"/>
        </w:rPr>
      </w:pPr>
      <w:r>
        <w:rPr>
          <w:rFonts w:ascii="Courier New" w:cs="Courier New" w:eastAsia="Courier New" w:hAnsi="Courier New"/>
          <w:sz w:val="18"/>
          <w:szCs w:val="18"/>
          <w:color w:val="auto"/>
        </w:rPr>
        <w:t>Shares &amp; Common Share</w:t>
      </w:r>
    </w:p>
    <w:p>
      <w:pPr>
        <w:ind w:left="2960"/>
        <w:spacing w:after="0"/>
        <w:rPr>
          <w:sz w:val="20"/>
          <w:szCs w:val="20"/>
          <w:color w:val="auto"/>
        </w:rPr>
      </w:pPr>
      <w:r>
        <w:rPr>
          <w:rFonts w:ascii="Courier New" w:cs="Courier New" w:eastAsia="Courier New" w:hAnsi="Courier New"/>
          <w:sz w:val="18"/>
          <w:szCs w:val="18"/>
          <w:color w:val="auto"/>
        </w:rPr>
        <w:t>Equivalents Assumed to</w:t>
      </w:r>
    </w:p>
    <w:p>
      <w:pPr>
        <w:ind w:left="3060"/>
        <w:spacing w:after="0" w:line="237" w:lineRule="auto"/>
        <w:rPr>
          <w:sz w:val="20"/>
          <w:szCs w:val="20"/>
          <w:color w:val="auto"/>
        </w:rPr>
      </w:pPr>
      <w:r>
        <w:rPr>
          <w:rFonts w:ascii="Courier New" w:cs="Courier New" w:eastAsia="Courier New" w:hAnsi="Courier New"/>
          <w:sz w:val="18"/>
          <w:szCs w:val="18"/>
          <w:color w:val="auto"/>
        </w:rPr>
        <w:t>be Outstanding During</w:t>
      </w:r>
    </w:p>
    <w:p>
      <w:pPr>
        <w:ind w:left="2960"/>
        <w:spacing w:after="0" w:line="238" w:lineRule="auto"/>
        <w:rPr>
          <w:sz w:val="20"/>
          <w:szCs w:val="20"/>
          <w:color w:val="auto"/>
        </w:rPr>
      </w:pPr>
      <w:r>
        <w:rPr>
          <w:rFonts w:ascii="Courier New" w:cs="Courier New" w:eastAsia="Courier New" w:hAnsi="Courier New"/>
          <w:sz w:val="18"/>
          <w:szCs w:val="18"/>
          <w:color w:val="auto"/>
        </w:rPr>
        <w:t>the Three Months Ended</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740"/>
        <w:spacing w:after="0"/>
        <w:tabs>
          <w:tab w:leader="none" w:pos="4200" w:val="left"/>
        </w:tabs>
        <w:rPr>
          <w:sz w:val="20"/>
          <w:szCs w:val="20"/>
          <w:color w:val="auto"/>
        </w:rPr>
      </w:pPr>
      <w:r>
        <w:rPr>
          <w:rFonts w:ascii="Courier New" w:cs="Courier New" w:eastAsia="Courier New" w:hAnsi="Courier New"/>
          <w:sz w:val="18"/>
          <w:szCs w:val="18"/>
          <w:color w:val="auto"/>
        </w:rPr>
        <w:t>November 27,</w:t>
      </w:r>
      <w:r>
        <w:rPr>
          <w:sz w:val="20"/>
          <w:szCs w:val="20"/>
          <w:color w:val="auto"/>
        </w:rPr>
        <w:tab/>
      </w:r>
      <w:r>
        <w:rPr>
          <w:rFonts w:ascii="Courier New" w:cs="Courier New" w:eastAsia="Courier New" w:hAnsi="Courier New"/>
          <w:sz w:val="16"/>
          <w:szCs w:val="16"/>
          <w:color w:val="auto"/>
        </w:rPr>
        <w:t>November 28,</w:t>
      </w:r>
    </w:p>
    <w:p>
      <w:pPr>
        <w:ind w:left="3160"/>
        <w:spacing w:after="0" w:line="238" w:lineRule="auto"/>
        <w:tabs>
          <w:tab w:leader="none" w:pos="4620" w:val="left"/>
        </w:tabs>
        <w:rPr>
          <w:sz w:val="20"/>
          <w:szCs w:val="20"/>
          <w:color w:val="auto"/>
        </w:rPr>
      </w:pPr>
      <w:r>
        <w:rPr>
          <w:rFonts w:ascii="Courier New" w:cs="Courier New" w:eastAsia="Courier New" w:hAnsi="Courier New"/>
          <w:sz w:val="18"/>
          <w:szCs w:val="18"/>
          <w:color w:val="auto"/>
        </w:rPr>
        <w:t>1993</w:t>
      </w:r>
      <w:r>
        <w:rPr>
          <w:sz w:val="20"/>
          <w:szCs w:val="20"/>
          <w:color w:val="auto"/>
        </w:rPr>
        <w:tab/>
      </w:r>
      <w:r>
        <w:rPr>
          <w:rFonts w:ascii="Courier New" w:cs="Courier New" w:eastAsia="Courier New" w:hAnsi="Courier New"/>
          <w:sz w:val="18"/>
          <w:szCs w:val="18"/>
          <w:color w:val="auto"/>
        </w:rPr>
        <w:t>1992</w:t>
      </w:r>
    </w:p>
    <w:p>
      <w:pPr>
        <w:ind w:left="2740"/>
        <w:spacing w:after="0"/>
        <w:tabs>
          <w:tab w:leader="none" w:pos="4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Average No. of Common</w:t>
      </w:r>
    </w:p>
    <w:p>
      <w:pPr>
        <w:ind w:left="320"/>
        <w:spacing w:after="0" w:line="238" w:lineRule="auto"/>
        <w:rPr>
          <w:sz w:val="20"/>
          <w:szCs w:val="20"/>
          <w:color w:val="auto"/>
        </w:rPr>
      </w:pPr>
      <w:r>
        <w:rPr>
          <w:rFonts w:ascii="Courier New" w:cs="Courier New" w:eastAsia="Courier New" w:hAnsi="Courier New"/>
          <w:sz w:val="18"/>
          <w:szCs w:val="18"/>
          <w:color w:val="auto"/>
        </w:rPr>
        <w:t>Shares &amp; Common Share</w:t>
      </w:r>
    </w:p>
    <w:p>
      <w:pPr>
        <w:ind w:left="200"/>
        <w:spacing w:after="0"/>
        <w:rPr>
          <w:sz w:val="20"/>
          <w:szCs w:val="20"/>
          <w:color w:val="auto"/>
        </w:rPr>
      </w:pPr>
      <w:r>
        <w:rPr>
          <w:rFonts w:ascii="Courier New" w:cs="Courier New" w:eastAsia="Courier New" w:hAnsi="Courier New"/>
          <w:sz w:val="18"/>
          <w:szCs w:val="18"/>
          <w:color w:val="auto"/>
        </w:rPr>
        <w:t>Equivalents Assumed to</w:t>
      </w:r>
    </w:p>
    <w:p>
      <w:pPr>
        <w:ind w:left="320"/>
        <w:spacing w:after="0" w:line="237" w:lineRule="auto"/>
        <w:rPr>
          <w:sz w:val="20"/>
          <w:szCs w:val="20"/>
          <w:color w:val="auto"/>
        </w:rPr>
      </w:pPr>
      <w:r>
        <w:rPr>
          <w:rFonts w:ascii="Courier New" w:cs="Courier New" w:eastAsia="Courier New" w:hAnsi="Courier New"/>
          <w:sz w:val="18"/>
          <w:szCs w:val="18"/>
          <w:color w:val="auto"/>
        </w:rPr>
        <w:t>be Outstanding During</w:t>
      </w:r>
    </w:p>
    <w:p>
      <w:pPr>
        <w:ind w:left="320"/>
        <w:spacing w:after="0" w:line="238" w:lineRule="auto"/>
        <w:rPr>
          <w:sz w:val="20"/>
          <w:szCs w:val="20"/>
          <w:color w:val="auto"/>
        </w:rPr>
      </w:pPr>
      <w:r>
        <w:rPr>
          <w:rFonts w:ascii="Courier New" w:cs="Courier New" w:eastAsia="Courier New" w:hAnsi="Courier New"/>
          <w:sz w:val="18"/>
          <w:szCs w:val="18"/>
          <w:color w:val="auto"/>
        </w:rPr>
        <w:t>the Nine Months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November 27,</w:t>
      </w:r>
      <w:r>
        <w:rPr>
          <w:sz w:val="20"/>
          <w:szCs w:val="20"/>
          <w:color w:val="auto"/>
        </w:rPr>
        <w:tab/>
      </w:r>
      <w:r>
        <w:rPr>
          <w:rFonts w:ascii="Courier New" w:cs="Courier New" w:eastAsia="Courier New" w:hAnsi="Courier New"/>
          <w:sz w:val="16"/>
          <w:szCs w:val="16"/>
          <w:color w:val="auto"/>
        </w:rPr>
        <w:t>November 28,</w:t>
      </w:r>
    </w:p>
    <w:p>
      <w:pPr>
        <w:ind w:left="420"/>
        <w:spacing w:after="0" w:line="238" w:lineRule="auto"/>
        <w:tabs>
          <w:tab w:leader="none" w:pos="1880" w:val="left"/>
        </w:tabs>
        <w:rPr>
          <w:sz w:val="20"/>
          <w:szCs w:val="20"/>
          <w:color w:val="auto"/>
        </w:rPr>
      </w:pPr>
      <w:r>
        <w:rPr>
          <w:rFonts w:ascii="Courier New" w:cs="Courier New" w:eastAsia="Courier New" w:hAnsi="Courier New"/>
          <w:sz w:val="18"/>
          <w:szCs w:val="18"/>
          <w:color w:val="auto"/>
        </w:rPr>
        <w:t>1993</w:t>
      </w:r>
      <w:r>
        <w:rPr>
          <w:sz w:val="20"/>
          <w:szCs w:val="20"/>
          <w:color w:val="auto"/>
        </w:rPr>
        <w:tab/>
      </w:r>
      <w:r>
        <w:rPr>
          <w:rFonts w:ascii="Courier New" w:cs="Courier New" w:eastAsia="Courier New" w:hAnsi="Courier New"/>
          <w:sz w:val="18"/>
          <w:szCs w:val="18"/>
          <w:color w:val="auto"/>
        </w:rPr>
        <w:t>1992</w:t>
      </w:r>
    </w:p>
    <w:p>
      <w:pPr>
        <w:spacing w:after="0"/>
        <w:tabs>
          <w:tab w:leader="none" w:pos="1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480" w:space="220"/>
            <w:col w:w="4519"/>
          </w:cols>
          <w:pgMar w:left="240" w:top="723"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Weighted average number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common shares</w:t>
      </w:r>
    </w:p>
    <w:p>
      <w:pPr>
        <w:sectPr>
          <w:pgSz w:w="11900" w:h="16838" w:orient="portrait"/>
          <w:cols w:equalWidth="0" w:num="1">
            <w:col w:w="10219"/>
          </w:cols>
          <w:pgMar w:left="240" w:top="723"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13,221,058</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13,176,880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13,212,376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13,323,778</w:t>
      </w:r>
    </w:p>
    <w:p>
      <w:pPr>
        <w:spacing w:after="0" w:line="200" w:lineRule="exact"/>
        <w:rPr>
          <w:sz w:val="20"/>
          <w:szCs w:val="20"/>
          <w:color w:val="auto"/>
        </w:rPr>
      </w:pPr>
    </w:p>
    <w:p>
      <w:pPr>
        <w:sectPr>
          <w:pgSz w:w="11900" w:h="16838" w:orient="portrait"/>
          <w:cols w:equalWidth="0" w:num="5">
            <w:col w:w="2140" w:space="720"/>
            <w:col w:w="1040" w:space="420"/>
            <w:col w:w="1060" w:space="420"/>
            <w:col w:w="1060" w:space="420"/>
            <w:col w:w="293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share equivalents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resulting from the</w:t>
      </w:r>
    </w:p>
    <w:p>
      <w:pPr>
        <w:spacing w:after="0" w:line="238" w:lineRule="auto"/>
        <w:rPr>
          <w:sz w:val="20"/>
          <w:szCs w:val="20"/>
          <w:color w:val="auto"/>
        </w:rPr>
      </w:pPr>
      <w:r>
        <w:rPr>
          <w:rFonts w:ascii="Courier New" w:cs="Courier New" w:eastAsia="Courier New" w:hAnsi="Courier New"/>
          <w:sz w:val="18"/>
          <w:szCs w:val="18"/>
          <w:color w:val="auto"/>
        </w:rPr>
        <w:t>assumed exercise of</w:t>
      </w:r>
    </w:p>
    <w:p>
      <w:pPr>
        <w:sectPr>
          <w:pgSz w:w="11900" w:h="16838" w:orient="portrait"/>
          <w:cols w:equalWidth="0" w:num="1">
            <w:col w:w="10219"/>
          </w:cols>
          <w:pgMar w:left="240" w:top="72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options (b)</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8"/>
          <w:szCs w:val="18"/>
          <w:color w:val="auto"/>
        </w:rPr>
        <w:t>56,819</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8"/>
          <w:szCs w:val="18"/>
          <w:color w:val="auto"/>
        </w:rPr>
        <w:t>4,710</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right"/>
        <w:spacing w:after="0" w:line="235" w:lineRule="auto"/>
        <w:rPr>
          <w:sz w:val="20"/>
          <w:szCs w:val="20"/>
          <w:color w:val="auto"/>
        </w:rPr>
      </w:pPr>
      <w:r>
        <w:rPr>
          <w:rFonts w:ascii="Courier New" w:cs="Courier New" w:eastAsia="Courier New" w:hAnsi="Courier New"/>
          <w:sz w:val="18"/>
          <w:szCs w:val="18"/>
          <w:color w:val="auto"/>
        </w:rPr>
        <w:t>40,052 ----------</w:t>
      </w:r>
    </w:p>
    <w:p>
      <w:pPr>
        <w:spacing w:after="0" w:line="20" w:lineRule="exact"/>
        <w:rPr>
          <w:sz w:val="20"/>
          <w:szCs w:val="20"/>
          <w:color w:val="auto"/>
        </w:rPr>
      </w:pPr>
      <w:r>
        <w:rPr>
          <w:sz w:val="20"/>
          <w:szCs w:val="20"/>
          <w:color w:val="auto"/>
        </w:rPr>
        <w:br w:type="column"/>
      </w:r>
    </w:p>
    <w:p>
      <w:pPr>
        <w:jc w:val="right"/>
        <w:ind w:right="1879"/>
        <w:spacing w:after="0"/>
        <w:rPr>
          <w:sz w:val="20"/>
          <w:szCs w:val="20"/>
          <w:color w:val="auto"/>
        </w:rPr>
      </w:pPr>
      <w:r>
        <w:rPr>
          <w:rFonts w:ascii="Courier New" w:cs="Courier New" w:eastAsia="Courier New" w:hAnsi="Courier New"/>
          <w:sz w:val="18"/>
          <w:szCs w:val="18"/>
          <w:color w:val="auto"/>
        </w:rPr>
        <w:t>4,999</w:t>
      </w:r>
    </w:p>
    <w:p>
      <w:pPr>
        <w:spacing w:after="0" w:line="3"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6"/>
          <w:szCs w:val="16"/>
          <w:color w:val="auto"/>
        </w:rPr>
        <w:t>---------</w:t>
      </w:r>
    </w:p>
    <w:p>
      <w:pPr>
        <w:spacing w:after="0" w:line="215" w:lineRule="exact"/>
        <w:rPr>
          <w:sz w:val="20"/>
          <w:szCs w:val="20"/>
          <w:color w:val="auto"/>
        </w:rPr>
      </w:pPr>
    </w:p>
    <w:p>
      <w:pPr>
        <w:sectPr>
          <w:pgSz w:w="11900" w:h="16838" w:orient="portrait"/>
          <w:cols w:equalWidth="0" w:num="5">
            <w:col w:w="2140" w:space="720"/>
            <w:col w:w="1040" w:space="420"/>
            <w:col w:w="1060" w:space="420"/>
            <w:col w:w="1060" w:space="520"/>
            <w:col w:w="2839"/>
          </w:cols>
          <w:pgMar w:left="240" w:top="723"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Total primary common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and common share</w:t>
      </w:r>
    </w:p>
    <w:p>
      <w:pPr>
        <w:sectPr>
          <w:pgSz w:w="11900" w:h="16838" w:orient="portrait"/>
          <w:cols w:equalWidth="0" w:num="1">
            <w:col w:w="10219"/>
          </w:cols>
          <w:pgMar w:left="240" w:top="723"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equivalents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13,277,877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13,181,590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13,252,428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13,328,777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54" w:lineRule="exact"/>
        <w:rPr>
          <w:sz w:val="20"/>
          <w:szCs w:val="20"/>
          <w:color w:val="auto"/>
        </w:rPr>
      </w:pPr>
    </w:p>
    <w:p>
      <w:pPr>
        <w:sectPr>
          <w:pgSz w:w="11900" w:h="16838" w:orient="portrait"/>
          <w:cols w:equalWidth="0" w:num="5">
            <w:col w:w="2140" w:space="720"/>
            <w:col w:w="1040" w:space="420"/>
            <w:col w:w="1060" w:space="420"/>
            <w:col w:w="1060" w:space="420"/>
            <w:col w:w="2939"/>
          </w:cols>
          <w:pgMar w:left="240" w:top="723" w:right="1440" w:bottom="1440" w:gutter="0" w:footer="0" w:header="0"/>
          <w:type w:val="continuous"/>
        </w:sectPr>
      </w:pPr>
    </w:p>
    <w:p>
      <w:pPr>
        <w:spacing w:after="0" w:line="172" w:lineRule="exact"/>
        <w:rPr>
          <w:sz w:val="20"/>
          <w:szCs w:val="20"/>
          <w:color w:val="auto"/>
        </w:rPr>
      </w:pPr>
    </w:p>
    <w:p>
      <w:pPr>
        <w:ind w:left="540" w:right="1779" w:hanging="532"/>
        <w:spacing w:after="0" w:line="236"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Beginning balance of common stock adjusted for changes in amount outstanding, weighted by the elapsed portion of the period during which the shares were outstanding.</w:t>
      </w:r>
    </w:p>
    <w:p>
      <w:pPr>
        <w:spacing w:after="0" w:line="208" w:lineRule="exact"/>
        <w:rPr>
          <w:rFonts w:ascii="Courier New" w:cs="Courier New" w:eastAsia="Courier New" w:hAnsi="Courier New"/>
          <w:sz w:val="18"/>
          <w:szCs w:val="18"/>
          <w:color w:val="auto"/>
        </w:rPr>
      </w:pPr>
    </w:p>
    <w:p>
      <w:pPr>
        <w:ind w:left="540" w:right="1779" w:hanging="532"/>
        <w:spacing w:after="0" w:line="236"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share equivalents computed by the "treasury" method. Share amounts represent the dilutive effect of outstanding stock options which have an option value below the average market value for the current period.</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-12-</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10"/>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2019-12-12T05:22:55Z</dcterms:created>
  <dcterms:modified xsi:type="dcterms:W3CDTF">2019-12-12T05:22:55Z</dcterms:modified>
</cp:coreProperties>
</file>