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937895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903605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February 26, 2022</w:t>
      </w:r>
    </w:p>
    <w:p>
      <w:pPr>
        <w:spacing w:after="0" w:line="148" w:lineRule="exact"/>
        <w:rPr>
          <w:sz w:val="24"/>
          <w:szCs w:val="24"/>
          <w:color w:val="auto"/>
        </w:rPr>
      </w:pPr>
    </w:p>
    <w:p>
      <w:pPr>
        <w:ind w:left="680" w:right="1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5"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pacing w:after="0" w:line="6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ectPr>
          <w:pgSz w:w="11900" w:h="16838" w:orient="portrait"/>
          <w:cols w:equalWidth="0" w:num="1">
            <w:col w:w="11240"/>
          </w:cols>
          <w:pgMar w:left="320" w:top="1440" w:right="339" w:bottom="1440" w:gutter="0" w:footer="0" w:header="0"/>
        </w:sectPr>
      </w:pPr>
    </w:p>
    <w:p>
      <w:pPr>
        <w:spacing w:after="0" w:line="12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41-0919654</w:t>
      </w:r>
    </w:p>
    <w:p>
      <w:pPr>
        <w:spacing w:after="0" w:line="26"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1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66"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b w:val="1"/>
          <w:bCs w:val="1"/>
          <w:color w:val="auto"/>
        </w:rPr>
        <w:t>4400 West 78th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55435</w:t>
      </w:r>
    </w:p>
    <w:p>
      <w:pPr>
        <w:spacing w:after="0" w:line="43" w:lineRule="exact"/>
        <w:rPr>
          <w:sz w:val="24"/>
          <w:szCs w:val="24"/>
          <w:color w:val="auto"/>
        </w:rPr>
      </w:pPr>
    </w:p>
    <w:p>
      <w:pPr>
        <w:sectPr>
          <w:pgSz w:w="11900" w:h="16838" w:orient="portrait"/>
          <w:cols w:equalWidth="0" w:num="5">
            <w:col w:w="3500" w:space="720"/>
            <w:col w:w="700" w:space="360"/>
            <w:col w:w="940" w:space="440"/>
            <w:col w:w="1900" w:space="720"/>
            <w:col w:w="1960"/>
          </w:cols>
          <w:pgMar w:left="320" w:top="1440"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8460" w:space="720"/>
            <w:col w:w="20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3940" w:space="720"/>
            <w:col w:w="1960" w:space="720"/>
            <w:col w:w="3900"/>
          </w:cols>
          <w:pgMar w:left="320" w:top="1440"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Common Stock, $0.33 1/3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93" w:lineRule="exact"/>
        <w:rPr>
          <w:sz w:val="24"/>
          <w:szCs w:val="24"/>
          <w:color w:val="auto"/>
        </w:rPr>
      </w:pPr>
    </w:p>
    <w:p>
      <w:pPr>
        <w:sectPr>
          <w:pgSz w:w="11900" w:h="16838" w:orient="portrait"/>
          <w:cols w:equalWidth="0" w:num="3">
            <w:col w:w="4360" w:space="720"/>
            <w:col w:w="1820" w:space="720"/>
            <w:col w:w="362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2"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3" w:right="339" w:bottom="1440" w:gutter="0" w:footer="0" w:header="0"/>
        </w:sectPr>
      </w:pP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7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r>
    </w:tbl>
    <w:p>
      <w:pPr>
        <w:ind w:left="220"/>
        <w:spacing w:after="0" w:line="22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9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83" w:lineRule="exact"/>
        <w:rPr>
          <w:sz w:val="20"/>
          <w:szCs w:val="20"/>
          <w:color w:val="auto"/>
        </w:rPr>
      </w:pPr>
    </w:p>
    <w:p>
      <w:pPr>
        <w:sectPr>
          <w:pgSz w:w="11900" w:h="16838" w:orient="portrait"/>
          <w:cols w:equalWidth="0" w:num="2">
            <w:col w:w="10280" w:space="280"/>
            <w:col w:w="680"/>
          </w:cols>
          <w:pgMar w:left="320" w:top="1093" w:right="339" w:bottom="1440" w:gutter="0" w:footer="0" w:header="0"/>
          <w:type w:val="continuous"/>
        </w:sectPr>
      </w:pP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tabs>
          <w:tab w:leader="none" w:pos="2340" w:val="left"/>
        </w:tabs>
        <w:rPr>
          <w:sz w:val="20"/>
          <w:szCs w:val="20"/>
          <w:color w:val="auto"/>
        </w:rPr>
      </w:pPr>
      <w:r>
        <w:rPr>
          <w:rFonts w:ascii="Times New Roman" w:cs="Times New Roman" w:eastAsia="Times New Roman" w:hAnsi="Times New Roman"/>
          <w:sz w:val="18"/>
          <w:szCs w:val="18"/>
          <w:color w:val="auto"/>
        </w:rPr>
        <w:t>issued its audit report.</w:t>
      </w:r>
      <w:r>
        <w:rPr>
          <w:sz w:val="20"/>
          <w:szCs w:val="20"/>
          <w:color w:val="auto"/>
        </w:rPr>
        <w:tab/>
      </w:r>
      <w:r>
        <w:rPr>
          <w:rFonts w:ascii="MS PGothic" w:cs="MS PGothic" w:eastAsia="MS PGothic" w:hAnsi="MS PGothic"/>
          <w:sz w:val="16"/>
          <w:szCs w:val="16"/>
          <w:color w:val="auto"/>
        </w:rPr>
        <w:t>☒</w:t>
      </w:r>
    </w:p>
    <w:p>
      <w:pPr>
        <w:spacing w:after="0" w:line="129" w:lineRule="exact"/>
        <w:rPr>
          <w:sz w:val="20"/>
          <w:szCs w:val="20"/>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27, 2021, the last business day of the registrant's most recently completed second fiscal quarter, the approximate aggregate market value of voting and non-voting common equity held by non-affiliates of the registrant was $1,093,000,000 (based on the closing price of $43.71 per share as reported on the NASDAQ Stock Market LLC as of that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18, 2022, 22,347,288 shares of the registrant’s common stock, par value $0.33 1/3 per share, were outstanding.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256"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In accordance with General Instruction G(3) of Form 10-K, certain information required by Part III hereof will either be incorporated into this Annual Report on Form 10-K by reference to our Definitive Proxy Statement for our Annual Meeting of Shareholders filed within 120 days of our fiscal year ended February 26, 2022 or will be included in an amendment to this Annual Report on Form 10-K filed within 120 days of February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APOGEE ENTERPRISES, INC.</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gridSpan w:val="18"/>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February 26, 2022</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92"/>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gridSpan w:val="12"/>
          </w:tcPr>
          <w:p>
            <w:pPr>
              <w:jc w:val="center"/>
              <w:ind w:right="3380"/>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46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Business</w:t>
            </w:r>
          </w:p>
        </w:tc>
        <w:tc>
          <w:tcPr>
            <w:tcW w:w="520" w:type="dxa"/>
            <w:vAlign w:val="bottom"/>
            <w:tcBorders>
              <w:top w:val="single" w:sz="8" w:color="0000FF"/>
            </w:tcBorders>
            <w:gridSpan w:val="3"/>
          </w:tcPr>
          <w:p>
            <w:pPr>
              <w:spacing w:after="0"/>
              <w:rPr>
                <w:sz w:val="17"/>
                <w:szCs w:val="17"/>
                <w:color w:val="auto"/>
              </w:rPr>
            </w:pPr>
          </w:p>
        </w:tc>
        <w:tc>
          <w:tcPr>
            <w:tcW w:w="3420" w:type="dxa"/>
            <w:vAlign w:val="bottom"/>
            <w:gridSpan w:val="8"/>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360" w:type="dxa"/>
            <w:vAlign w:val="bottom"/>
            <w:gridSpan w:val="2"/>
          </w:tcPr>
          <w:p>
            <w:pPr>
              <w:spacing w:after="0"/>
              <w:rPr>
                <w:sz w:val="17"/>
                <w:szCs w:val="17"/>
                <w:color w:val="auto"/>
              </w:rPr>
            </w:pPr>
          </w:p>
        </w:tc>
        <w:tc>
          <w:tcPr>
            <w:tcW w:w="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760" w:type="dxa"/>
            <w:vAlign w:val="bottom"/>
            <w:gridSpan w:val="25"/>
          </w:tcPr>
          <w:p>
            <w:pPr>
              <w:spacing w:after="0"/>
              <w:rPr>
                <w:sz w:val="17"/>
                <w:szCs w:val="17"/>
                <w:color w:val="auto"/>
              </w:rPr>
            </w:pPr>
          </w:p>
        </w:tc>
        <w:tc>
          <w:tcPr>
            <w:tcW w:w="158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420" w:type="dxa"/>
            <w:vAlign w:val="bottom"/>
            <w:gridSpan w:val="3"/>
          </w:tcPr>
          <w:p>
            <w:pPr>
              <w:spacing w:after="0"/>
              <w:rPr>
                <w:sz w:val="17"/>
                <w:szCs w:val="17"/>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14</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420" w:type="dxa"/>
            <w:vAlign w:val="bottom"/>
            <w:gridSpan w:val="3"/>
          </w:tcPr>
          <w:p>
            <w:pPr>
              <w:spacing w:after="0"/>
              <w:rPr>
                <w:sz w:val="17"/>
                <w:szCs w:val="17"/>
                <w:color w:val="auto"/>
              </w:rPr>
            </w:pP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6740" w:type="dxa"/>
            <w:vAlign w:val="bottom"/>
            <w:gridSpan w:val="21"/>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14</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3.</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14</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4.</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14</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2"/>
          </w:tcPr>
          <w:p>
            <w:pPr>
              <w:jc w:val="center"/>
              <w:ind w:right="3400"/>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5.</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15</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6.</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Reserved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16</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7.</w:t>
            </w:r>
          </w:p>
        </w:tc>
        <w:tc>
          <w:tcPr>
            <w:tcW w:w="420" w:type="dxa"/>
            <w:vAlign w:val="bottom"/>
            <w:gridSpan w:val="3"/>
          </w:tcPr>
          <w:p>
            <w:pPr>
              <w:spacing w:after="0"/>
              <w:rPr>
                <w:sz w:val="17"/>
                <w:szCs w:val="17"/>
                <w:color w:val="auto"/>
              </w:rPr>
            </w:pPr>
          </w:p>
        </w:tc>
        <w:tc>
          <w:tcPr>
            <w:tcW w:w="58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760" w:type="dxa"/>
            <w:vAlign w:val="bottom"/>
            <w:gridSpan w:val="4"/>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16</w:t>
            </w:r>
          </w:p>
        </w:tc>
      </w:tr>
      <w:tr>
        <w:trPr>
          <w:trHeight w:val="196"/>
        </w:trPr>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7A.</w:t>
            </w:r>
          </w:p>
        </w:tc>
        <w:tc>
          <w:tcPr>
            <w:tcW w:w="360" w:type="dxa"/>
            <w:vAlign w:val="bottom"/>
            <w:gridSpan w:val="2"/>
          </w:tcPr>
          <w:p>
            <w:pPr>
              <w:spacing w:after="0"/>
              <w:rPr>
                <w:sz w:val="17"/>
                <w:szCs w:val="17"/>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25</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8.</w:t>
            </w:r>
          </w:p>
        </w:tc>
        <w:tc>
          <w:tcPr>
            <w:tcW w:w="60" w:type="dxa"/>
            <w:vAlign w:val="bottom"/>
            <w:tcBorders>
              <w:top w:val="single" w:sz="8" w:color="0000FF"/>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39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660" w:type="dxa"/>
            <w:vAlign w:val="bottom"/>
            <w:gridSpan w:val="16"/>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9.</w:t>
            </w:r>
          </w:p>
        </w:tc>
        <w:tc>
          <w:tcPr>
            <w:tcW w:w="420" w:type="dxa"/>
            <w:vAlign w:val="bottom"/>
            <w:gridSpan w:val="3"/>
          </w:tcPr>
          <w:p>
            <w:pPr>
              <w:spacing w:after="0"/>
              <w:rPr>
                <w:sz w:val="17"/>
                <w:szCs w:val="17"/>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9A.</w:t>
            </w:r>
          </w:p>
        </w:tc>
        <w:tc>
          <w:tcPr>
            <w:tcW w:w="36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980" w:type="dxa"/>
            <w:vAlign w:val="bottom"/>
            <w:gridSpan w:val="22"/>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420" w:type="dxa"/>
            <w:vAlign w:val="bottom"/>
            <w:gridSpan w:val="3"/>
          </w:tcPr>
          <w:p>
            <w:pPr>
              <w:spacing w:after="0"/>
              <w:rPr>
                <w:sz w:val="17"/>
                <w:szCs w:val="17"/>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9C.</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334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10.</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Directors, Executive Officers, Code of Ethics and Corporate Governance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420" w:type="dxa"/>
            <w:vAlign w:val="bottom"/>
            <w:gridSpan w:val="3"/>
          </w:tcPr>
          <w:p>
            <w:pPr>
              <w:spacing w:after="0"/>
              <w:rPr>
                <w:sz w:val="17"/>
                <w:szCs w:val="17"/>
                <w:color w:val="auto"/>
              </w:rPr>
            </w:pPr>
          </w:p>
        </w:tc>
        <w:tc>
          <w:tcPr>
            <w:tcW w:w="47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Executive and Director Compensation</w:t>
            </w:r>
          </w:p>
        </w:tc>
        <w:tc>
          <w:tcPr>
            <w:tcW w:w="3840" w:type="dxa"/>
            <w:vAlign w:val="bottom"/>
            <w:gridSpan w:val="10"/>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12.</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13.</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14.</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4"/>
          </w:tcPr>
          <w:p>
            <w:pPr>
              <w:jc w:val="center"/>
              <w:ind w:right="3340"/>
              <w:spacing w:after="0"/>
              <w:rPr>
                <w:sz w:val="20"/>
                <w:szCs w:val="20"/>
                <w:color w:val="auto"/>
              </w:rPr>
            </w:pPr>
            <w:r>
              <w:rPr>
                <w:rFonts w:ascii="Times New Roman" w:cs="Times New Roman" w:eastAsia="Times New Roman" w:hAnsi="Times New Roman"/>
                <w:sz w:val="16"/>
                <w:szCs w:val="16"/>
                <w:b w:val="1"/>
                <w:bCs w:val="1"/>
                <w:color w:val="0000FF"/>
                <w:w w:val="97"/>
              </w:rPr>
              <w:t>PART IV</w:t>
            </w:r>
          </w:p>
        </w:tc>
        <w:tc>
          <w:tcPr>
            <w:tcW w:w="1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15.</w:t>
            </w:r>
          </w:p>
        </w:tc>
        <w:tc>
          <w:tcPr>
            <w:tcW w:w="4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40" w:type="dxa"/>
            <w:vAlign w:val="bottom"/>
            <w:tcBorders>
              <w:top w:val="single" w:sz="8" w:color="0000FF"/>
            </w:tcBorders>
            <w:gridSpan w:val="7"/>
          </w:tcPr>
          <w:p>
            <w:pPr>
              <w:spacing w:after="0"/>
              <w:rPr>
                <w:sz w:val="17"/>
                <w:szCs w:val="17"/>
                <w:color w:val="auto"/>
              </w:rPr>
            </w:pPr>
          </w:p>
        </w:tc>
        <w:tc>
          <w:tcPr>
            <w:tcW w:w="3360" w:type="dxa"/>
            <w:vAlign w:val="bottom"/>
            <w:gridSpan w:val="6"/>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740" w:type="dxa"/>
            <w:vAlign w:val="bottom"/>
            <w:gridSpan w:val="1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16.</w:t>
            </w:r>
          </w:p>
        </w:tc>
        <w:tc>
          <w:tcPr>
            <w:tcW w:w="85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63</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180" w:type="dxa"/>
            <w:vAlign w:val="bottom"/>
            <w:gridSpan w:val="23"/>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64</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Apogee Enterprises, Inc. (Apogee, the Company or we) was incorporated under the laws of the State of Minnesota in 1949. We are a leading provider of architectural products and services for enclosing buildings, and high-performance glass and acrylic products used in applications for preservation, protection and enhanced viewing.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has four reporting segments, with three of the segments serving the commercial construction market:</w:t>
      </w:r>
    </w:p>
    <w:p>
      <w:pPr>
        <w:spacing w:after="0" w:line="27" w:lineRule="exact"/>
        <w:rPr>
          <w:sz w:val="20"/>
          <w:szCs w:val="20"/>
          <w:color w:val="auto"/>
        </w:rPr>
      </w:pPr>
    </w:p>
    <w:p>
      <w:pPr>
        <w:ind w:left="460" w:right="2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aluminum window, curtainwall, storefront and entrance systems for the exterior of buildings. In fiscal 2022, this segment accounted for approximately 45 percent of our net sales.</w:t>
      </w:r>
    </w:p>
    <w:p>
      <w:pPr>
        <w:ind w:left="46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coats and fabricates, high-performance glass used in custom window and wall systems on commercial buildings. In fiscal 2022, this segment accounted for approximately 20 percent of our net sales.</w:t>
      </w:r>
    </w:p>
    <w:p>
      <w:pPr>
        <w:ind w:left="460" w:hanging="331"/>
        <w:spacing w:after="0" w:line="25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building glass and curtainwall systems. In fiscal 2022, this segment accounted for approximately 27 percent of our net sales.</w:t>
      </w:r>
    </w:p>
    <w:p>
      <w:pPr>
        <w:ind w:left="460" w:hanging="331"/>
        <w:spacing w:after="0" w:line="260" w:lineRule="auto"/>
        <w:tabs>
          <w:tab w:leader="none" w:pos="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Technologies</w:t>
      </w:r>
      <w:r>
        <w:rPr>
          <w:rFonts w:ascii="Times New Roman" w:cs="Times New Roman" w:eastAsia="Times New Roman" w:hAnsi="Times New Roman"/>
          <w:sz w:val="18"/>
          <w:szCs w:val="18"/>
          <w:color w:val="auto"/>
        </w:rPr>
        <w:t xml:space="preserve"> (LSO) segment manufactures high-performance glass and acrylic products for custom framing, museum, and technical glass markets. In fiscal 2022, this segment accounted for approximately 8 percent of our net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fiscal 2022, we conducted a holistic strategic review of our business and the markets we serve. This review included extensive input from customers and industry influencers, along with detailed competitive benchmarking. We analyzed our portfolio of products, services, and capabilities to identify the best areas for future growth. We also evaluated our operating model to ensure we have the organizational structure and capabilities needed to deliver consistent profitable growth. Through this work, we validated the Company’s strengths that we can leverage as we move forward. We also identified several challenges facing the Company and opportunities for improved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this review, we established a new enterprise strategy, with three key elements:</w:t>
      </w:r>
    </w:p>
    <w:p>
      <w:pPr>
        <w:spacing w:after="0" w:line="16" w:lineRule="exact"/>
        <w:rPr>
          <w:sz w:val="20"/>
          <w:szCs w:val="20"/>
          <w:color w:val="auto"/>
        </w:rPr>
      </w:pPr>
    </w:p>
    <w:p>
      <w:pPr>
        <w:jc w:val="both"/>
        <w:ind w:left="660" w:hanging="328"/>
        <w:spacing w:after="0" w:line="23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will achieve this by developing a deep understanding of our target markets and aligning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intend to shift our business mix toward higher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jc w:val="both"/>
        <w:ind w:left="660" w:hanging="328"/>
        <w:spacing w:after="0" w:line="24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This will be supported by a robust talent management program and a commitment to strong governance to ensure compliance and drive sustainable performance.</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fiscal year, we began to implement our new strategy, building significant momentum in the transformation of our business. We realigned Architectural Framing Systems to better leverage the scale and capabilities of the organization, and to bring more clarity and focus in our go-to-market approach. We refocused Architectural Glass to emphasize differentiated, high value-added products. We also announced our intention to move the Sotawall business into Architectural Services, beginning in fiscal 2023, to create a single, unified offering for larger custom curtainwall projects. During the fiscal year, we began several enterprise transformation initiatives designed to strengthen core processes and systems and provide new capabilities across several functional areas. Finally, we relaunched our Lean and Continuous Improvement program, adding key talent and developing a set of tools and processes that we will use to drive improved performance across the enterprise.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continue to execute this strategy over the next several years. To measure our progress, we have established three consolidated enterprise financial targets, which we expect to achieve by the end of fiscal year 2025:</w:t>
      </w:r>
    </w:p>
    <w:p>
      <w:pPr>
        <w:ind w:left="660" w:hanging="328"/>
        <w:spacing w:after="0" w:line="23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 (ROIC)* greater than 12 percent,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greater than 10 percent,</w:t>
      </w:r>
    </w:p>
    <w:p>
      <w:pPr>
        <w:spacing w:after="0" w:line="7"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revenue growth greater than 1.2 times the overall non-residential construction market.</w:t>
      </w:r>
    </w:p>
    <w:p>
      <w:pPr>
        <w:ind w:left="660"/>
        <w:spacing w:after="0"/>
        <w:rPr>
          <w:sz w:val="20"/>
          <w:szCs w:val="20"/>
          <w:color w:val="auto"/>
        </w:rPr>
      </w:pPr>
      <w:r>
        <w:rPr>
          <w:rFonts w:ascii="Times New Roman" w:cs="Times New Roman" w:eastAsia="Times New Roman" w:hAnsi="Times New Roman"/>
          <w:sz w:val="14"/>
          <w:szCs w:val="14"/>
          <w:color w:val="auto"/>
        </w:rPr>
        <w:t>*ROIC is a non-GAAP measure. See discussion of non-GAAP measures within the Overview section of Management's Discussion and Analysis.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These three segments primarily serve the construction industry and participate in various phases of the value stream to design, engineer, fabricate and install custom glass and aluminum window, curtainwall, storefront and entrance systems for the exterior of buildings, primarily in the commercial, institutional, and multi-family residential construction sectors.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Architectural Framing Systems segment designs, engineers and fabricates aluminum window, curtainwall, storefront and entrance systems. We also extrude aluminum and provide finishing services for metal components used in a variety of building materials applications, as well as plastic components for other markets.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Architectural Glass segment provides a wide range of high-performance glass products, offering customized solutions that enable architects and building owners to meet their design, aesthetic, and performance goals. We fabricate insulating, laminated, and monolithic glass units that are used in windows, curtainwall, storefront, and entrance systems. We provide premium glass solutions to meet our customers’ design and energy-performance requirements. These include propriety, high-performance coatings, digital printing, heat soaking of tempered glass, and thermal spacers.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Architectural Services segment delivers value by integrating technical capabilities, project management skills and field installation services, to provide design, engineering, fabrication and installation for the exteriors of commercial buildings. Our ability to efficiently design high-quality window and curtainwall systems and effectively manage the installation of building façades enables our customers to meet schedule and cost requirements of their projects.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and service offerings across these architectural segments allow architects to create distinctive looks for buildings such as health care facilities, government buildings, office towers, hotels, education and athletic facilities, retail centers, transportation centers, mixed use and multi-family residential buildings. Our solutions also help meet functional requirements such as energy efficiency, hurricane, blast and other impact resistance and/or sound control.</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With respect to sustainability, many of our architectural products and services help architects, developers, and building owners achieve their energy-efficiency and sustainability goals by improving energy performance, thereby reducing greenhouse gas emissions, providing daylight and natural ventilation, and increasing comfort and safety for occupants. These products include high-performance thermal framing systems, energy efficient glass coatings, and sun control products such as sunshades and light shelves. Many of our framing systems products can be specified with recycled aluminum content and utilize environmentally friendly anodize and paint finishes. In addition, we offer a wide range of renovation solutions to help modernize aging buildings, providing significantly improved energy performance, while preserving historically accurate aesthetics.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LSO segment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LSO segment provides coated glass and acrylic primarily for use in custom picture framing, museum framing, wall decor and technical glass for other display applications. Products vary based on size and coatings to provide conservation-grade UV protection, anti-reflective and anti-static properties and/or security features.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Demand and Distribution Channels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Demand for the products and services offered by our architectural segments is affected by changes in the North American commercial construction industry, as well as by changes in general economic conditions. Additionally, the Architectural Glass segment has Brazilian operations which are impacted by Brazil's commercial construction industry and general economic conditions.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look at several external indicators to analyze potential demand for our products and services, such as U.S. and Canadian job growth, office vacancy rates, credit and interest rates, architectural billing statistics,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 visibility into near- and medium-term demand. Additionally, we evaluate data on U.S. and Canadian non-residential construction market activity, industry analysis and longer-term trends provided by external data 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architectural products and services are used in subsets of the construction industry differentiated by the following types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Building type</w:t>
      </w:r>
      <w:r>
        <w:rPr>
          <w:rFonts w:ascii="Times New Roman" w:cs="Times New Roman" w:eastAsia="Times New Roman" w:hAnsi="Times New Roman"/>
          <w:sz w:val="18"/>
          <w:szCs w:val="18"/>
          <w:color w:val="auto"/>
        </w:rPr>
        <w:t xml:space="preserve"> - Our products and services are primarily used in commercial buildings (office buildings, hotels and retail centers), institutional buildings (education facilities, health care facilities and government buildings), and multi-family residential buildings (a subset of residential construction).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of customization</w:t>
      </w:r>
      <w:r>
        <w:rPr>
          <w:rFonts w:ascii="Times New Roman" w:cs="Times New Roman" w:eastAsia="Times New Roman" w:hAnsi="Times New Roman"/>
          <w:sz w:val="18"/>
          <w:szCs w:val="18"/>
          <w:color w:val="auto"/>
        </w:rPr>
        <w:t xml:space="preserve"> - Many of our projects involve a high degree of customization, as the product or service is designed to meet customer-specified requirements for aesthetics, performance and size, and local building codes.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Customers and distribution channels</w:t>
      </w:r>
      <w:r>
        <w:rPr>
          <w:rFonts w:ascii="Times New Roman" w:cs="Times New Roman" w:eastAsia="Times New Roman" w:hAnsi="Times New Roman"/>
          <w:sz w:val="18"/>
          <w:szCs w:val="18"/>
          <w:color w:val="auto"/>
        </w:rPr>
        <w:t xml:space="preserve"> - Our customers are mainly glazing subcontractors and general contractors, with project design being influenced by architects and building owners. Our high-performance architectural glass is primarily sold using both a direct sales force and independent sales representatives. Our installation services are sold by a direct sales force in certain metropolitan areas in the U.S. Our window, curtainwall, storefront and entrance systems are sold using a combination of direct sales forces, independent sales representatives and distributors.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Geographic location</w:t>
      </w:r>
      <w:r>
        <w:rPr>
          <w:rFonts w:ascii="Times New Roman" w:cs="Times New Roman" w:eastAsia="Times New Roman" w:hAnsi="Times New Roman"/>
          <w:sz w:val="18"/>
          <w:szCs w:val="18"/>
          <w:color w:val="auto"/>
        </w:rPr>
        <w:t xml:space="preserve"> -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installation project management throughout the U.S. and Canada. Our Architectural Glass segment also supplies architectural glass products to customers in Brazil and certain other international locations.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LSO segment</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our LSO segment, we have a leading brand of value-added coated glass and acrylic used in the custom picture-framing market, museum market, and various technical glass applications. Under the Tru Vue brand, products are sold primarily in North America through national and regional retail chains using a direct sales force, as well as to local retailers through an independent distribution network. We have a global distribution network and also supply our products to museums, galleries and other customers in Europe, Asia and other international locations.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Framing Systems, Architectural Glass and Architectural Services segments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North American commercial construction market is highly fragmented. Competitive factors include price, product quality, product attributes and performance, reliable service, on-time delivery, lead-time, warranties and the ability to provide project management, technical engineering and design services. To protect and improve our competitive position, we maintain strong relationships with building owners, architects, and other stakeholders who influence the selection of products and services on a project, and with general contractors, who initiate projects and develop specifications.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Architectural Framing Systems segment competes against several national, regional and local aluminum window and storefront manufacturers, as well as regional paint and anodizing finishing companies. Our businesses compete by providing a broad portfolio of high-quality products, robust engineering capabilities, and dependable, short lead-time service.</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our Architectural Glass segment, we experience competition from regional glass fabricators and international competitors who can provide certain products with attributes similar to ours. We differentiate by providing a wide range of high-quality products, including several proprietary offerings, that we can bundle together into customized solutions. We maintain strong relationships with architects, developers, and other industry stakeholders, and provide strong customer service and reliable delivery.</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Architectural Services segment competes against national and regional glass installation companies. We compete by offering a robust set of capabilities at a competitive cost. Our capabilities include preconstruction services, engineering and design, project management, manufacturing, and field installation. We deliver these services using an operating model which reduces costs and risks for our customers, and we’ve established a track record of regularly meeting each project's unique execution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LSO segment</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Our LSO segment competes with European and U.S. providers of both basic and valued-added glass and acrylic. Our competitive strengths include innovative proprietary products and process technologies, a highly automated manufacturing model, innovative marketing programs, strong relationships with our customers, and an established distribution network.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architectural glass, curtainwall and window system products, while we generally offer warranties of two years or less on our other products and services.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Materials used in the Architectural Framing Systems segment include aluminum billet and extrusions, fabricated glass, plastic extrusions, hardware, paint and chemicals. Raw materials used within the Architectural Glass segment include flat glass, vinyl, silicone sealants and lumber. Within the Architectural Services segment, materials used include fabricated glass, finished aluminum extrusions, fabricated metal panels and hardware. Materials used in the LSO segment are primarily glass and acrylic. Most of our raw materials are readily available from a variety of domestic and international 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several patents, trademarks, trade names, trade secrets and proprietary technologies and customer relationships that we believe, in the aggregate,</w:t>
      </w:r>
    </w:p>
    <w:p>
      <w:pPr>
        <w:spacing w:after="0" w:line="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constitute a valuable asset. However, we do not believe that our business is materially dependent on any individual patent, trademark or other intellectual property asset.</w:t>
      </w: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Activity in the construction industry is impacted by the seasonal impact of weather and weather events in our operating locations, with activity in some markets reduced in winter due to inclement weather.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Trade and contract-related receivables and other contract assets are the largest components of our working capital. Inventory requirements, mainly related to raw materials, are most significant in our Architectural Framing Systems and Architectural Glass segments.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not a term defined under U.S. generally accepted accounting principles (GAAP) and is not a measure of contract profitability. In addition to backlog, we have a substantial amount of projects with short lead times that book-and-bill within the same reporting period and are not included in backlog. We have good visibility beyond backlog, as projects awarded, verbal commitments and bidding activities are not included in backlog.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Architectural Framing Systems segment backlog as of fiscal year-end was $428.7 million, compared to $411.3 million at the end of the prior year, reflecting an increase in order volume. We expect approximately 78 percent of the backlog in this segment to be fulfilled in fiscal 2023, with the remainder expected to be filled in fiscal 2024 and beyond; however, the timing of backlog may be impacted by project delays.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is not a significant metric for the Architectural Glass segment, as orders are typically booked and billed within a short time-frame.</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Backlog in the Architectural Services segment as of fiscal year-end was $517.7 million, compared to $570.9 million at the end of the prior year, due to execution of projects in backlog, timing of firm orders, and signed contracts. We expect approximately 61 percent of the backlog in this segment to be filled during fiscal 2023, with the remainder expected to be filled in fiscal 2024 and beyond; however, the timing of backlog may be impacted by project delays.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is not a significant metric for the LSO segment, as orders are typically booked and billed within a short time-frame.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various environmental and occupational safety and health laws and regulations in the United States and in other countries in which we operate. These laws and regulations relate to, among other things, our use and storage of hazardous materials in our manufacturing operations and associated air emissions and discharges to surface and underground waters. We have several continuing programs designed to ensure compliance with foreign, federal, state and local environmental and occupational safety and health laws and regulations.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material compliance with all such laws and regulations. While we will continue to incur costs for compliance with government regulations for our ongoing operations, we do not expect these to have a material effect upon our capital expenditures, earnings or competitive position. At one manufacturing facility in our Architectural Framing Systems segment, we are continuing to work to remediate historical environmental impacts. These remediation activities are being conducted without significant disruption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had approximately 5,500 employees on February 26, 2022, down from 6,100 employees on February 27, 2021. As of February 26, 2022, approximately 420 of these employees were represented by U.S. labor unions.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Competition for qualified employees in the markets and industries in which we operate is intense, and the success of our Company depends on our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Wellness and Safety</w:t>
      </w:r>
    </w:p>
    <w:p>
      <w:pPr>
        <w:spacing w:after="0" w:line="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 We utilize a safety culture assessment process along with a safety compliance audits to monitor safety programs within our businesses. These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comprehensive health and wellness programs for our employees. In addition to standard health programs including medical insurance and preventive care, we have a variety of resources available to employees relating to physical and mental wellness.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COVID-19 pandemic has magnified the importance of keeping our employees safe and healthy. In response to the pandemic, we have taken actions consistent with recommendations of the U.S. Centers for Disease Control and Prevention and other local, state, and federal government agencies, to protect our employees.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diversity, equity and inclusion program promotes a workplace where each employee’s abilities are recognized, respected, and utilized to further the Company’s goals. Our aim is to create an environment where people feel included as a part of a team because of their diversity of outlooks, perspectives, and characteristics, which ultimately adds value for our Company. We strive to create a culture of inclusion, reduce bias in our talent practices, and invest in and engage with our communities. We conduct diversity and code of conduct trainings with employees and managers to make clear our views on diversity and promote an inclusive and diverse workplace, where all individuals feel respected and part of a team regardless of their race, national origin, ethnicity, gender, age, religion, disability, sexual orientation or gender identity.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and Development</w:t>
      </w:r>
    </w:p>
    <w:p>
      <w:pPr>
        <w:spacing w:after="0" w:line="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talent management program is focused on developing employees and leaders to meet the Company’s evolving needs. Managers actively engage with their employees to provide coaching and feedback and identify training and development opportunities to improve performance in the employee’s current role and to position the employee for future growth. Training and development opportunities include new-hire training, job specific training, stretch assignments, and safety training. The Company also offers leadership development opportunities, such as our Apogee Leadership Program, along with technical training for engineers, designers and sales staff. In addition, the Company offers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Sales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Information regarding export and international sales is included in Item 8, Financial Statements and Supplementary Data, within Note 15 of our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maintains a website at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Through a link to a third-party content provider, our website provides free access to the Company's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Also available on our website are various corporate governance documents, including our Code of Business Ethics and Conduct, Corporate Governance Guidelines, and charters for the Audit, Compensation, and Nominating and Corporate Governance Committees of the Board of Directors.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Positions with Apogee Enterprises and Past Experience</w:t>
            </w: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Ty R. Silberhorn</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54</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Chief Executive Officer of the Company since January 2021. Prior to joining the Company, Mr. Silberhorn worked for 3M,</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 diversified global manufacturer and technology company, most recently serving as Senior Vice President of 3M's</w:t>
            </w:r>
          </w:p>
        </w:tc>
      </w:tr>
      <w:tr>
        <w:trPr>
          <w:trHeight w:val="189"/>
        </w:trPr>
        <w:tc>
          <w:tcPr>
            <w:tcW w:w="1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Transformation, Technologies and Services from April 2019 through December 2020. Prior to this position and since 2001,</w:t>
            </w:r>
          </w:p>
        </w:tc>
      </w:tr>
      <w:tr>
        <w:trPr>
          <w:trHeight w:val="203"/>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he held several 3M global business unit leadership roles, serving as Vice President and General Manager for divisions</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within Safety &amp; Industrial, Transportation &amp; Electronics, and the Consumer business groups.</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Curtis Dobler</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56</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Executive Vice President and Chief Human Resources Officer since April 2019. Prior to joining the Company, Mr. Dobler</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served as Executive Vice President and Chief Human Resources Officer at Associated Materials, Inc., a manufacturer and</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distributor of exterior residential building products, from 2015 through 2019.</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Meghan M. Elliott</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45</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Vice President, General Counsel and Secretary of the Company since June 2020. Prior to this role, Ms. Elliott served as</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Assistant General Counsel for the Company since 2014.</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Nisheet Gupta</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47</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Executive Vice President and Chief Financial Officer of the Company since June 2020. Prior to joining the Company, Mr.</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Gupta served Vice President of Global Finance Operations at Land O’Lakes, a leading agribusiness and food company,</w:t>
            </w:r>
          </w:p>
        </w:tc>
      </w:tr>
      <w:tr>
        <w:trPr>
          <w:trHeight w:val="189"/>
        </w:trPr>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since 2017. Prior to joining Land O’ Lakes, Mr. Gupta worked at Diebold Nixdorf, a banking solutions and retail</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technology systems company, holding various finance roles of increasing responsibility in Diebold Nixdorf’s financial</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organization, from 2011 to 2017.</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Gary R. Johnson</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60</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Senior Vice President of the Company since 2018, Treasurer and Vice President since 2001 and an employee of the</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Company since 1995.</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Brent C. Jewell</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47</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Architectural Framing Systems segment since August 2019. Prior to this role, Mr. Jewell served as Senior Vice</w:t>
            </w:r>
          </w:p>
        </w:tc>
      </w:tr>
      <w:tr>
        <w:trPr>
          <w:trHeight w:val="203"/>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President, Business Development and Strategy for the Company from May 2018 to August 2019 and in Senior leadership</w:t>
            </w:r>
          </w:p>
        </w:tc>
      </w:tr>
      <w:tr>
        <w:trPr>
          <w:trHeight w:val="222"/>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positions at Valspar, a developer, manufacturer and distributor of paints and coatings, from 2010 to 2017.</w:t>
            </w:r>
          </w:p>
        </w:tc>
      </w:tr>
      <w:tr>
        <w:trPr>
          <w:trHeight w:val="29"/>
        </w:trPr>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94"/>
        </w:trPr>
        <w:tc>
          <w:tcPr>
            <w:tcW w:w="1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Troy R. Johnson</w:t>
            </w:r>
          </w:p>
        </w:tc>
        <w:tc>
          <w:tcPr>
            <w:tcW w:w="820" w:type="dxa"/>
            <w:vAlign w:val="bottom"/>
            <w:shd w:val="clear" w:color="auto" w:fill="CCEEFF"/>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48</w:t>
            </w:r>
          </w:p>
        </w:tc>
        <w:tc>
          <w:tcPr>
            <w:tcW w:w="866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Apogee’s Architectural Services segment (Harmon) since March 2020. Prior to this role, Mr. T. Johnson served</w:t>
            </w: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 several leadership roles in the Architectural Services segment since 2011.</w:t>
            </w:r>
          </w:p>
        </w:tc>
      </w:tr>
      <w:tr>
        <w:trPr>
          <w:trHeight w:val="194"/>
        </w:trPr>
        <w:tc>
          <w:tcPr>
            <w:tcW w:w="16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Nick C. Longman</w:t>
            </w:r>
          </w:p>
        </w:tc>
        <w:tc>
          <w:tcPr>
            <w:tcW w:w="820" w:type="dxa"/>
            <w:vAlign w:val="bottom"/>
          </w:tcPr>
          <w:p>
            <w:pPr>
              <w:jc w:val="center"/>
              <w:ind w:left="154"/>
              <w:spacing w:after="0" w:line="194" w:lineRule="exact"/>
              <w:rPr>
                <w:sz w:val="20"/>
                <w:szCs w:val="20"/>
                <w:color w:val="auto"/>
              </w:rPr>
            </w:pPr>
            <w:r>
              <w:rPr>
                <w:rFonts w:ascii="Times New Roman" w:cs="Times New Roman" w:eastAsia="Times New Roman" w:hAnsi="Times New Roman"/>
                <w:sz w:val="17"/>
                <w:szCs w:val="17"/>
                <w:color w:val="auto"/>
              </w:rPr>
              <w:t>50</w:t>
            </w:r>
          </w:p>
        </w:tc>
        <w:tc>
          <w:tcPr>
            <w:tcW w:w="8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President of the Architectural Glass segment since June 2021. Prior to joining the Company, Mr. Longman served as Chief</w:t>
            </w:r>
          </w:p>
        </w:tc>
      </w:tr>
      <w:tr>
        <w:trPr>
          <w:trHeight w:val="220"/>
        </w:trPr>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Officer and Chief Operating Officer for Harvey Building Products, a manufacturer of windows, doors and</w:t>
            </w:r>
          </w:p>
        </w:tc>
      </w:tr>
    </w:tbl>
    <w:p>
      <w:pPr>
        <w:ind w:left="2680" w:right="60"/>
        <w:spacing w:after="0" w:line="242" w:lineRule="auto"/>
        <w:rPr>
          <w:sz w:val="20"/>
          <w:szCs w:val="20"/>
          <w:color w:val="auto"/>
        </w:rPr>
      </w:pPr>
      <w:r>
        <w:rPr>
          <w:rFonts w:ascii="Times New Roman" w:cs="Times New Roman" w:eastAsia="Times New Roman" w:hAnsi="Times New Roman"/>
          <w:sz w:val="17"/>
          <w:szCs w:val="17"/>
          <w:color w:val="auto"/>
        </w:rPr>
        <w:t>accessory products, from March 2018 to November 2020 and in various functional and business leadership roles at Colfax Fluid Handling, a diversified technology company, from 2012 to 2018.</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 Risks</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The novel coronavirus (COVID-19) pandemic, efforts to mitigate the pandemic, and the related weakening economic conditions, have impacted our business and could have a significant negative impact on our operations, liquidity, financial condition and financial results</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date, we have experienced delays in commercial construction projects and other adverse consequences due to the COVID-19 pandemic. Quarantines and "stay in place" orders, the timing and length of containment and eradication solutions, travel restrictions, construction site closures and project delays, absenteeism by infected workers, labor shortages and other disruptions to our supply chain or to our customers, have adversely impacted our sales and operating results. In addition, the pandemic contributed to an economic downturn that has impacted demand for certain of our products and services. Order lead times have been, and may continue to be, extended or delayed. Within the LSO segment, we also experienced the temporary closure of many of our customer's retail locations. We also were required temporarily to shut down our factories in this segment to comply with government "stay in place" orders.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this global pandemic to continue to have an impact on our future revenue and results of operations, although the negative impacts on our business directly due to the COVID -19 pandemic had moderated by the end of fiscal 2022. The extent to which COVID-19 will continue to impact our businesses in the future will depend on numerous evolving factors including, but not limited to, the emergence of new variants of the coronavirus, such as the Delta and Omicron variants, and the effectiveness of ongoing public health initiatives, which have been boosted by vaccine production and distribution.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Industry Risks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 American and global economic and industry-related business conditions materially affect our sales and results of operations</w:t>
      </w:r>
    </w:p>
    <w:p>
      <w:pPr>
        <w:jc w:val="both"/>
        <w:spacing w:after="0" w:line="237" w:lineRule="auto"/>
        <w:rPr>
          <w:sz w:val="20"/>
          <w:szCs w:val="20"/>
          <w:color w:val="auto"/>
        </w:rPr>
      </w:pPr>
      <w:r>
        <w:rPr>
          <w:rFonts w:ascii="Times New Roman" w:cs="Times New Roman" w:eastAsia="Times New Roman" w:hAnsi="Times New Roman"/>
          <w:sz w:val="18"/>
          <w:szCs w:val="18"/>
          <w:color w:val="auto"/>
        </w:rPr>
        <w:t>Our Architectural Framing Systems, Architectural Glass and Architectural Services segments are significantly influenced by North American economic conditions and the cyclical nature of the North American commercial construction industry. The commercial construction industry is impacted by macroeconomic trends, such as availability of credit, employment levels, consumer confidence, interest rates and commodity prices. In addition, changes in architectural design trends, demographic trends, and/or remote work trends could negatively impact demand for our products. To the extent changes in these factors negatively impact the overall commercial construction industry, our revenue and profits could be significantly reduced.</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LSO segment primarily depends on the strength of the retail custom picture framing industry. This industry is dependent on consumer confidence and the conditions of the U.S. economy. A decline in consumer confidence, whether as a result of an economic slowdown (due to COVID-19 concerns discussed above or otherwise), uncertainty regarding the future or other factors, could result in a decrease in net sales and operating income of this segment.</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Global instability and uncertainty arising from events outside of our control, such as significant natural disasters, political crises, public health crises and pandemics, and/or other catastrophic events could materially affect our results of operations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Natural disasters, political crises, public health crises, such as the current COVID-19 pandemic, and other catastrophic events or other events outside of our control, including Russia's invasion of Ukraine, may negatively impact our facilities or the facilities of third parties on which we depend, have broader adverse impacts on the commercial construction market, consumer confidence and spending, and/or impact both the well-being of our employees and our ability to operate our facilities. These types of disruptions or other events outside of our control could affect our business negatively, cause delays or cancellation of commercial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or other catastrophic events or events outside of our control, our business and operating results could suffer.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competitors or specific actions of our existing competitors could materially harm our business</w:t>
      </w:r>
    </w:p>
    <w:p>
      <w:pPr>
        <w:spacing w:after="0" w:line="1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We operate in competitive industries in which the actions of our existing competitors or new competitors could result in loss of customers and/or market share. Changes in our competitors' products, prices or services could negatively impact our share of demand, net sales or margins.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Architectural Framing Systems and Architectural Glass segments have seen an increase in imports of products into the U.S. from international suppliers due to the relative strength of the U.S. dollar. If foreign imports occur at increased levels for extended periods of time, our net sales and margins in those segments could be negatively impacted.</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LSO segment competes with several international specialty glass manufacturers and international and domestic acrylic suppliers. If these competitors are able to successfully improve their product attributes, service capabilities and production capacity and/or increase their sales and marketing focus in the U.S. custom picture framing market, this segment's net sales and margins could be negatively impacted.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customer dependence in the LSO segment creates a significant risk of reduced demand for our products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LSO net sales and operating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We could be unable to effectively manage and implement our new enterprise strategy, which could have a material adverse effect on our business, financial condition, and results of operations.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growth strategy includes differentiating our product and service offerings, shifting our business mix toward higher operating margins and return on invested capital performance, and shifting away from our historical, decentralized operating model. Execution of this strategy will require additional investments of time and resources and could fail to achieve the desired results. For example, we may be unable to increase our sales and earnings by differentiating our product and service offerings in a cost-effective manner. We may fail to accurately predict future customer needs and preferences, and thus focus on the wrong business mix. Our centralized operating system may not produce the desired operating efficiencies.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acquisitions and integration activities could adversely affect our operating results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completed and may complete additional acquisitions in the future to accelerate the execution of our growth strategies, including new geographies, adjacent market sectors and new product introductions. There are risks inherent in completing acquisitions, including: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existing business activities;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and suppliers of the acquired businesses or adverse effects on relationships with existing customers and suppliers;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acquired business does not achieve the return on investment projected at the time of acquisition; and</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acquired assets and liabilities, inaccurate assessment of additional post-acquisition capital investments; undisclosed, contingent or other liabilities; problems executing backlog of material supply or installation projects; unanticipated costs; and an inability to recover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 such liabilities and costs.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one or more of these risks were to arise in a material manner, our operating results could be negatively impacted.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If we are not able effectively to utilize and manage our manufacturing capacity, our results of operations will be negatively affected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Near-term performance depends, to a significant degree, on our ability to provide sufficient available capacity and appropriately utilize existing production capacity. The failure to successfully maintain existing capacity, or manage unanticipated interruptions in production, successfully implement planned capacity expansions, and/or make timely investments in additional physical capacity and supporting technology systems could adversely affect our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of key personnel and inability to source sufficient labor could adversely affect our operating results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the skills of the Company's leadership, construction project managers and other key technical personnel, and our ability to secure sufficient manufacturing and installation labor. In recent years, strong residential and commercial construction and low U.S. unemployment have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inflation may negatively impact our profitability.</w:t>
      </w:r>
    </w:p>
    <w:p>
      <w:pPr>
        <w:spacing w:after="0" w:line="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Rising inflation, interest rates, or construction costs could reduce the demand for our products and services and impact our profitability. Higher interest rates may make it more expensive to finance construction projects, and as a result, reduce the number of projects and the demand for our products and services. Cost inflation, including significant cost increases for freight, aluminum, glass, paint and other materials used in our operations, has impacted, and could continue to impact, our profitability. The availability and price of necessary raw materials for our products may be negatively impacted by the international sanctions and market volatility caused by Russia’s invasion of Ukraine. Continued supply and demand imbalances for these resources may continue to exert upward pressure on costs. Furthermore, in some of our segments, we operate on contracts wherein we bear part or all of the risk of inflation on materials costs and the cost of installation services. Our ability to mitigate these costs, or recover the cost increases through price increases, may continue to lag the cost increases, which could negatively impact our margins.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If we are unable to manage our supply and distribution chains effectively our results of operations will be negatively affected</w:t>
      </w:r>
    </w:p>
    <w:p>
      <w:pPr>
        <w:spacing w:after="0" w:line="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Architectural Framing Systems and Architectural Services segments use aluminum as a significant input to their products and our operating results in those two segments could be negatively impacted by supply chain disruptions and adverse price movements in the market for raw aluminum. In recent years, we have seen increased volatility in the price of aluminum that we purchase from both domestic and international sources. Due to our Architectural Framing Systems segment presence in Canada, we have significant cross-border activity, as our Canadian businesses purchase inputs from U.S.-based suppliers and sell to U.S.-based customers. A significant change in U.S. trade policy with Canada could, therefore, have an adverse impact on our net sales and operating results.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Architectural Glass and LSO segments use raw glass as a significant input to their products. We periodically experience a tighter supply of raw glass when there is growth in automotive manufacturing and residential and non-residential construction. Failure to acquire a sufficient amount of raw glass on terms as favorable as current terms, including as a result of a significant unplanned downtime or shift in strategy at one or more of our key suppliers, could negatively impact our operating results.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Global economic conditions may impact their ability to operate their businesses, including recent impacts from the evolving COVID-19 pandemic.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one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more suppliers may cause us to alter our business terms or to cease doing business with a particular supplier or suppliers, or change our sourcing practices generally, which could in turn adversely affect our business and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encounter problems with distribution, our ability to deliver our products to market could be adversely affected. Our operations are vulnerable to interruptions in the event of work stoppages, whether due to health concerns, such as COVID-19 or otherwise,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systems, our ability to meet customer and consumer expectations, manage inventory, manage transportation-related costs, complete sales and achieve operating efficiencies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quality issues and product liability claims could adversely affect our operating results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manufacture and/or install a significant portion of our products based on the specific requirements of each customer. We believe that future orders of our products or services will depend on our ability to maintain the performance, reliability, quality and timely delivery standards required by our customers. We have in the past and are currently subject to product liability and warranty claims, including certain legal claims related to a commercial sealant product formerly incorporated into our products, and there is no certainty we will prevail on these claims. If our products have performance, reliability or quality problems, or products are installed using incompatible glazing materials or installed improperly (by us or a customer), we may experience additional warranty and other expenses; reduced or canceled orders; higher manufacturing or installation costs; or delays in the collection of accounts receivable. Additionally, product liability and warranty claims, including relating to the performance, reliability or quality of our products and services, could result in costly and time-consuming litigation that could require significant time and attention of management and involve significant monetary damages that could negatively impact our operating results. There is also no assurance that the number and value of product liability and warranty claims will not increase as compared to historical claim rates, or that our warranty reserve at any particular time is sufficient. No assurance can be given that coverage under insurance policies, if applicable, will be adequate to cover future product liability claims against us. If we are unable to recover on insurance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 management and installation issues could adversely affect our operating results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segments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Difficulties in maintaining our information technology systems, and potential cybersecurity threats, could negatively affect our operating results and/or our reputation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dependent upon various information technology systems that are used to process, transmit and store electronic information, and to manage or support our manufacturing operations and a variety of other business processes and activities, some of which are managed by third-parties. We could encounter difficulties in maintaining our existing systems, developing and implementing new systems or in our efforts to standardize information technology systems across our business units. Such difficulties could lead to disruption in business operations and/or significant additional expenses that could adversely affect our results.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information technology and Internet based systems, and those of our third-party service providers, are subject to cyber-attacks of increasing frequency and sophistication. These systems have in the past been, and may in the future be, subject to cyber-attacks and other attempts to gain</w:t>
      </w:r>
    </w:p>
    <w:p>
      <w:pPr>
        <w:jc w:val="both"/>
        <w:spacing w:after="0" w:line="238" w:lineRule="auto"/>
        <w:rPr>
          <w:sz w:val="20"/>
          <w:szCs w:val="20"/>
          <w:color w:val="auto"/>
        </w:rPr>
      </w:pPr>
      <w:r>
        <w:rPr>
          <w:rFonts w:ascii="Times New Roman" w:cs="Times New Roman" w:eastAsia="Times New Roman" w:hAnsi="Times New Roman"/>
          <w:sz w:val="18"/>
          <w:szCs w:val="18"/>
          <w:color w:val="auto"/>
        </w:rPr>
        <w:t>unauthorized access, breach, damage, disrupt or otherwise compromise such systems, none of which have been material to us to date. These cyber threats pose a risk to the security of our systems and networks, and the confidentiality, availability and integrity of our data. Should such an attack succeed, it could lead to the compromise of confidential information, manipulation and destruction of data and product specifications, production downtimes, disruption in the availability of financial data, or misrepresentation of information via digital media. The occurrence of any of these events could adversely affect our reputation and could result in litigation, loss of data and intellectual property, regulatory action, project delay claims, and increased costs and operational consequences of implementing further data protection systems.</w:t>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Violations of legal and regulatory compliance requirements, including environmental laws, and changes in existing legal and regulatory requirements, may have a negative impact on our business and results of operations.</w:t>
      </w:r>
    </w:p>
    <w:p>
      <w:pPr>
        <w:spacing w:after="0"/>
        <w:rPr>
          <w:sz w:val="20"/>
          <w:szCs w:val="20"/>
          <w:color w:val="auto"/>
        </w:rPr>
      </w:pPr>
      <w:r>
        <w:rPr>
          <w:rFonts w:ascii="Times New Roman" w:cs="Times New Roman" w:eastAsia="Times New Roman" w:hAnsi="Times New Roman"/>
          <w:sz w:val="18"/>
          <w:szCs w:val="18"/>
          <w:color w:val="auto"/>
        </w:rPr>
        <w:t>We are subject to a legal and regulatory framework imposed under federal and state laws and regulatory agencies, including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that apply specifically to U.S. public companies and laws and regulations applicable to our manufacturing and construction site operations. Our efforts to comply with evolving laws, regulations, and reporting standards may increase our general and administrative expenses, divert management time and attention, or limit our operational flexibility, all of which could have a material adverse effect on our business, financial position, and results of operations. Additionally, new laws, rules, and regulations, or changes to existing laws or their interpretations, could create added legal and compliance costs and uncertainty for us.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hazardous materials in our manufacturing operations, and have air and water emissions that require controls. Accordingly, we are also subject to federal, state and local environmental laws and regulations, including those governing the storage and use of hazardous materials and disposal of wastes. A violation of such laws and regulations, or a release of such substances, may expose us to various claims, including claims by third parties, as well as remediation costs and fines.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u w:val="single" w:color="auto"/>
          <w:color w:val="auto"/>
        </w:rPr>
        <w:t>We are self-insured for certain costs associated with our operations and an increase in our insurance claims and expenses may have a material negative impact on our operating results</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obtain third-party insurance to provide coverage for potential risk in areas such as employment practices, workers' compensation, directors and officers, automobile, engineer's errors and omissions, product rework and general liability, as well as medical insurance and various other coverages. However, we retain a high amount of risk on a self-insured basis through our wholly-owned insurance subsidiary, in particular for product liability, medical and workers’ compensation claims. Therefore, a significant increase in the number or size of these claims could have a material adverse effect on our 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effects could negatively affect our sales and operating income</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service and prudent hedging programs, our net sales and operating income could be negatively impacted. Additionally, our international subsidiaries report their results of operations and financial position in their relevant functional currencies (local country currency), which are then translated into U.S. dollars. As the relationship between these currencies and the U.S. dollar changes, there could be a negative impact on our reported results and financial position.</w:t>
      </w:r>
    </w:p>
    <w:p>
      <w:pPr>
        <w:spacing w:after="0" w:line="20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Results can differ significantly from our expectations and the expectations of analysts, which could have an adverse affect on the market price of our common stock</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sales and earnings guidance and resulting external analyst estimates are largely based on our view of our business and the broader commercial construction market. Further, there is additional risk in our ability to accurately forecast our operational and financial performance and provide earnings guidance as a result of evolving conditions because of the COVID-19 pandemic and related economic downturn, continued inflationary cost increases and uncertainty resulting from the Russian invasion of Ukraine. Failure to meet our guidance or analyst expectations for net sales and earnings would have an adverse impact on the market price of our common stock.</w:t>
      </w:r>
    </w:p>
    <w:p>
      <w:pPr>
        <w:spacing w:after="0" w:line="22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We may experience further impairment of our goodwill, indefinite- and finite-lived intangible assets and long-lived assets, in the future, which could adversely impact our financial condition and results of operations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assets include a significant amount of goodwill, indefinite- and finite-lived intangible assets and long-lived assets. We evaluate goodwill and indefinite-lived intangible assets for impairment annually in our fiscal fourth quarter, or more frequently if events or changes in circumstances indicate that the carrying value of a reporting unit may not be recoverable. We evaluate finite-lived intangible assets and long-lived assets for impairment if events or changes in circumstances indicate that the carrying value of the long-lived asset may not be recoverable. The assessment of impairment involves significant judgment and projections about future performance.</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Based on our annual impairment valuation analysis performed in the fourth quarter of fiscal 2022, there was no goodwill impairment identified. During fiscal 2021, our annual impairment analysis determined impairment of goodwill at two of our reporting units within the Architectural Framing Systems segment and we determined impairment of our EFCO trade name. As a result, in the prior year, we recorded a goodwill impairment expense and an indefinite-lived intangible asset impairment expense of $63.8 million and $6.3 million, respectively.</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fourth quarter of fiscal 2022, based on the finalization of our plans for integrating the Sotawall business into the Architectural Services segment, beginning in fiscal 2023, we determined impairment of indefinite and finite-lived intangibles within the Architectural Framing Systems segment and we recorded intangible impairment expense of $49.5 million. Refer to additional information included within Notes 1 and 6 to the Financial Statements contained in Item 8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discounted cash flow projections and revenue projections used in these analyses are dependent upon achieving forecasted levels of revenue and profitability. If revenue or profitability were to fall below forecasted levels, or if market conditions were to decline in a material or sustained manner, further impairment could be indicated and we could incur an additional non-cash impairment expense that would negatively impact our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lists, by segment, the Company's principal physical properties as of February 26, 2022. We believe these properties are generally in good operating condition, suitable for their respective uses and adequate for our current needs as our business is presently conducted.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Property Location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 Leased</w:t>
            </w:r>
          </w:p>
        </w:tc>
        <w:tc>
          <w:tcPr>
            <w:tcW w:w="464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Function</w:t>
            </w:r>
          </w:p>
        </w:tc>
      </w:tr>
      <w:tr>
        <w:trPr>
          <w:trHeight w:val="192"/>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0" w:type="dxa"/>
            <w:vAlign w:val="bottom"/>
            <w:tcBorders>
              <w:top w:val="single" w:sz="8" w:color="auto"/>
              <w:bottom w:val="single" w:sz="8" w:color="auto"/>
            </w:tcBorders>
            <w:gridSpan w:val="5"/>
            <w:shd w:val="clear" w:color="auto" w:fill="CCEEFF"/>
          </w:tcPr>
          <w:p>
            <w:pPr>
              <w:spacing w:after="0" w:line="172" w:lineRule="exact"/>
              <w:rPr>
                <w:sz w:val="20"/>
                <w:szCs w:val="20"/>
                <w:color w:val="auto"/>
              </w:rPr>
            </w:pPr>
            <w:r>
              <w:rPr>
                <w:rFonts w:ascii="Times New Roman" w:cs="Times New Roman" w:eastAsia="Times New Roman" w:hAnsi="Times New Roman"/>
                <w:sz w:val="16"/>
                <w:szCs w:val="16"/>
                <w:i w:val="1"/>
                <w:iCs w:val="1"/>
                <w:color w:val="auto"/>
              </w:rPr>
              <w:t>Architectural Framing Systems segment</w:t>
            </w:r>
          </w:p>
        </w:tc>
        <w:tc>
          <w:tcPr>
            <w:tcW w:w="2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Wausau, WI</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Stratford, WI</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Reed City, MI</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Walker, MI</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Dallas, TX</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Toronto, ON Canada</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Brampton, ON Canada</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Monett, MO</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175"/>
        </w:trPr>
        <w:tc>
          <w:tcPr>
            <w:tcW w:w="20" w:type="dxa"/>
            <w:vAlign w:val="bottom"/>
          </w:tcPr>
          <w:p>
            <w:pPr>
              <w:spacing w:after="0"/>
              <w:rPr>
                <w:sz w:val="15"/>
                <w:szCs w:val="15"/>
                <w:color w:val="auto"/>
              </w:rPr>
            </w:pPr>
          </w:p>
        </w:tc>
        <w:tc>
          <w:tcPr>
            <w:tcW w:w="47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Architectural Glass segment</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Owatonna, MN</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216"/>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Nazaré Paulista, Brazil</w:t>
            </w:r>
          </w:p>
        </w:tc>
        <w:tc>
          <w:tcPr>
            <w:tcW w:w="18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color w:val="auto"/>
                <w:w w:val="95"/>
              </w:rPr>
              <w:t>Owned</w:t>
            </w:r>
            <w:r>
              <w:rPr>
                <w:rFonts w:ascii="Times New Roman" w:cs="Times New Roman" w:eastAsia="Times New Roman" w:hAnsi="Times New Roman"/>
                <w:sz w:val="21"/>
                <w:szCs w:val="21"/>
                <w:color w:val="auto"/>
                <w:w w:val="95"/>
                <w:vertAlign w:val="superscript"/>
              </w:rPr>
              <w:t>(1)</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auto"/>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Architectural Services segment</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 Chester, OH</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Mesquite, TX</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Glen Burnie, MD</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213"/>
        </w:trPr>
        <w:tc>
          <w:tcPr>
            <w:tcW w:w="20" w:type="dxa"/>
            <w:vAlign w:val="bottom"/>
          </w:tcPr>
          <w:p>
            <w:pPr>
              <w:spacing w:after="0"/>
              <w:rPr>
                <w:sz w:val="18"/>
                <w:szCs w:val="18"/>
                <w:color w:val="auto"/>
              </w:rPr>
            </w:pPr>
          </w:p>
        </w:tc>
        <w:tc>
          <w:tcPr>
            <w:tcW w:w="4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Orlando, FL</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w:t>
            </w:r>
          </w:p>
        </w:tc>
      </w:tr>
      <w:tr>
        <w:trPr>
          <w:trHeight w:val="199"/>
        </w:trPr>
        <w:tc>
          <w:tcPr>
            <w:tcW w:w="20" w:type="dxa"/>
            <w:vAlign w:val="bottom"/>
            <w:shd w:val="clear" w:color="auto" w:fill="CCEEFF"/>
          </w:tcPr>
          <w:p>
            <w:pPr>
              <w:spacing w:after="0"/>
              <w:rPr>
                <w:sz w:val="17"/>
                <w:szCs w:val="17"/>
                <w:color w:val="auto"/>
              </w:rPr>
            </w:pPr>
          </w:p>
        </w:tc>
        <w:tc>
          <w:tcPr>
            <w:tcW w:w="4700" w:type="dxa"/>
            <w:vAlign w:val="bottom"/>
            <w:gridSpan w:val="7"/>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LSO segment</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McCook, IL</w:t>
            </w:r>
          </w:p>
        </w:tc>
        <w:tc>
          <w:tcPr>
            <w:tcW w:w="3840" w:type="dxa"/>
            <w:vAlign w:val="bottom"/>
            <w:tcBorders>
              <w:top w:val="single" w:sz="8" w:color="CCEEFF"/>
            </w:tcBorders>
            <w:gridSpan w:val="5"/>
          </w:tcPr>
          <w:p>
            <w:pPr>
              <w:spacing w:after="0"/>
              <w:rPr>
                <w:sz w:val="18"/>
                <w:szCs w:val="18"/>
                <w:color w:val="auto"/>
              </w:rPr>
            </w:pPr>
          </w:p>
        </w:tc>
        <w:tc>
          <w:tcPr>
            <w:tcW w:w="18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Manufacturing/Warehouse/Administrative</w:t>
            </w:r>
          </w:p>
        </w:tc>
      </w:tr>
      <w:tr>
        <w:trPr>
          <w:trHeight w:val="219"/>
        </w:trPr>
        <w:tc>
          <w:tcPr>
            <w:tcW w:w="2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Faribault, MN</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Owned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Manufacturing/Administrative</w:t>
            </w:r>
          </w:p>
        </w:tc>
      </w:tr>
      <w:tr>
        <w:trPr>
          <w:trHeight w:val="176"/>
        </w:trPr>
        <w:tc>
          <w:tcPr>
            <w:tcW w:w="20" w:type="dxa"/>
            <w:vAlign w:val="bottom"/>
          </w:tcPr>
          <w:p>
            <w:pPr>
              <w:spacing w:after="0"/>
              <w:rPr>
                <w:sz w:val="15"/>
                <w:szCs w:val="15"/>
                <w:color w:val="auto"/>
              </w:rPr>
            </w:pPr>
          </w:p>
        </w:tc>
        <w:tc>
          <w:tcPr>
            <w:tcW w:w="47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Other</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Minneapolis, MN</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Leased</w:t>
            </w: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r>
    </w:tbl>
    <w:p>
      <w:pPr>
        <w:spacing w:after="0" w:line="5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is an owned facility; however, the land is leased from the city.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Apogee common stock is traded on the NASDAQ Stock Market under the ticker symbol "APOG". As of April 8, 2022, there were 1,124 shareholders of record and 14,507 shareholders for whom securities firms acted as nominees.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0.8200</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0.7625</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0.7125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fourth quarter of fiscal 2022:</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 Purchased under</w:t>
            </w:r>
          </w:p>
        </w:tc>
        <w:tc>
          <w:tcPr>
            <w:tcW w:w="0" w:type="dxa"/>
            <w:vAlign w:val="bottom"/>
          </w:tcPr>
          <w:p>
            <w:pPr>
              <w:spacing w:after="0"/>
              <w:rPr>
                <w:sz w:val="1"/>
                <w:szCs w:val="1"/>
                <w:color w:val="auto"/>
              </w:rPr>
            </w:pPr>
          </w:p>
        </w:tc>
      </w:tr>
      <w:tr>
        <w:trPr>
          <w:trHeight w:val="162"/>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4400" w:type="dxa"/>
            <w:vAlign w:val="bottom"/>
            <w:gridSpan w:val="2"/>
            <w:vMerge w:val="continue"/>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Purchased (a)</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Programs (b)</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28, 2021 through December 24, 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1,124,128</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25, 2021 through January 22, 2022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676,025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2,448,103</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2022 through February 26,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623,565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1,824,538</w:t>
            </w:r>
          </w:p>
        </w:tc>
        <w:tc>
          <w:tcPr>
            <w:tcW w:w="0" w:type="dxa"/>
            <w:vAlign w:val="bottom"/>
          </w:tcPr>
          <w:p>
            <w:pPr>
              <w:spacing w:after="0"/>
              <w:rPr>
                <w:sz w:val="1"/>
                <w:szCs w:val="1"/>
                <w:color w:val="auto"/>
              </w:rPr>
            </w:pPr>
          </w:p>
        </w:tc>
      </w:tr>
      <w:tr>
        <w:trPr>
          <w:trHeight w:val="223"/>
        </w:trPr>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1,540,307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1,537,462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1,824,538</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hanging="10"/>
        <w:spacing w:after="0" w:line="280" w:lineRule="auto"/>
        <w:tabs>
          <w:tab w:leader="none" w:pos="4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spacing w:after="0" w:line="191" w:lineRule="exact"/>
        <w:rPr>
          <w:rFonts w:ascii="Times New Roman" w:cs="Times New Roman" w:eastAsia="Times New Roman" w:hAnsi="Times New Roman"/>
          <w:sz w:val="16"/>
          <w:szCs w:val="16"/>
          <w:color w:val="auto"/>
        </w:rPr>
      </w:pPr>
    </w:p>
    <w:p>
      <w:pPr>
        <w:jc w:val="both"/>
        <w:ind w:left="180" w:hanging="10"/>
        <w:spacing w:after="0" w:line="269" w:lineRule="auto"/>
        <w:tabs>
          <w:tab w:leader="none" w:pos="43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and October 7, 2021; and by 2,000,000 shares, announced on October 3, 2018 and January 14, 2022. The repurchase program does not have an expiration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a $100 investment in our common stock for the last five fiscal years with the cumulative total return on a $100 investment in the Russell 2000 Index, a broad equity market index, and the Standard &amp; Poor's Small Cap 600 Growth Index, an index that includes companies of similar market capitalization. The graph assumes an investment at the close of trading on March 4, 2017, and also assumes the reinvestment of all dividends.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368935</wp:posOffset>
            </wp:positionV>
            <wp:extent cx="4509135" cy="3257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91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Apogee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Small Cap 600 Growth Index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selected the Standard &amp; Poor's Small Cap 600 Growth Index as an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of our direct competitors in our various business units are either privately owned or divisions of larger, publicly owned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in this Form 10-K, all of which are incorporated by reference into this Item 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leader in the design and development of value-added glass and metal products and services. Our four reporting segments are: Architectural Framing Systems, Architectural Glass, Architectural Services and Large-Scale Optical Technologies (LSO).</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2022, we conducted a strategic review of our business and the markets we serve in order to establish a new enterprise strategy with three key elements, as discussed in Item 1 on page 4 of this Form 10-K. As part of executing our enterprise strategy, during the second quarter of fiscal 2022, we announced plans to realign and simplify our business structure which resulted in the closure of two facilities within the Architectural Glass segment, in Dallas, Texas and Statesboro, Georgia. These closures were made in order to focus the Architectural Glass segment on premium, high-performance products. During the fourth quarter of fiscal 2022, we finalized plans for integrating the Sotawall business into the Architectural Services segment, beginning in fiscal 2023, and as a result, we recorded impairment expense of $49.5 million on indefinite- and finite-lived intangible assets. During fiscal 2022, we saw inflation on raw materials and freight, which we were able to largely offset with pricing actions by the end of our fiscal fourth quarter. We also have experienced supply chain challenges during fiscal 2022 but are actively working to ensure continued supply of key materials.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 summary of results:</w:t>
      </w:r>
    </w:p>
    <w:p>
      <w:pPr>
        <w:spacing w:after="0" w:line="27" w:lineRule="exact"/>
        <w:rPr>
          <w:sz w:val="20"/>
          <w:szCs w:val="20"/>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were $1.3 billion, an increase of 7 percent from $1.2 billion in fiscal 2021.</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$22.0 million, a decrease of 14 percent from $25.5 million in the prior year.</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was $0.14, compared to $0.59 in the prior year, a decrease of 76 percent.</w:t>
      </w:r>
    </w:p>
    <w:p>
      <w:pPr>
        <w:spacing w:after="0" w:line="9" w:lineRule="exact"/>
        <w:rPr>
          <w:rFonts w:ascii="Times New Roman" w:cs="Times New Roman" w:eastAsia="Times New Roman" w:hAnsi="Times New Roman"/>
          <w:sz w:val="18"/>
          <w:szCs w:val="18"/>
          <w:color w:val="auto"/>
        </w:rPr>
      </w:pPr>
    </w:p>
    <w:p>
      <w:pPr>
        <w:ind w:left="460" w:right="20" w:hanging="331"/>
        <w:spacing w:after="0" w:line="260"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was $82.6 million, a decrease of 5 percent compared to the prior year, and adjusted diluted EPS was $2.48 in fiscal 2022, an increase of 3 percent compared to the prior year. Refer to the table below for a reconciliation to GAAP of these adjusted amounts.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4440" w:type="dxa"/>
            <w:vAlign w:val="bottom"/>
            <w:gridSpan w:val="8"/>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Information</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720" w:type="dxa"/>
            <w:vAlign w:val="bottom"/>
            <w:gridSpan w:val="12"/>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Adjusted Operating Income and Adjusted Net Earnings per Diluted Common Share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Diluted per share amounts</w:t>
            </w:r>
          </w:p>
        </w:tc>
      </w:tr>
      <w:tr>
        <w:trPr>
          <w:trHeight w:val="212"/>
        </w:trPr>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20" w:type="dxa"/>
            <w:vAlign w:val="bottom"/>
          </w:tcPr>
          <w:p>
            <w:pPr>
              <w:spacing w:after="0"/>
              <w:rPr>
                <w:sz w:val="18"/>
                <w:szCs w:val="18"/>
                <w:color w:val="auto"/>
              </w:rPr>
            </w:pPr>
          </w:p>
        </w:tc>
        <w:tc>
          <w:tcPr>
            <w:tcW w:w="296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Year-ended</w:t>
            </w:r>
          </w:p>
        </w:tc>
      </w:tr>
      <w:tr>
        <w:trPr>
          <w:trHeight w:val="21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February 27, 2021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11"/>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expense on intangible assets and goodwill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building</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equity investment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Post-acquisition and acquired project matters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6"/>
        </w:trPr>
        <w:tc>
          <w:tcPr>
            <w:tcW w:w="3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Income tax impact calculated using an estimated statutory tax rate of 25%, which reflects the estimated blended statutory tax rate for the jurisdiction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which the charge or income occurred. Income tax impact in the current year excludes the tax benefit related to the impairment expense in certain jurisdictions due to a tax valuation allowance.</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the prior year, income tax impact excludes the amount of impairment expense that is non-deductible in the applicable jurisdiction.</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operating income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and provide enhanced transparency to the investment community.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Return on average invested capital (ROIC) is a non-GAAP financial measure that we define as operating income (adjusted for certain items that are unusual in nature or whose fluctuations from period to period do not necessarily correspond to changes in the operations of the Company) after tax, divided by average invested capital. We believe this measure is useful in understanding operational performance and capital allocation over time. This measure is not calculated in accordance with GAAP. Certain information necessary to calculate this measure on a GAAP basis is dependent on future events, some of which are beyond our control, and cannot be predicted without unreasonable efforts. It is important to note that these factors could be material to Apogee’s results computed in accordance with GAAP.</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226"/>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1,313,977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1,230,774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1,387,439</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fiscal 2022 increased by 6.8 percent compared to fiscal 2021, driven by record revenue in the LSO and Architectural Services segments and growth in the Architectural Framing Systems segment, partially offset by decreased volume in the Architectural Glass Segment.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in fiscal 2021 decreased by 11.3 percent compared to fiscal 2020, reflecting end market softness and COVID-19 related volume declines in the Architectural Framing Systems, Architectural Glass and LSO segments, partially offset by increased volume in the Architectural Services segment, driven by execution of projects in backlog.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provided below.</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 of net sales)</w:t>
            </w: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6"/>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 on intangible assets and goodwill</w:t>
            </w: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2"/>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margin was 20.9 percent in fiscal 2022, a decrease of 150 basis points from fiscal 2021. This decrease was driven by $28.2 million of restructuring costs included in cost of sales incurred during fiscal 2022 related to restructuring actions announced in August 2021, as well as inflationary pressure on raw materials and freight within the Architectural Glass and Architectural Framing Systems segments. These costs were partially offset by $19.5 million of gain on sale of assets related to the sale of a manufacturing facility in the Architectural Glass segment and by positive impacts from continued recovery of the LSO segment (which closed for most of the first and second quarters of the prior year, based on COVID-related government directives).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(SG&amp;A) expense for fiscal 2022, including impairment expense on goodwill and intangible assets noted in the table above, was 19.2 percent, a decrease of 110 basis points from fiscal 2021. This was driven by a $49.4 million impairment expense taken within the Architectural Framing Systems segment during the current year compared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$70.1 million impairment expense taken within the Architectural Framing Systems segment in the prior year. In addition, we received a benefit of $4.9 million in fiscal 2022 compared to $7.4 million in fiscal 2021, as a result of a Canadian wage subsidy program offered to support Canadian business impacted by the COVID-19 pandemic, thereby offsetting cost actions that would have been taken had this subsidy not been secured.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declined by 10 basis points compared to the prior year, due to the lower average debt balance in fiscal 2022.</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2022 was 74.9 percent, compared to 31.7 percent in fiscal 2021, primarily due to the valuation allowance recorded against the tax benefit of the Sotawall impairment and the impact of certain permanent items in relation to reduced earnings in fiscal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22.4 percent in fiscal 2021, a decrease of 60 basis points from fiscal 2020. This decrease was driven by the impact from lower volumes due to end market softness and COVID-19 related project delays, partially offset by strong project execution in the Architectural Services segment.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expense for fiscal 2021 including impairment expense on goodwill and intangible assets noted in the table above, was 20.3 percent, an increase of 360 basis points from fiscal 2020. This was driven by a $70.1 million impairment expense taken within the Architectural Framing Systems segment, partially offset by a $19.3 million gain on the sale-leaseback of a building within the Large-Scale Optical segment and $7.4 million of income related to a New Markets Tax Credit transaction within the Architectural Glass segment. In addition, we received a benefit of $7.4 million in fiscal 2021, as a result of a Canadian wage subsidy program offered to support Canadian business impacted by the COVID-19 pandemic, thereby offsetting cost actions that would have been taken had this subsidy not been secured.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declined by 30 basis points compared to the prior year, due to the lower average debt balance in fiscal 2021 and a favorable one-time legal settlement impacting interest.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fiscal 2021 was 31.7 percent, compared to 22.4 percent in fiscal 2020, primarily due to nondeductible goodwill impairment in Canada and the impact of the unfavorable permanent items in relation to reduced earnings in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Architectural Framing Systems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 vs. 2020</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596,608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570,850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686,596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36,110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2022 Compared to Fiscal 2021. </w:t>
      </w:r>
      <w:r>
        <w:rPr>
          <w:rFonts w:ascii="Times New Roman" w:cs="Times New Roman" w:eastAsia="Times New Roman" w:hAnsi="Times New Roman"/>
          <w:sz w:val="18"/>
          <w:szCs w:val="18"/>
          <w:color w:val="auto"/>
        </w:rPr>
        <w:t>Net sales increased 4.5 percent, or $25.8 million, from fiscal 2021, primarily reflecting flow through from pricing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actions taken to offset inflation, partially offset by lower volume. The segment had an operating loss of $16.7 million and operating margin of (2.8) percent in fiscal 2022 compared to an operating loss of $44.8 million and operating margin of (7.8) percent in fiscal 2021, reflecting the impact of the $49.5 million and $70.1 million impairment expense and $1.7 million and $4.4 million of restructuring charges in fiscal 2022 and fiscal 2021, respectively, partially offset by the benefit of $4.9 million and $7.4 million in fiscal 2022 and 2021, respectively, from a Canadian wage subsidy program offered to Canadian businesses impacted by the COVID-19 pandemic.</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2021 Compared to Fiscal 2020. </w:t>
      </w:r>
      <w:r>
        <w:rPr>
          <w:rFonts w:ascii="Times New Roman" w:cs="Times New Roman" w:eastAsia="Times New Roman" w:hAnsi="Times New Roman"/>
          <w:sz w:val="18"/>
          <w:szCs w:val="18"/>
          <w:color w:val="auto"/>
        </w:rPr>
        <w:t>Net sales decreased 16.9 percent, or $115.7 million, from fiscal 2020, primarily reflecting lower order volume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 lead-time products and market-related project delays. The segment had an operating loss of $44.8 million and operating margin of (7.8) percent in fiscal 2021, compared to operating income of $36.1 million and operating margin of 5.3 percent in fiscal 2020, reflecting the impact of the $70.1 million impairment expense and leverage on the lower revenue, partially offset by cost reduction actions and the benefit of $7.4 million in fiscal 2021 from a Canadian wage subsidy program offered to Canadian businesses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Architectural Glass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309,241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330,256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387,191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20,760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2022 Compared to Fiscal 2021. </w:t>
      </w:r>
      <w:r>
        <w:rPr>
          <w:rFonts w:ascii="Times New Roman" w:cs="Times New Roman" w:eastAsia="Times New Roman" w:hAnsi="Times New Roman"/>
          <w:sz w:val="18"/>
          <w:szCs w:val="18"/>
          <w:color w:val="auto"/>
        </w:rPr>
        <w:t>Fiscal 2022 net sales decreased 6.4 percent, or $21.0 million, over the prior year, primarily reflecting lower volume.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margin decreased 510 basis points for the fiscal year ended 2022 compared to the prior year period, as a result of $27.1 million of restructuring costs during the current year, as well as the impact of higher material and freight costs from inflation, partially offset by $19.5 million gain on sale of a manufacturing facility in Georgia. The prior year period also included $7.4 million of income related to a New Markets Tax Credit transaction.</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2021 Compared to Fiscal 2020. </w:t>
      </w:r>
      <w:r>
        <w:rPr>
          <w:rFonts w:ascii="Times New Roman" w:cs="Times New Roman" w:eastAsia="Times New Roman" w:hAnsi="Times New Roman"/>
          <w:sz w:val="18"/>
          <w:szCs w:val="18"/>
          <w:color w:val="auto"/>
        </w:rPr>
        <w:t>Fiscal 2021 net sales decreased 14.7 percent, or $56.9 million, over fiscal 2020, due to market-related volume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declines and project delays. Operating margin increased 30 basis points for the fiscal year ended 2021 compared to fiscal 2020, as a result of $7.4 million of income related to a New Markets Tax Credit transaction, offset by the impacts of lower volume and increased costs related to the small projects growth initiative.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Architectural Services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349,386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295,807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269,140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2022 Compared to Fiscal 2021. </w:t>
      </w:r>
      <w:r>
        <w:rPr>
          <w:rFonts w:ascii="Times New Roman" w:cs="Times New Roman" w:eastAsia="Times New Roman" w:hAnsi="Times New Roman"/>
          <w:sz w:val="18"/>
          <w:szCs w:val="18"/>
          <w:color w:val="auto"/>
        </w:rPr>
        <w:t>Net sales increased 18.1 percent, or $53.6 million, compared to the prior year, driven by increased volume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executing projects in backlog. Operating margin decreased 110 basis points over the prior year, reflecting the impact of inflation and isolated performance challenges on certain projects experienced during the first quarter of fiscal 2022.</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2021 Compared to Fiscal 2020. </w:t>
      </w:r>
      <w:r>
        <w:rPr>
          <w:rFonts w:ascii="Times New Roman" w:cs="Times New Roman" w:eastAsia="Times New Roman" w:hAnsi="Times New Roman"/>
          <w:sz w:val="18"/>
          <w:szCs w:val="18"/>
          <w:color w:val="auto"/>
        </w:rPr>
        <w:t>Net sales increased 9.9 percent, or $26.7 million, compared to fiscal 2020, driven by increased volume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executing projects in backlog. Operating margin increased 170 basis points over fiscal 2020, primarily driven by improved volume leverage and strong project execution.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Large-Scale Optical Technologies (LSO)</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226"/>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101,673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70,050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87,911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31,203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22,642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2022 Compared to Fiscal 2021. </w:t>
      </w:r>
      <w:r>
        <w:rPr>
          <w:rFonts w:ascii="Times New Roman" w:cs="Times New Roman" w:eastAsia="Times New Roman" w:hAnsi="Times New Roman"/>
          <w:sz w:val="18"/>
          <w:szCs w:val="18"/>
          <w:color w:val="auto"/>
        </w:rPr>
        <w:t>Fiscal 2021 net sales increased 45.1 percent, or $31.6 million, compared to the prior year, reflecting a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favorable sales mix, as demand recovered from the impact of COVID in the prior year period. In fiscal 2021, most of the segment's customers and the segment's manufacturing operations were closed for a large part of the first and second quarters to comply with COVID-related government directives. The segment had operating margin of 23.2 percent in fiscal 2022 compared to operating margin of 44.5 percent in fiscal 2021, reflecting the impact of a $19.3 million gain on the sale-leaseback of a building recognized during the third quarter of the prior year, partially offset by the impacts of the temporary shutdown and the related lower volume.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2021 Compared to Fiscal 2020. </w:t>
      </w:r>
      <w:r>
        <w:rPr>
          <w:rFonts w:ascii="Times New Roman" w:cs="Times New Roman" w:eastAsia="Times New Roman" w:hAnsi="Times New Roman"/>
          <w:sz w:val="18"/>
          <w:szCs w:val="18"/>
          <w:color w:val="auto"/>
        </w:rPr>
        <w:t>Fiscal 2021 net sales decreased 20.3 percent, or $17.9 million, compared to fiscal 2020, as a result of the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COVID-related closure of most of the segment's customers and the segment's manufacturing locations for several months during the first half of fiscal 2021. The segment had operating margin of 44.5 percent in fiscal 2021 compared to operating margin of 25.8 percent in fiscal 2020, reflecting the impact of a $19.3 million gain on the sale-leaseback of a building recognized during the third quarter of fiscal 2021, partially offset by the impacts of the temporary shutdown and the related lower volume.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107,262</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r>
      <w:tr>
        <w:trPr>
          <w:trHeight w:val="229"/>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on sale of property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line of credit, net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9"/>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7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r>
      <w:tr>
        <w:trPr>
          <w:trHeight w:val="234"/>
        </w:trPr>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r>
    </w:tbl>
    <w:p>
      <w:pPr>
        <w:spacing w:after="0" w:line="2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$100.5 million in fiscal 2022, a decrease of $41.4 million from fiscal 2021,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reflecting a decline in net earnings during the current fiscal year and the benefit in the prior year from reduced working capital and temporary actions related to the pandemic.</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was $9.3 million in fiscal 2022, compared to net cash used by investing activities of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2021, due to an increase of $5.5 million of proceeds from property sales in fiscal 2022 compared to fiscal 2021, related to the sale of an Architectural Glass manufacturing facility in Georgia in the fourth quarter of fiscal 2022, and reduced capital expenditures by $4.3 million in fiscal 2022 compared to fiscal 2021. In fiscal 2021, we sold an LSO manufacturing facility in Illinois, and in fiscal 2020, we sold an Architectural Framing manufacturing facility in Toronto.</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Cash used by financing activities was $120.6 million in fiscal 2022, compared to $107.9 million in fiscal 2021. In fiscal 2022,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dividends totaling $20.3 million and repurchased 2,292,846 shares under our authorized share repurchase program, at a total cost of $100.0 million. We repurchased 1,177,704 shares under the program in fiscal 2021 and 686,997 shares under the program in fiscal 2020. We have repurchased a total of 9,425,462 shares, at a total cost of $307.3 million, since the 2004 inception of this program. We have remaining authority to repurchase 1,824,538 shares under this program, which has no expiration date, and we will continue to evaluate making future share repurchases, depending on our cash flow and debt levels, market conditions, including the continuing effects of the COVID-19 pandemic, and other potential uses of cash.</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26, 2022, no borrowings were outstanding under the revolving credit facility. As defined within the credit facility, we have two affirmative financial covenants which require us to stay below a maximum leverage ratio and to maintain a minimum interest expense-to-EBITDA ratio. At February 26, 2022, we were in compliance with both financial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Financing Activities. </w:t>
      </w:r>
      <w:r>
        <w:rPr>
          <w:rFonts w:ascii="Times New Roman" w:cs="Times New Roman" w:eastAsia="Times New Roman" w:hAnsi="Times New Roman"/>
          <w:sz w:val="18"/>
          <w:szCs w:val="18"/>
          <w:color w:val="auto"/>
        </w:rPr>
        <w:t>The following summarizes our significant contractual obligations that impact our liquidity as of February 26,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Payments Due by Fiscal Period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163,000</w:t>
            </w:r>
          </w:p>
        </w:tc>
      </w:tr>
      <w:tr>
        <w:trPr>
          <w:trHeight w:val="21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 (undiscounted)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55,952</w:t>
            </w:r>
          </w:p>
        </w:tc>
      </w:tr>
      <w:tr>
        <w:trPr>
          <w:trHeight w:val="21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209,247</w:t>
            </w:r>
          </w:p>
        </w:tc>
      </w:tr>
      <w:tr>
        <w:trPr>
          <w:trHeight w:val="207"/>
        </w:trPr>
        <w:tc>
          <w:tcPr>
            <w:tcW w:w="29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cash obligations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214,522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161,383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428,199</w:t>
            </w:r>
          </w:p>
        </w:tc>
      </w:tr>
      <w:tr>
        <w:trPr>
          <w:trHeight w:val="23"/>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Debt obligations in the table above include a $150.0 million term loan that matures in fiscal 2025 and $13.0 million of industrial revenue bond obligations that mature in fiscal years 2023 through 2043.</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warehouses, manufacturing equipment, office equipment, hardware, software and vehicles. While many of these operating leases have termination penalties, we consider the risk related to termination penalties to be minimal.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in the table above relate to raw material commitments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make contributions of approximately $0.7 million to our defined-benefit pension plans in fiscal 2023, which will equal or exceed our minimum funding requirements.</w:t>
      </w:r>
    </w:p>
    <w:p>
      <w:pPr>
        <w:jc w:val="both"/>
        <w:spacing w:after="0" w:line="260" w:lineRule="auto"/>
        <w:rPr>
          <w:sz w:val="20"/>
          <w:szCs w:val="20"/>
          <w:color w:val="auto"/>
        </w:rPr>
      </w:pPr>
      <w:r>
        <w:rPr>
          <w:rFonts w:ascii="Times New Roman" w:cs="Times New Roman" w:eastAsia="Times New Roman" w:hAnsi="Times New Roman"/>
          <w:sz w:val="18"/>
          <w:szCs w:val="18"/>
          <w:color w:val="auto"/>
        </w:rPr>
        <w:t>As of February 26, 2022, we had reserves of $3.3 million and $0.5 million for long-term unrecognized tax benefits and environmental liabilities, respectively. We are unable to reasonably estimate in which future periods the remaining unrecognized tax benefits will ultimately be settled.</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26, 2022, we had ongoing letters of credit of $16.4 million related to industrial revenue bonds, construction contracts and insurance collateral that expire in fiscal 2023 and reduce borrowing capacity under the revolving credit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standby letters of credit, we are required, in the ordinary course of business, to provide surety or performance bonds that commit payments to our customers for any non-performance. At February 26, 2022, $352.5 million of our backlog was bonded by performance bonds with a face value of $1.2 billion. These bonds do not have stated expiration dates, as we are released from the bonds upon completion of the contract. We have not been required to make any payments under these bonds with respect to our existing businesses.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calendar 2020, we took advantage of the option to defer remittance of the employer portion of Social Security tax as provided in the Coronavirus, Aid, Relief and Economic Security Act (CARES Act). This deferral allowed us to retain cash during calendar year 2020 that would have otherwise been remitted to the federal government. During the fourth quarter of fiscal 2022, we repaid half of the deferred tax payments in the amount of $6.8 million, with a remaining amount of $6.8 million included within accrued payroll and other benefits on our consolidated balance sheets to be repaid in calendar year 2022.</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had total cash and short-term marketable securities of $37.6 million, and $218.6 million available under our committed revolving credit facility, at February 26, 2022. We believe that cash flows from operating activities will be adequate to meet our short-term and long-term liquidity and capital expenditure needs. In addition, we believe we have the ability to obtain both short-term and long-term debt to meet our financing needs for the foreseeable future. We also believe we will continue to be in compliance with our existing debt covenants over the next fiscal year.</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no off-balance sheet arrangements at February 26, 2022 or February 27, 2021 that had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providing initial guidance for fiscal year 2023, with full year adjusted earnings expected to be in the range of $2.90 to $3.30 per diluted share. The Company expects revenue growth in fiscal 2023, led by the flow through of inflation-related pricing actions in Architectural Framing Systems. The Company forecasts full year capital expenditures of $35 to $40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within Item 8 of this Form 10-K for information pertaining to recently issued accounting pronouncements,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 following items in our consolidated financial statements to require significant estimation or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relate to over-time revenue recognition on longer-term contracts.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three businesses which operate under long-term, fixed-price contracts, representing approximately 38 percent of our total revenue in fiscal February 26, 2022.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210" w:lineRule="exact"/>
        <w:rPr>
          <w:sz w:val="20"/>
          <w:szCs w:val="20"/>
          <w:color w:val="auto"/>
        </w:rPr>
      </w:pPr>
    </w:p>
    <w:p>
      <w:pPr>
        <w:ind w:right="52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indefinite-lived intangible assets and long-lived assets </w:t>
      </w:r>
      <w:r>
        <w:rPr>
          <w:rFonts w:ascii="Times New Roman" w:cs="Times New Roman" w:eastAsia="Times New Roman" w:hAnsi="Times New Roman"/>
          <w:sz w:val="18"/>
          <w:szCs w:val="18"/>
          <w:i w:val="1"/>
          <w:iCs w:val="1"/>
          <w:u w:val="single" w:color="auto"/>
          <w:color w:val="auto"/>
        </w:rPr>
        <w:t>Goodwill</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historically evaluated goodwill for impairment annually at our year-end, or more frequently if events or changes in circumstances indicate the carrying value of the goodwill may not be recoverable. In the third quarter of fiscal 2021, we changed the date of our annual goodwill impairment test from our fiscal year-end to the first day in our fiscal fourth quarter. This change results in better alignment of the annual impairment test with our strategic and annual planning processes, and we will follow this new cadence for our annual impairment valuations going forward. This change was determined not to be material to and had no impact on our current or historical consolidated financial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During the third quarter of fiscal 2022, we combined certain reporting units to form two reporting units, following certain structural and leadership changes at the Company, specifically within the Architectural Framing Systems segment. Within this segment, as a result of integration efforts that are ongoing, leadership over our Wausau, EFCO and Sotawall reporting units were combined to form the Window and Wall Systems reporting unit, and our Linetec and Tubelite reporting units were combined to form the Storefront and Finishing Solutions reporting unit. With these organizational changes, Architectural Framing Systems segment management regularly reviews and evaluates the results of the Window and Wall Systems and Storefront and Finishing Solutions reporting units. Additionally, functional leaders in areas such as operations, sales, marketing and general and administrative areas are responsible for allocating resources and reviewing results of the Window and Wall Systems and Storefront and Finishing Solutions reporting units. The goodwill of the five individual pre-integration reporting units was aggregated to the respective combined reporting units. We evaluated goodwill on a qualitative basis prior to and subsequent to this change and concluded no adjustment to the carrying value of goodwill was necessary as a result of this change.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reporting units for our fiscal 2022 annual impairment test align with reporting segments, with the exception of our Architectural Framing Systems segment, which contains two reporting units, Window and Wall Systems and Storefront and Finishing Solutions, which represent $55.6 million and $37.6 million, of the goodwill balance at February 26, 2022,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fiscal 2022 annual impairment test, we elected to bypass the qualitative assessment process and to proceed directly to comparing the fair value of each of our reporting units to carrying value, including goodwill. If fair value exceeds the carrying value, goodwill impairment is not indicated. If the carrying amount of a reporting unit is higher than its estimated fair value, the excess is recognized as an impairment expense.</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these analyses, estimated fair value exceeded carrying value at all of our reporting units. The discounted cash flow projections used in these analyses are dependent upon achieving forecasted levels of revenue and profitability. If revenue or profitability were to fall below forecasted levels, or if market conditions were to decline in a material or sustained manner, impairment could be indicated at these or our other reporting units and we could incur non-cash impairment expense that would negatively impact our net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evaluate the reasonableness of the useful lives and test indefinite-lived intangible assets for impairment annually at the same measurement date as goodwill, the first day of our fiscal fourth quarter,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 value. If the carrying value of an indefinite-lived intangible asset exceeds its fair value, an impairment expense is recognized in an amount equal to that excess. If an impairment expense is recognized, the adjusted carrying amount becomes the asset's new accounting basis.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 In the fair value analysis, we assumed a discount rate of 12.3 percent, a royalty rate of 1.5 percent, and a long-term growth rate of 3.0 percent. Based on our annual analysis, the fair value of each of our trade names and trademarks exceeded the carrying amount, however, based on the finalization of our plans for integrating the Sotawall business into the Architectural Services segment, beginning in fiscal 2023, it was determined that the carrying value of the Sotawall trade name exceeded fair value by $12.7 million as it was determined to have an immaterial fair value as of fiscal 2022 year end. This amount was recognized as impairment expense in the fourth quarter ended February 26, 2022.</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conclude that the useful lives of our remaining indefinite-lived intangible assets is appropriate. If future revenue were to fall below forecasted levels or if market conditions were to decline in a material or sustained manner, further impairment could be indicated on these indefinite-lived intangible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Long-lived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 Due to triggering events as a result of finalization of our plans for integrating the Sotawall business into the Architectural Services segment, beginning in fiscal 2023, we determined that the finite-lived intangible assets were impaired as of February 26, 2022. As such, a long-lived asset impairment charge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$36.7 million in finite-lived intangible assets was recognized in the fourth quarter of fiscal year 2022 within the Architectural Framing Systems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disputes and claims regarding product liability, warranties and other project-related contingencies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products, some of which may be covered under our warranty policies. We have in the past and are currently subject to product liability and warranty claims, including certain legal claims related to a commercial sealant product formerly incorporated into our products. We also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make judgments regarding the potential tax effects of various financial transactions and ongoing operations to estimate our obligation to taxing authorities. These tax obligations include income, real estate, franchise and sales/use taxes. Judgments related to income taxes require the recognition in our financial statements that a tax position is more-likely-than-not to be sustained on audit.</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and estimation is required in developing the provision for income taxes and the reporting of tax-related assets and liabilities and, if necessary, any valuation allowances. The interpretation of tax laws can involve uncertainty, since tax authorities may interpret such laws differently. Actual income tax could vary from estimated amounts and may result in favorable or unfavorable impacts to net income, cash flows and tax-related assets and liabilities. In addition, the effective tax rate may be affected by other changes including the allocation of property, payroll and revenues between states.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the deferred tax assets for recoverability taking into consideration historical and anticipated earnings levels; the reversal of other existing temporary differences; available net operating losses and tax carryforwards; and available tax planning strategies that could be implemented to realize the deferred tax assets. Based on this assessment, management must evaluate the need for, and amount of, a valuation allowance against the deferred tax assets. As facts and circumstances change, adjustment to the valuation allowance may be required.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foreign currency exchange rates and raw material pricing.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a floating-to-fixed interest rate swap.</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$0.8 million. Our debt exceeded investments at February 26, 2022, so as interest rates increase, net earnings decrease; as interest rates decrease, net earnings increase.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market risk due to changes in the value of foreign currencies in relation to our reporting currency, the U.S. dollar.</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versus the U.S. dollar, will impact our reported financial results. From time to time, we enter into forward purchase foreign currency contracts, generally with an original maturity date of less than one year, to hedge foreign currency risk (refer to additional discussion within Note 4 of the Notes to Consolidated Financial Statements). Sales from our domestic operations are generally denominated in U.S. dollars.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 Pricing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as we have experienced from time to time during recent fiscal quarters, and may become more volatile in the future. Commodity costs are influenced by numerous factors beyond our control, including general economic conditions, the availability of raw materials, competition, labor costs, freight and transportation costs, production costs, import duties and other trade restrictions.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manage our exposures to the market fluctuations in the aluminum industry through fixed/floating rate swaps and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accurately calculate the pre-tax impact a one percent change in the commodity costs of aluminum and/or lumber would have on our fiscal 2023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February 26, 2022, using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The Company's management believes that, as of February 26, 2022, the Company's internal control over financial reporting was effective based on those criteria.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February 26,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Apogee Enterprises, Inc. and subsidiaries (the "Company") as of February 26, 2022 and February 27, 2021, and the related consolidated results of operations, statements of comprehensive earnings, cash flows, and shareholders' equity, for each of the three years in the period ended February 26, 2022, and the related notes (collectively referred to as the "financial statements"). In our opinion, the financial statements present fairly, in all material respects, the financial position of the Company as of February 26, 2022 and February 27, 2021, and the results of its operations and its cash flows for each of the three years in the period ended February 26, 2022, in conformity with accounting principles generally accepted in the United States of America.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February 26,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22, 2022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Sales — Revenue Recognition for Long-Term Contracts in the Architectural Services Segment — Refer to Notes 1, 2, and 15 to the consolidated financial statements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Architectural Services segment, which provides building glass and curtainwall installation services and operates under long-term, fixed-price contracts, accounted for approximately $349.4 million, or 27 percent of total net sales for the year ended February 26, 2022. The contracts for this business typically have a single, bundled performance obligation, as the business generally provides interrelated services and integrates these services into a combined output specified by the customer. The customer obtains control of this combined output, generally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estimate total costs and profit for the contract performance obligations used to recognize revenue for long-term, fixed-price contracts in the Architectural Services segment, auditing such estimates required extensive audit effort due to the complexity of long-term contracts and a high degree of auditor judgment when performing audit procedures and evaluating the results of those procedures.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ind w:left="340" w:hanging="332"/>
        <w:spacing w:after="0" w:line="243"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long-term contract revenue in the Architectural Services segment, including those over the estimates of total costs and profit for performance obligations.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34"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amount of total long-term contract revenue in the Architectural Services segment based on prior year margins applied to cost of sales in the current year and compared our expectation to the amount of long-term contract revenue ultimately recorded by management.</w:t>
      </w:r>
    </w:p>
    <w:p>
      <w:pPr>
        <w:spacing w:after="0" w:line="2" w:lineRule="exact"/>
        <w:rPr>
          <w:rFonts w:ascii="Times New Roman" w:cs="Times New Roman" w:eastAsia="Times New Roman" w:hAnsi="Times New Roman"/>
          <w:sz w:val="18"/>
          <w:szCs w:val="18"/>
          <w:color w:val="auto"/>
        </w:rPr>
      </w:pPr>
    </w:p>
    <w:p>
      <w:pPr>
        <w:ind w:left="340" w:hanging="332"/>
        <w:spacing w:after="0" w:line="234"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total costs and profit by comparing actual costs and profit to management’s historical estimates for performance obligations that have been fulfilled.</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long-term contracts from the Architectural Services segment contract portfolio and performed the following procedures:</w:t>
      </w:r>
    </w:p>
    <w:p>
      <w:pPr>
        <w:jc w:val="both"/>
        <w:ind w:left="660" w:hanging="328"/>
        <w:spacing w:after="0" w:line="229"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long-term contracts and any modifications that were agreed upon with the customers.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distinct performance obligations by evaluating whether the underlying services are highly interdependent and interrelated.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costs incurred to date for the performance obligations.</w:t>
      </w:r>
    </w:p>
    <w:p>
      <w:pPr>
        <w:ind w:left="660" w:hanging="328"/>
        <w:spacing w:after="0" w:line="234"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 of long-term contract revenue for the performance obligation.</w:t>
      </w:r>
    </w:p>
    <w:p>
      <w:pPr>
        <w:ind w:left="660" w:hanging="328"/>
        <w:spacing w:after="0" w:line="234"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total cost and profit for the performance obligations by:</w:t>
      </w:r>
    </w:p>
    <w:p>
      <w:pPr>
        <w:ind w:left="980" w:hanging="324"/>
        <w:spacing w:after="0" w:line="234" w:lineRule="auto"/>
        <w:tabs>
          <w:tab w:leader="none" w:pos="9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jc w:val="both"/>
        <w:ind w:left="980" w:hanging="324"/>
        <w:spacing w:after="0" w:line="234" w:lineRule="auto"/>
        <w:tabs>
          <w:tab w:leader="none" w:pos="97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for the selected contracts to costs and profit of similar performance obligations, when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 Window and Wall Systems Reporting Unit — Refer to Notes 1 and 6 to the consolidated financial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estimates the fair value of its reporting units using both the income approach and the market approach. The income approach uses a discounted cash flow methodology that involves significant judgment and projections of future performance, including future revenues, future operating expenses, and discount rates. Changes in these assumptions could have a significant impact on either the fair value, the amount of any goodwill impairment charge, or both. The Company’s goodwill balance was $130 million as of February 26, 2022, of which $55.6 million relates to the Window and Wall Systems reporting unit. The fair value of the Window and Wall Systems reporting unit exceeded its carrying value as of the measurement date and, therefore, no impairment was identified.</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to estimate the fair value of the Window and Wall Systems reporting unit, performing audit procedures to evaluate the reasonableness of management's estimates and assumptions related to selection of future revenues, future operating expenses, and discount rates required a high degree of auditor judgment and an increased extent of effort.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future revenues, future operating expenses, and discount rates used by management to estimate the fair value of the Window and Wall Systems reporting unit included the following, among others:</w:t>
      </w:r>
    </w:p>
    <w:p>
      <w:pPr>
        <w:spacing w:after="0" w:line="40" w:lineRule="exact"/>
        <w:rPr>
          <w:sz w:val="20"/>
          <w:szCs w:val="20"/>
          <w:color w:val="auto"/>
        </w:rPr>
      </w:pPr>
    </w:p>
    <w:p>
      <w:pPr>
        <w:ind w:left="340" w:right="100" w:hanging="332"/>
        <w:spacing w:after="0" w:line="24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reporting units, such as controls related to management's selection of future revenues, future operating expenses, and discount rates.</w:t>
      </w:r>
    </w:p>
    <w:p>
      <w:pPr>
        <w:ind w:left="340" w:right="40" w:hanging="332"/>
        <w:spacing w:after="0" w:line="229"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 w:lineRule="exact"/>
        <w:rPr>
          <w:rFonts w:ascii="Times New Roman" w:cs="Times New Roman" w:eastAsia="Times New Roman" w:hAnsi="Times New Roman"/>
          <w:sz w:val="18"/>
          <w:szCs w:val="18"/>
          <w:color w:val="auto"/>
        </w:rPr>
      </w:pPr>
    </w:p>
    <w:p>
      <w:pPr>
        <w:ind w:left="340" w:right="620" w:hanging="332"/>
        <w:spacing w:after="0" w:line="243"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results, (2) internal communications to management and the Board of Directors, (3) industry information, and (4) forecasted information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included in Company press releases as well as in analyst and industry reports of the Company.</w:t>
      </w:r>
    </w:p>
    <w:p>
      <w:pPr>
        <w:spacing w:after="0" w:line="16" w:lineRule="exact"/>
        <w:rPr>
          <w:sz w:val="20"/>
          <w:szCs w:val="20"/>
          <w:color w:val="auto"/>
        </w:rPr>
      </w:pPr>
    </w:p>
    <w:p>
      <w:pPr>
        <w:ind w:left="340" w:hanging="332"/>
        <w:spacing w:after="0" w:line="234"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and future operating expenses by comparing actual results to management’s historical forecasts.</w:t>
      </w:r>
    </w:p>
    <w:p>
      <w:pPr>
        <w:spacing w:after="0" w:line="1" w:lineRule="exact"/>
        <w:rPr>
          <w:rFonts w:ascii="Times New Roman" w:cs="Times New Roman" w:eastAsia="Times New Roman" w:hAnsi="Times New Roman"/>
          <w:sz w:val="18"/>
          <w:szCs w:val="18"/>
          <w:color w:val="auto"/>
        </w:rPr>
      </w:pPr>
    </w:p>
    <w:p>
      <w:pPr>
        <w:ind w:left="340" w:right="20" w:hanging="332"/>
        <w:spacing w:after="0" w:line="243"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allocation of the Company’s estimated fair value to its reporting units and the comparison of the Company’s estimated fair value to its market capitalization.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Apogee Enterprises, Inc. and subsidiaries (the “Company”) as of February 26,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26,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February 26, 2022, of the Company and our report dated April 22, 2022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 of allowance for doubtful accounts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175,917</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72,823</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29,497</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350,674</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298,443</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58,864</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130,053</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46,967</w:t>
            </w:r>
          </w:p>
        </w:tc>
      </w:tr>
      <w:tr>
        <w:trPr>
          <w:trHeight w:val="223"/>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1,015,099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50,125</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long-term debt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53,183</w:t>
            </w:r>
          </w:p>
        </w:tc>
      </w:tr>
      <w:tr>
        <w:trPr>
          <w:trHeight w:val="223"/>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217,552</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163,000</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48,439</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68,483</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184"/>
        </w:trPr>
        <w:tc>
          <w:tcPr>
            <w:tcW w:w="760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23,701,491 and 25,713,688 shares, respectively</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154,958</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357,243</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492,745</w:t>
            </w:r>
          </w:p>
        </w:tc>
      </w:tr>
      <w:tr>
        <w:trPr>
          <w:trHeight w:val="248"/>
        </w:trPr>
        <w:tc>
          <w:tcPr>
            <w:tcW w:w="76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1,015,099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February 27, 2021</w:t>
            </w:r>
          </w:p>
        </w:tc>
        <w:tc>
          <w:tcPr>
            <w:tcW w:w="180" w:type="dxa"/>
            <w:vAlign w:val="bottom"/>
          </w:tcPr>
          <w:p>
            <w:pPr>
              <w:spacing w:after="0"/>
              <w:rPr>
                <w:sz w:val="18"/>
                <w:szCs w:val="18"/>
                <w:color w:val="auto"/>
              </w:rPr>
            </w:pPr>
          </w:p>
        </w:tc>
        <w:tc>
          <w:tcPr>
            <w:tcW w:w="15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February 29, 2020</w:t>
            </w:r>
          </w:p>
        </w:tc>
      </w:tr>
      <w:tr>
        <w:trPr>
          <w:trHeight w:val="225"/>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1,387,439</w:t>
            </w: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1,068,480</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318,959</w:t>
            </w: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231,111</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 on goodwill and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87,848</w:t>
            </w: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w:t>
            </w: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w:t>
            </w:r>
          </w:p>
        </w:tc>
      </w:tr>
      <w:tr>
        <w:trPr>
          <w:trHeight w:val="248"/>
        </w:trPr>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26,729</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34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Year-Ended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21590</wp:posOffset>
            </wp:positionV>
            <wp:extent cx="3471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6000" w:val="left"/>
          <w:tab w:leader="none" w:pos="7840" w:val="left"/>
          <w:tab w:leader="none" w:pos="9700" w:val="left"/>
        </w:tabs>
        <w:rPr>
          <w:sz w:val="20"/>
          <w:szCs w:val="20"/>
          <w:color w:val="auto"/>
        </w:rPr>
      </w:pPr>
      <w:r>
        <w:rPr>
          <w:rFonts w:ascii="Times New Roman" w:cs="Times New Roman" w:eastAsia="Times New Roman" w:hAnsi="Times New Roman"/>
          <w:sz w:val="14"/>
          <w:szCs w:val="14"/>
          <w:i w:val="1"/>
          <w:iCs w:val="1"/>
          <w:color w:val="auto"/>
        </w:rPr>
        <w:t>(In thousands)</w:t>
      </w:r>
      <w:r>
        <w:rPr>
          <w:sz w:val="20"/>
          <w:szCs w:val="20"/>
          <w:color w:val="auto"/>
        </w:rPr>
        <w:tab/>
      </w:r>
      <w:r>
        <w:rPr>
          <w:rFonts w:ascii="Times New Roman" w:cs="Times New Roman" w:eastAsia="Times New Roman" w:hAnsi="Times New Roman"/>
          <w:sz w:val="16"/>
          <w:szCs w:val="16"/>
          <w:b w:val="1"/>
          <w:bCs w:val="1"/>
          <w:color w:val="auto"/>
        </w:rPr>
        <w:t>February 26, 2022</w:t>
      </w:r>
      <w:r>
        <w:rPr>
          <w:sz w:val="20"/>
          <w:szCs w:val="20"/>
          <w:color w:val="auto"/>
        </w:rPr>
        <w:tab/>
      </w:r>
      <w:r>
        <w:rPr>
          <w:rFonts w:ascii="Times New Roman" w:cs="Times New Roman" w:eastAsia="Times New Roman" w:hAnsi="Times New Roman"/>
          <w:sz w:val="16"/>
          <w:szCs w:val="16"/>
          <w:b w:val="1"/>
          <w:bCs w:val="1"/>
          <w:color w:val="auto"/>
        </w:rPr>
        <w:t>February 27, 2021</w:t>
      </w:r>
      <w:r>
        <w:rPr>
          <w:sz w:val="20"/>
          <w:szCs w:val="20"/>
          <w:color w:val="auto"/>
        </w:rPr>
        <w:tab/>
      </w:r>
      <w:r>
        <w:rPr>
          <w:rFonts w:ascii="Times New Roman" w:cs="Times New Roman" w:eastAsia="Times New Roman" w:hAnsi="Times New Roman"/>
          <w:sz w:val="16"/>
          <w:szCs w:val="16"/>
          <w:b w:val="1"/>
          <w:bCs w:val="1"/>
          <w:color w:val="auto"/>
        </w:rPr>
        <w:t>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520" w:right="980" w:hanging="161"/>
        <w:spacing w:after="0" w:line="234" w:lineRule="auto"/>
        <w:rPr>
          <w:sz w:val="20"/>
          <w:szCs w:val="20"/>
          <w:color w:val="auto"/>
        </w:rPr>
      </w:pPr>
      <w:r>
        <w:rPr>
          <w:rFonts w:ascii="Times New Roman" w:cs="Times New Roman" w:eastAsia="Times New Roman" w:hAnsi="Times New Roman"/>
          <w:sz w:val="18"/>
          <w:szCs w:val="18"/>
          <w:color w:val="auto"/>
        </w:rPr>
        <w:t>Unrealized (loss) gain on marketable securities, net of $(96), $22 and $67 of tax (benefit) expense, respectively</w:t>
      </w:r>
    </w:p>
    <w:p>
      <w:pPr>
        <w:spacing w:after="0" w:line="10" w:lineRule="exact"/>
        <w:rPr>
          <w:sz w:val="20"/>
          <w:szCs w:val="20"/>
          <w:color w:val="auto"/>
        </w:rPr>
      </w:pPr>
    </w:p>
    <w:p>
      <w:pPr>
        <w:ind w:left="360" w:right="780"/>
        <w:spacing w:after="0" w:line="237" w:lineRule="auto"/>
        <w:rPr>
          <w:sz w:val="20"/>
          <w:szCs w:val="20"/>
          <w:color w:val="auto"/>
        </w:rPr>
      </w:pPr>
      <w:r>
        <w:rPr>
          <w:rFonts w:ascii="Times New Roman" w:cs="Times New Roman" w:eastAsia="Times New Roman" w:hAnsi="Times New Roman"/>
          <w:sz w:val="18"/>
          <w:szCs w:val="18"/>
          <w:color w:val="auto"/>
        </w:rPr>
        <w:t>Unrealized gain (loss) on foreign currency hedge, net of $633, $450 and $(129) of tax expense (benefit), respectively</w:t>
      </w:r>
    </w:p>
    <w:p>
      <w:pPr>
        <w:ind w:left="360"/>
        <w:spacing w:after="0" w:line="237" w:lineRule="auto"/>
        <w:rPr>
          <w:sz w:val="20"/>
          <w:szCs w:val="20"/>
          <w:color w:val="auto"/>
        </w:rPr>
      </w:pPr>
      <w:r>
        <w:rPr>
          <w:rFonts w:ascii="Times New Roman" w:cs="Times New Roman" w:eastAsia="Times New Roman" w:hAnsi="Times New Roman"/>
          <w:sz w:val="18"/>
          <w:szCs w:val="18"/>
          <w:color w:val="auto"/>
        </w:rPr>
        <w:t>Unrealized gain (loss) on pension obligation, net of $117, $32 and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of tax expense (benefit), respectively</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3,486</w:t>
            </w: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61,914</w:t>
            </w:r>
          </w:p>
        </w:tc>
      </w:tr>
      <w:tr>
        <w:trPr>
          <w:trHeight w:val="643"/>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41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2,074</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41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382</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2"/>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bl>
    <w:p>
      <w:pPr>
        <w:spacing w:after="0" w:line="1" w:lineRule="exact"/>
        <w:rPr>
          <w:sz w:val="20"/>
          <w:szCs w:val="20"/>
          <w:color w:val="auto"/>
        </w:rPr>
      </w:pPr>
    </w:p>
    <w:p>
      <w:pPr>
        <w:sectPr>
          <w:pgSz w:w="11900" w:h="16838" w:orient="portrait"/>
          <w:cols w:equalWidth="0" w:num="2">
            <w:col w:w="6320" w:space="720"/>
            <w:col w:w="4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(1,935)</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59,979</w:t>
            </w:r>
          </w:p>
        </w:tc>
      </w:tr>
      <w:tr>
        <w:trPr>
          <w:trHeight w:val="21"/>
        </w:trPr>
        <w:tc>
          <w:tcPr>
            <w:tcW w:w="5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Year-Ended</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February 27, 2021</w:t>
            </w:r>
          </w:p>
        </w:tc>
        <w:tc>
          <w:tcPr>
            <w:tcW w:w="16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February 29, 2020</w:t>
            </w:r>
          </w:p>
        </w:tc>
        <w:tc>
          <w:tcPr>
            <w:tcW w:w="0" w:type="dxa"/>
            <w:vAlign w:val="bottom"/>
          </w:tcPr>
          <w:p>
            <w:pPr>
              <w:spacing w:after="0"/>
              <w:rPr>
                <w:sz w:val="1"/>
                <w:szCs w:val="1"/>
                <w:color w:val="auto"/>
              </w:rPr>
            </w:pPr>
          </w:p>
        </w:tc>
      </w:tr>
      <w:tr>
        <w:trPr>
          <w:trHeight w:val="225"/>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61,914</w:t>
            </w: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earnings to net cash provided by operating</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 on property, plant and equipment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expense on goodwill and intangible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29"/>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107,262</w:t>
            </w:r>
          </w:p>
        </w:tc>
        <w:tc>
          <w:tcPr>
            <w:tcW w:w="0" w:type="dxa"/>
            <w:vAlign w:val="bottom"/>
          </w:tcPr>
          <w:p>
            <w:pPr>
              <w:spacing w:after="0"/>
              <w:rPr>
                <w:sz w:val="1"/>
                <w:szCs w:val="1"/>
                <w:color w:val="auto"/>
              </w:rPr>
            </w:pPr>
          </w:p>
        </w:tc>
      </w:tr>
      <w:tr>
        <w:trPr>
          <w:trHeight w:val="21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(47,038)</w:t>
            </w: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(406,500)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(74,514)</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Stock Held in</w:t>
            </w:r>
          </w:p>
        </w:tc>
        <w:tc>
          <w:tcPr>
            <w:tcW w:w="10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22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Trust</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80" w:type="dxa"/>
            <w:vAlign w:val="bottom"/>
          </w:tcPr>
          <w:p>
            <w:pPr>
              <w:spacing w:after="0"/>
              <w:rPr>
                <w:sz w:val="15"/>
                <w:szCs w:val="15"/>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2019</w:t>
            </w: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27,015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151,842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367,597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(32,127)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496,317</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61,914</w:t>
            </w: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$67 tax</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foreign currency hedge, net of $129</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loss on pension obligation, net of $124 tax</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6,607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(25,140)</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($0.7125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(18,714)</w:t>
            </w:r>
          </w:p>
        </w:tc>
        <w:tc>
          <w:tcPr>
            <w:tcW w:w="0" w:type="dxa"/>
            <w:vAlign w:val="bottom"/>
          </w:tcPr>
          <w:p>
            <w:pPr>
              <w:spacing w:after="0"/>
              <w:rPr>
                <w:sz w:val="1"/>
                <w:szCs w:val="1"/>
                <w:color w:val="auto"/>
              </w:rPr>
            </w:pPr>
          </w:p>
        </w:tc>
      </w:tr>
      <w:tr>
        <w:trPr>
          <w:trHeight w:val="17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29, 2020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26,443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154,016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388,010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(34,062)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516,778</w:t>
            </w:r>
          </w:p>
        </w:tc>
        <w:tc>
          <w:tcPr>
            <w:tcW w:w="0" w:type="dxa"/>
            <w:vAlign w:val="bottom"/>
          </w:tcPr>
          <w:p>
            <w:pPr>
              <w:spacing w:after="0"/>
              <w:rPr>
                <w:sz w:val="1"/>
                <w:szCs w:val="1"/>
                <w:color w:val="auto"/>
              </w:rPr>
            </w:pPr>
          </w:p>
        </w:tc>
      </w:tr>
      <w:tr>
        <w:trPr>
          <w:trHeight w:val="194"/>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0" w:type="dxa"/>
            <w:vAlign w:val="bottom"/>
          </w:tcPr>
          <w:p>
            <w:pPr>
              <w:spacing w:after="0"/>
              <w:rPr>
                <w:sz w:val="1"/>
                <w:szCs w:val="1"/>
                <w:color w:val="auto"/>
              </w:rPr>
            </w:pPr>
          </w:p>
        </w:tc>
      </w:tr>
      <w:tr>
        <w:trPr>
          <w:trHeight w:val="135"/>
        </w:trPr>
        <w:tc>
          <w:tcPr>
            <w:tcW w:w="3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marketable securities, net of $22 tax</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foreign currency hedge, net of $450</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pension obligation, net of $32 tax</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8,573</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(32,878)</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($0.7625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(19,601)</w:t>
            </w:r>
          </w:p>
        </w:tc>
        <w:tc>
          <w:tcPr>
            <w:tcW w:w="0" w:type="dxa"/>
            <w:vAlign w:val="bottom"/>
          </w:tcPr>
          <w:p>
            <w:pPr>
              <w:spacing w:after="0"/>
              <w:rPr>
                <w:sz w:val="1"/>
                <w:szCs w:val="1"/>
                <w:color w:val="auto"/>
              </w:rPr>
            </w:pPr>
          </w:p>
        </w:tc>
      </w:tr>
      <w:tr>
        <w:trPr>
          <w:trHeight w:val="17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27, 2021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25,714</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154,958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357,243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(28,027)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492,745</w:t>
            </w:r>
          </w:p>
        </w:tc>
        <w:tc>
          <w:tcPr>
            <w:tcW w:w="0" w:type="dxa"/>
            <w:vAlign w:val="bottom"/>
          </w:tcPr>
          <w:p>
            <w:pPr>
              <w:spacing w:after="0"/>
              <w:rPr>
                <w:sz w:val="1"/>
                <w:szCs w:val="1"/>
                <w:color w:val="auto"/>
              </w:rPr>
            </w:pPr>
          </w:p>
        </w:tc>
      </w:tr>
      <w:tr>
        <w:trPr>
          <w:trHeight w:val="194"/>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0" w:type="dxa"/>
            <w:vAlign w:val="bottom"/>
          </w:tcPr>
          <w:p>
            <w:pPr>
              <w:spacing w:after="0"/>
              <w:rPr>
                <w:sz w:val="1"/>
                <w:szCs w:val="1"/>
                <w:color w:val="auto"/>
              </w:rPr>
            </w:pPr>
          </w:p>
        </w:tc>
      </w:tr>
      <w:tr>
        <w:trPr>
          <w:trHeight w:val="135"/>
        </w:trPr>
        <w:tc>
          <w:tcPr>
            <w:tcW w:w="3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marketable securities, net of $96 tax</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foreign currency hedge, net of $633</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pension obligation, net of $117 tax</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6,293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(100,414)</w:t>
            </w:r>
          </w:p>
        </w:tc>
        <w:tc>
          <w:tcPr>
            <w:tcW w:w="0" w:type="dxa"/>
            <w:vAlign w:val="bottom"/>
          </w:tcPr>
          <w:p>
            <w:pPr>
              <w:spacing w:after="0"/>
              <w:rPr>
                <w:sz w:val="1"/>
                <w:szCs w:val="1"/>
                <w:color w:val="auto"/>
              </w:rPr>
            </w:pPr>
          </w:p>
        </w:tc>
      </w:tr>
      <w:tr>
        <w:trPr>
          <w:trHeight w:val="182"/>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($0.8200 per share)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0" w:type="dxa"/>
            <w:vAlign w:val="bottom"/>
          </w:tcPr>
          <w:p>
            <w:pPr>
              <w:spacing w:after="0"/>
              <w:rPr>
                <w:sz w:val="1"/>
                <w:szCs w:val="1"/>
                <w:color w:val="auto"/>
              </w:rPr>
            </w:pPr>
          </w:p>
        </w:tc>
      </w:tr>
      <w:tr>
        <w:trPr>
          <w:trHeight w:val="18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7,901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Related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 Tax Credit transactions as it has been determined that the Company is the primary beneficiary of those entities' operations (refer to Note 10 for more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fiscal year ends on the Saturday closest to the last day of February, or as determined by the Board of Directors. Fiscal 2022, 2021 and 2020 each consisted of 52 weeks.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reclassifications of amounts previously reported have been made to the accompanying consolidated statements of cash flows to conform to current year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Highly liquid investments with an original maturity of three months or less are included in cash equivalents and are stated at cost, which approximates fair value.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the amortized cost basis of the available-for-sale securities exceeds the fair value, the Company assesses the debt securities for credit loss. When assessing the risk of credit loss, the Company considers factors such as the severity and the reason of the decline in value, such as any changes to the rating of the security by a rating agency or other adverse conditions specifically related to the security, and management's intended holding period and time horizon for selling. During fiscal 2022, 2021, and 2020, the Company did not recognize any credit losses related to its available-for-sale securities. Further, as of February 26, 2022 and February 27, 2021, the Company did not record an allowance for credit losses related to its available-for-sale securities. Marketable securities are included in other current and non-current assets on the consolidated balance sheets and gross realized gains and losses are included in other income (expense), net in our consolidated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which consist primarily of purchased glass and aluminum, are valued at lower of cost or market using the first-in, first-out (FIFO) method.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is computed on a straight-line basis, based on estimated useful lives of 10 to 25 years for buildings and improvements; 3 to 10 years for machinery and equipment; and 3 to 7 years for office equipment and furniture.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or asset groups, including finite-lived intangible assets ("intangible assets") subject to amortization and property and equipment, are reviewed for impairment whenever events or changes in circumstances such as asset utilization, physical change, legal factors or other matters indicate that the carrying value of those assets may not be recoverable. When this review indicates the carrying value of an asset or asset group exceeds the sum of the undiscounted cash flows expected to result from the use and eventual disposition of the asset or asset group, an asset impairment expense is recognized in earnings in the period such a determination is made. The amount of the impairment expense recorded is the amount by which the carrying value of the impaired asset or asset group exceeds its fair value based on discounted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2022, an impairment of $3.0 million was recognized within other (expense) income within the consolidated results of operations related to a minority equity investment held by the Company which represents a write-down of the entire investment in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based on the finalization of our plans for integrating the Sotawall business into the Architectural Services segment, beginning in fiscal 2023, we determined that the finite-lived intangible assets were impaired as of February 26, 2022. As such, a long-lived asset impairment charge of $36.7 million in finite-lived intangible assets was recognized in the fourth quarter of fiscal year 2022 within the Architectural Framing Systems segment. As a result of restructuring plans announced during the second quarter of fiscal 2022, asset impairments on property plant and equipment and leases in the amount of $21.5 million were recorded for the year ended February 26,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identified intangible assets of acquired businesses. We have historically evaluated goodwill for impairment annually at our year-end, or more frequently if events or changes in circumstances indicate the carrying value of the goodwill may not be recoverable. In the third quarter of fiscal 2021, we changed the date of our annual goodwill impairment testing from our fiscal year-end to the first day in our fiscal fourth quarter. This change results in better alignment of the annual impairment test with our strategic and annual planning processes. This change was determined to not be material to and had no impact on our current or historical consolidated financial statements.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segment management on a regular basis. During the third quarter of fiscal 2022, we combined certain reporting units to form two reporting units, following certain structural and leadership changes at the Company, specifically within the Architectural Framing Systems segment. Within this segment, as a result of integration efforts that are ongoing, leadership over our Wausau, EFCO and Sotawall reporting units were combined to form the Window and Wall Systems reporting unit, and our Linetec and Tubelite reporting units were combined to form the Storefront and Finishing Solutions reporting unit. With these organizational changes, Architectural Framing Systems segment management regularly reviews and evaluates the results of the Window and Wall Systems and Storefront and Finishing Solutions reporting units. Additionally, functional leaders in areas such as operations, sales, marketing and general and administrative areas are responsible for allocating resources and reviewing results of the Window and Wall Systems and Storefront and Finishing Solutions reporting units. The goodwill of the five individual pre-integration reporting units was aggregated to the respective combined reporting units. We evaluated goodwill on a qualitative basis prior to and subsequent to this change and concluded no adjustment to the carrying value of goodwill was necessary as a result of this change. With the above noted changes, our reporting units for our fiscal 2022 annual impairment test were determined to be Window and Wall Systems, Storefront and Finishing Solutions, Viracon, Harmon and Tru Vue.</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estimate the fair value of a reporting unit using both the income approach and the market approach. The income approach uses a discounted cash flow methodology that involves significant judgment and projections of future performance. Assumptions about future revenues and future operating expenses, capital expenditures and changes in working capital are based on the annual operating plan and other business plans for each reporting unit. These plans take into consideration numerous factors, including historical experience, current and future operational plans, anticipated future economic conditions and growth expectations for the industries and end markets in which we participate. These projections are discounted using a weighted-average cost of capital, which considers the risk inherent in our projections of future cash flows. We determine the weighted-average cost of capital for this analysis by weighting the required returns on interest bearing debt and common equity capital in proportion to their estimated percentages in an expected capital structure, using published data where possible. We used discount rates that are commensurate with the risks and uncertainties inherent in the respective businesses and in the internally developed forecasts. The market approach uses a multiple of earnings and revenue based on guidelines for publicly traded companies.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Intangible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If the carrying amount of an indefinite-lived intangible asset exceeds its fair value, an impairment expense is recognized in an amount equal to that excess. If an impairment expense is recognized, the adjusted carrying amount becomes the asset's new accounting basis.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Fair value of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future revenue from the related asset, the appropriate royalty rate, and the weighted average cost of capital. The assessment of fair value involves significant judgment and projections about future performance.</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based on estimated useful lives ranging from 18 months to 30 years and are reviewed for impairment whenever events or changes in circumstances indicate that the carrying amount may not be recoverable.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of all intangible assets are reviewed annually, and we have determined that the remaining lives were appropriate.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March 3, 2019, we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results in recognizing a right-of-use asset and lease liability on our consolidated balance sheet at lease commencement for leases with terms greater than twelve months. The initial lease liability is recognized at the present value of remaining lease payments over the lease term. Leases with an initial term of twelve months or less are not recorded on our consolidated balance sheet. We recognize lease expense for operating leases on a straight-line basis over the lease term. We combine lease and non-lease components, such as common area maintenance costs, in calculating the related asset and lease liabilities for all underlying asset groups. Refer to additional information in Note 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non-current self-insurance reserves based on expectations of when the estimated loss will be paid.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maintain a self-insurance reserve for health insurance programs offered to eligible employees, included within other current liabilities on the consolidated balance sheets. The reserve includes an estimate for losses on reported claims as well as for amounts incurred but not yet reported, based on historical trends.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 Reserves are included in other current and non-current liabilities based on the estimated timing of dispute resolution.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 activities</w:t>
      </w:r>
    </w:p>
    <w:p>
      <w:pPr>
        <w:spacing w:after="0" w:line="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are exposed to, among other risks, the impact of changes in aluminum prices, foreign currency exchange rates, and interest rates in the normal course of business. In order to manage the exposure and volatility arising from these risks, we utilize derivative financial instruments to offset a portion of these risks. We use derivative financial instruments only to the extent necessary to hedge identified business risks, and do not hold or issue derivative financial instruments for trading purposes and are not a party to leveraged derivatives.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derivative instruments within the scope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are recorded as either assets or liabilities at fair value on the consolidated balance sheets. All hedging instruments that qualify for hedge accounting are designated and effective as hedges with changes recognized in other comprehensive earnings (loss). Instruments that do not qualify for hedge accounting are marked to market with changes recognized in current earnings. Cash flows from derivative instruments are classified in the statements of cash flows in the same category as the cash flows from the items subject to designated hedge or undesignated (economic) hedge relationships. Please refer to Note 4 for further disclosure on derivatives.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significant accounting policy for revenue recognition follows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approximately 42 percent of our total revenue is recognized at the time products are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three businesses which operate under long-term, fixed-price contracts, representing approximately 38 percent of our total revenue in the current year.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these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most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we have one business, making up approximately 20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have made the following policy elections associated with revenue recognition:</w:t>
      </w:r>
    </w:p>
    <w:p>
      <w:pPr>
        <w:spacing w:after="0" w:line="27" w:lineRule="exact"/>
        <w:rPr>
          <w:sz w:val="20"/>
          <w:szCs w:val="20"/>
          <w:color w:val="auto"/>
        </w:rPr>
      </w:pP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shipping and handling activities that occur after control of the related goods transfers to the customer as fulfillment activities, instead of assessing such activities as performance obligations.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the transaction price all sales taxes related to revenue-producing transactions that are collected from the customer for a government authority. We are considered a pass-through conduit for collecting and remitting sales taxes.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contract price for a significant financing component, as we expect the period between when our goods and services are transferred to the customer and when the customer pays for those goods and services to be less than a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Amounts billed to a customer in a sales transaction related to shipping and handling are reported as revenue. Costs we incur for shipping and handling are reported as cost of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Framing Systems segment, and within the Corporate office. The actions associated with this announced plan continued through fiscal 2022 and are expected be substantially completed in the first quarter of fiscal 2023. Refer to additional information in Note 16.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were $17.3 million, $15.3 million and $16.6 million for fiscal 2022, 2021 and 2020, respectively. Of these amounts, $9.5 million, $9.9 million and $8.0 million, respectively, were focused primarily upon design of custom window and curtainwall systems in accordance with customer specifications and are included in cost of sales. The remainder of the expense is included within selling, general and administrative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Advertising costs are expensed as incurred within selling, general and administrative expenses, and were $1.2 million in fiscal 2022, $1.1 million in fiscal 2021 and $1.4 million in fiscal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upon the future tax consequences of temporary differences between financial statement carrying amounts of assets and liabilities and their respective tax bases. See Note 13 for additional information regarding income taxes.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Subsequent to the end of the year, we purchased 1,571,139 shares of stock under our authorized share repurchase program, at a total cost of $74.3 million.</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in the first quarter of fiscal 2023, based on the Company's planned integration of Sotawall into the Architectural Services segment, the Company expects that the results of the Sotawall business will be reported as part of the Architectural Services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At the beginning of fiscal 2022, we adopted the guidance in ASU 2019-12, Income Taxes (Topic 740):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the beginning of fiscal 2022, we adopted the guidance in ASU 2020-04, Reference Rate Reform (Topic 848): </w:t>
      </w:r>
      <w:r>
        <w:rPr>
          <w:rFonts w:ascii="Times New Roman" w:cs="Times New Roman" w:eastAsia="Times New Roman" w:hAnsi="Times New Roman"/>
          <w:sz w:val="18"/>
          <w:szCs w:val="18"/>
          <w:i w:val="1"/>
          <w:iCs w:val="1"/>
          <w:color w:val="auto"/>
        </w:rPr>
        <w:t>Facilitation of the Effects of 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 Reform on Financial Reporting</w:t>
      </w:r>
      <w:r>
        <w:rPr>
          <w:rFonts w:ascii="Times New Roman" w:cs="Times New Roman" w:eastAsia="Times New Roman" w:hAnsi="Times New Roman"/>
          <w:sz w:val="18"/>
          <w:szCs w:val="18"/>
          <w:color w:val="auto"/>
        </w:rPr>
        <w:t>. The amendments in this ASU apply only to contracts, hedging relationships, and other transactions that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or another reference rate expected to be discontinued because of reference rate reform. The adoption of this ASU did not have a significant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15 for disclosure of revenue by segment):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February 27, 2021</w:t>
            </w:r>
          </w:p>
        </w:tc>
        <w:tc>
          <w:tcPr>
            <w:tcW w:w="180" w:type="dxa"/>
            <w:vAlign w:val="bottom"/>
          </w:tcPr>
          <w:p>
            <w:pPr>
              <w:spacing w:after="0"/>
              <w:rPr>
                <w:sz w:val="18"/>
                <w:szCs w:val="18"/>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February 29, 2020</w:t>
            </w:r>
          </w:p>
        </w:tc>
      </w:tr>
      <w:tr>
        <w:trPr>
          <w:trHeight w:val="22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610,049</w:t>
            </w: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777,390</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1,387,439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45,167</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177,864</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175,917</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deductions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74,664</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contract assets and contract liabilities was due to timing of project activity from businesses that operate under long-term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16,341</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February 26, 2022, the transaction price associated with unsatisfied performance obligations was approximately $789.8 million. The performance obligations are expected to be satisfied, and the corresponding revenue to be recognized, over the following estimated time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0" w:type="dxa"/>
            <w:vAlign w:val="bottom"/>
          </w:tcPr>
          <w:p>
            <w:pPr>
              <w:spacing w:after="0"/>
              <w:rPr>
                <w:sz w:val="1"/>
                <w:szCs w:val="1"/>
                <w:color w:val="auto"/>
              </w:rPr>
            </w:pPr>
          </w:p>
        </w:tc>
      </w:tr>
      <w:tr>
        <w:trPr>
          <w:trHeight w:val="22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518,213</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Within two years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213,531</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789,824</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Supplemental Balance Sheet Information</w:t>
            </w: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6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4"/>
                <w:szCs w:val="24"/>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72,823</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4"/>
                <w:szCs w:val="24"/>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project losses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payroll taxes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Gross Unrealized Gains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Gross Unrealized Losses</w:t>
            </w:r>
          </w:p>
        </w:tc>
        <w:tc>
          <w:tcPr>
            <w:tcW w:w="160" w:type="dxa"/>
            <w:vAlign w:val="bottom"/>
          </w:tcPr>
          <w:p>
            <w:pPr>
              <w:spacing w:after="0"/>
              <w:rPr>
                <w:sz w:val="18"/>
                <w:szCs w:val="18"/>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Estimated Fair Value</w:t>
            </w:r>
          </w:p>
        </w:tc>
      </w:tr>
      <w:tr>
        <w:trPr>
          <w:trHeight w:val="227"/>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26, 2022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2021</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12,893</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values of our municipal and corporate bonds at February 26, 2022, by contractual maturity, are shown below. Expected maturities may differ from contractual maturities, as borrowers may have the right to call or prepay obligations with or without penalty. Gross realized gains and losses were insignificant for all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beyond 15 years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use interest rate swaps, currency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a portion of our exposure to variability in cash flows from interest payments on our floating-rate revolving credit facility and term loan facility. As of February 26, 2022, the interest rate swap contract had a notional value of $30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to manage the risk associated with fluctuations in foreign currency rates (primarily related to the Canadian dollar and Euro) and aluminum prices, generally with an original maturity date of less than one year. As of February 26, 2022, we held foreign exchange forward contracts and aluminum purchase contracts with U.S. dollar notional values of $13.7 million and $7.9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80" w:type="dxa"/>
            <w:vAlign w:val="bottom"/>
          </w:tcPr>
          <w:p>
            <w:pPr>
              <w:spacing w:after="0"/>
              <w:rPr>
                <w:sz w:val="16"/>
                <w:szCs w:val="16"/>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 Observable</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19,288</w:t>
            </w:r>
          </w:p>
        </w:tc>
        <w:tc>
          <w:tcPr>
            <w:tcW w:w="0" w:type="dxa"/>
            <w:vAlign w:val="bottom"/>
          </w:tcPr>
          <w:p>
            <w:pPr>
              <w:spacing w:after="0"/>
              <w:rPr>
                <w:sz w:val="1"/>
                <w:szCs w:val="1"/>
                <w:color w:val="auto"/>
              </w:rPr>
            </w:pPr>
          </w:p>
        </w:tc>
      </w:tr>
      <w:tr>
        <w:trPr>
          <w:trHeight w:val="21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Municipal and corporate bonds</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11,784</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surrender value of life insurance</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17,831</w:t>
            </w:r>
          </w:p>
        </w:tc>
        <w:tc>
          <w:tcPr>
            <w:tcW w:w="0" w:type="dxa"/>
            <w:vAlign w:val="bottom"/>
          </w:tcPr>
          <w:p>
            <w:pPr>
              <w:spacing w:after="0"/>
              <w:rPr>
                <w:sz w:val="1"/>
                <w:szCs w:val="1"/>
                <w:color w:val="auto"/>
              </w:rPr>
            </w:pPr>
          </w:p>
        </w:tc>
      </w:tr>
      <w:tr>
        <w:trPr>
          <w:trHeight w:val="21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Aluminum hedging contract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compensation</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0" w:type="dxa"/>
            <w:vAlign w:val="bottom"/>
          </w:tcPr>
          <w:p>
            <w:pPr>
              <w:spacing w:after="0"/>
              <w:rPr>
                <w:sz w:val="1"/>
                <w:szCs w:val="1"/>
                <w:color w:val="auto"/>
              </w:rPr>
            </w:pPr>
          </w:p>
        </w:tc>
      </w:tr>
      <w:tr>
        <w:trPr>
          <w:trHeight w:val="21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Foreign currency forward/option contract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27, 2021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26,034</w:t>
            </w:r>
          </w:p>
        </w:tc>
        <w:tc>
          <w:tcPr>
            <w:tcW w:w="0" w:type="dxa"/>
            <w:vAlign w:val="bottom"/>
          </w:tcPr>
          <w:p>
            <w:pPr>
              <w:spacing w:after="0"/>
              <w:rPr>
                <w:sz w:val="1"/>
                <w:szCs w:val="1"/>
                <w:color w:val="auto"/>
              </w:rPr>
            </w:pPr>
          </w:p>
        </w:tc>
      </w:tr>
      <w:tr>
        <w:trPr>
          <w:trHeight w:val="21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Municipal and corporate bonds</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surrender value of life insurance</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0" w:type="dxa"/>
            <w:vAlign w:val="bottom"/>
          </w:tcPr>
          <w:p>
            <w:pPr>
              <w:spacing w:after="0"/>
              <w:rPr>
                <w:sz w:val="1"/>
                <w:szCs w:val="1"/>
                <w:color w:val="auto"/>
              </w:rPr>
            </w:pPr>
          </w:p>
        </w:tc>
      </w:tr>
      <w:tr>
        <w:trPr>
          <w:trHeight w:val="21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Foreign currency forward/option contract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Aluminum hedging contract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compensation</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0" w:type="dxa"/>
            <w:vAlign w:val="bottom"/>
          </w:tcPr>
          <w:p>
            <w:pPr>
              <w:spacing w:after="0"/>
              <w:rPr>
                <w:sz w:val="1"/>
                <w:szCs w:val="1"/>
                <w:color w:val="auto"/>
              </w:rPr>
            </w:pPr>
          </w:p>
        </w:tc>
      </w:tr>
      <w:tr>
        <w:trPr>
          <w:trHeight w:val="210"/>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non-qualified pension and deferred compensation plans are held in trust. Cash surrender value of the contracts is based on performance measurement funds that shadow the deferral investment allocations made by these participants.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 is measured at fair value using unobservable market inputs, based off benchmark interest rates. Forward foreign exchange and forward purchase aluminum contracts are measured at fair value using unobservable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 Fair value measurements for long-lived assets or asset groups, including intangible assets subject to amortization, property and equipment and right-of-use lease assets, are valued using undiscounted cash flows to determine whether impairment exists and measure any impairment loss using discounted cash flows to determine the fair value of long-lived assets.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and Note 6 for additional information on the impairment charges recorded to goodwill, indefinite- and finite-lived intangible assets during the fourth quarter of fiscal 2022 and 2021. See Note 16 for additional information on the impairment charges recorded to property, plant and equipment during fiscal 2022.</w:t>
      </w:r>
    </w:p>
    <w:p>
      <w:pPr>
        <w:spacing w:after="0" w:line="19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204,660</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425,525</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68,516</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716,058</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417,615</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298,443</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$42.2 million, $43.9 million, and $36.1 million in fiscal 2022, 2021, and 2020,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to the consolidated financial statements for a description of the Accounting Policy related to Goodwill.</w:t>
      </w:r>
    </w:p>
    <w:p>
      <w:pPr>
        <w:spacing w:after="0" w:line="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identified intangible assets of acquired businesses. We evaluate goodwill for impairment annually as of the first day of our fiscal fourth quarter, or more frequently if events or changes in circumstances indicate the carrying value of goodwill may not be recoverable. Based on the impairment analysis performed in the fourth quarter, estimated fair value was in excess of carrying value at all of our reporting units. At the end of the prior year ended February 27, 2021, we incurred goodwill impairment expense of $46.7 million and $17.1 million in our EFCO and Sotawall reporting units, respectively, which represents the total accumulated goodwill impairment expenses recorded as of February 26,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reporting segment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Large-Scale</w:t>
            </w: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Optical</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29,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185,516</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400" w:firstLine="8"/>
        <w:spacing w:after="0" w:line="210"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During the first quarter of fiscal 2021,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annual analysis, the fair value of each of our trade names and trademarks exceeded the carrying amount, however, as a result of triggering events resulting from the finalization of our plans for integrating the Sotawall business into the Architectural Services segment, beginning in fiscal 2023, it was determined that the carrying value of the Sotawall trade name exceeded fair value by $12.7 million as it was determined to have an immaterial fair value, resulting in the trade name being fully impaired as of fiscal 2022 year end. This amount was recognized as impairment expense in the fourth quarter ended February 26,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 Due to triggering events as a result of finalization of our plans for integrating the Sotawall business into the Architectural Services segment, beginning in fiscal 2023, we determined that the finite-lived intangible assets were impaired as of February 26, 2022. As such, a long-lived asset impairment charge of $36.7 million in finite-lived intangible assets was recognized in the fourth quarter of fiscal year 2022 within the Architectural Framing Systems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9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0" w:type="dxa"/>
            <w:vAlign w:val="bottom"/>
          </w:tcPr>
          <w:p>
            <w:pPr>
              <w:spacing w:after="0"/>
              <w:rPr>
                <w:sz w:val="1"/>
                <w:szCs w:val="1"/>
                <w:color w:val="auto"/>
              </w:rPr>
            </w:pPr>
          </w:p>
        </w:tc>
      </w:tr>
      <w:tr>
        <w:trPr>
          <w:trHeight w:val="223"/>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27, 2021</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82,519</w:t>
            </w:r>
          </w:p>
        </w:tc>
        <w:tc>
          <w:tcPr>
            <w:tcW w:w="0" w:type="dxa"/>
            <w:vAlign w:val="bottom"/>
          </w:tcPr>
          <w:p>
            <w:pPr>
              <w:spacing w:after="0"/>
              <w:rPr>
                <w:sz w:val="1"/>
                <w:szCs w:val="1"/>
                <w:color w:val="auto"/>
              </w:rPr>
            </w:pPr>
          </w:p>
        </w:tc>
      </w:tr>
      <w:tr>
        <w:trPr>
          <w:trHeight w:val="229"/>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90,221</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0" w:type="dxa"/>
            <w:vAlign w:val="bottom"/>
          </w:tcPr>
          <w:p>
            <w:pPr>
              <w:spacing w:after="0"/>
              <w:rPr>
                <w:sz w:val="1"/>
                <w:szCs w:val="1"/>
                <w:color w:val="auto"/>
              </w:rPr>
            </w:pPr>
          </w:p>
        </w:tc>
      </w:tr>
      <w:tr>
        <w:trPr>
          <w:trHeight w:val="223"/>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finite-lived intangible assets was $7.8 million, $7.6 million and $7.7 million in fiscal 2022, 2021 and 2020, respectively. Amortization expense is included within selling, general and administrative expenses for all intangible assets other than that of debt issuance costs, which is included in interest expense. Estimated future amortization expense for finite-lived intangible assets 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2027</w:t>
            </w:r>
          </w:p>
        </w:tc>
      </w:tr>
      <w:tr>
        <w:trPr>
          <w:trHeight w:val="226"/>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26, 2022, we had a committed revolving credit facility with maximum borrowings of up to $235 million with a maturity of June 2024. There were no outstanding borrowings under the revolving credit facility, as of February 26, 2022 and February 27, 2021, respectively. As of February 26, 2022 and February 27, 2021, we also had a $150 million term loan with a maturity of June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revolving credit facility and term loan contain two affirmative financial covenants that require us to stay below a maximum debt-to-EBITDA ratio and maintain a minimum ratio of interest expense-to-EBITDA. Both ratios are computed quarterly, with EBITDA calculated on a rolling four-quarter basis. If the Company is not in compliance with either of these covenants, our credit facility and term loan may be terminated and/or any amounts then outstanding may be declared immediately due and payable. At February 26, 2022, we were in compliance with both financial covenants. We have the ability to issue letters of credit of up to $80.0 million under the credit facility, the outstanding amounts of which decrease the available commitment. At February 26, 2022, $218.6 million was available under this revolving credit facility.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at February 26, 2022 also included $13.0 million of industrial revenue bonds that mature in fiscal years 2023 through 2043. The fair value of the industrial revenue bonds approximated carrying value at February 26, 2022, due to the variable interest rates on these instruments. The bonds would be classified as Level 2 within the fair value hierarchy described in Note 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No borrowings were outstanding under the facilities in place as of February 26, 2022 or as of February 27,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maturities and other selected information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6"/>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r>
      <w:tr>
        <w:trPr>
          <w:trHeight w:val="321"/>
        </w:trPr>
        <w:tc>
          <w:tcPr>
            <w:tcW w:w="2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33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during the year</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167,542</w:t>
            </w:r>
          </w:p>
        </w:tc>
        <w:tc>
          <w:tcPr>
            <w:tcW w:w="10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187,397</w:t>
            </w:r>
          </w:p>
        </w:tc>
      </w:tr>
      <w:tr>
        <w:trPr>
          <w:trHeight w:val="230"/>
        </w:trPr>
        <w:tc>
          <w:tcPr>
            <w:tcW w:w="37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Maximum borrowings outstanding during the year</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168,669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235,232</w:t>
            </w:r>
          </w:p>
        </w:tc>
      </w:tr>
      <w:tr>
        <w:trPr>
          <w:trHeight w:val="229"/>
        </w:trPr>
        <w:tc>
          <w:tcPr>
            <w:tcW w:w="33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during the year</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378"/>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February 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February 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February 29,</w:t>
            </w:r>
          </w:p>
        </w:tc>
      </w:tr>
      <w:tr>
        <w:trPr>
          <w:trHeight w:val="214"/>
        </w:trPr>
        <w:tc>
          <w:tcPr>
            <w:tcW w:w="2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25"/>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3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4,981</w:t>
            </w: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30"/>
        </w:trPr>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8"/>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$3.5 million in fiscal February 26, 2022, $4.6 million in fiscal February 27, 2021 and $9.1 million in fiscal February 29, 2020.</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operating leases for certain of the buildings and equipment used in our operations. We determine if an arrangement contains a lease at inception. At the beginning of fiscal 2020, we adopted ASU 2016-20,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80" w:type="dxa"/>
            <w:vAlign w:val="bottom"/>
          </w:tcPr>
          <w:p>
            <w:pPr>
              <w:spacing w:after="0"/>
              <w:rPr>
                <w:sz w:val="18"/>
                <w:szCs w:val="18"/>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w:t>
            </w: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for the year ended February 26, 2022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February 27, 2021</w:t>
            </w:r>
          </w:p>
        </w:tc>
      </w:tr>
      <w:tr>
        <w:trPr>
          <w:trHeight w:val="22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13,952</w:t>
            </w: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23,772</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 years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years</w:t>
            </w: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54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1"/>
        </w:trPr>
        <w:tc>
          <w:tcPr>
            <w:tcW w:w="7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w:t>
            </w: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sponsor a single 401(k) retirement plan covering substantially all full-time, non-union employees, as well as union employees at two of our manufacturing facilities. Under the plan, employees are allowed to contribute up to 60 percent of eligible earnings to the plan, up to statutory limits. We match 100 percent of the first one percent contributed and 50 percent of the next five percent contributed on eligible compensation that non-union employees contribute and according to contract terms for union employees. In response to the effects of COVID-19 on our business, we suspended the matching contribution from June 1, 2020 until December 31, 2020. In total, our matching contributions were $7.7 million in fiscal 2022, $3.5 million in fiscal 2021 and $9.0 million in fiscal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plan that allows participants to defer compensation. The deferred compensation liability was $12.5 million and $15.0 million at February 26, 2022 and February 27, 2021, respectively. We have investments in corporate-owned life insurance policies (COLI) of $17.8 million and money market funds (classified as cash equivalents) of $0.3 million with the intention of utilizing them as long-term funding sources for this plan. The COLI assets are recorded at their net cash surrender values and are included in other non-current assets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under Collective Bargaining Agreements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contribute to a number of multi-employer union retirement plans, which provide retirement benefits to the majority of our union-represented employees; none of the plans are considered significant. However, the risks of participating in these multi-employer plans are different from single-employer plans in the following aspects:</w:t>
      </w:r>
    </w:p>
    <w:p>
      <w:pPr>
        <w:spacing w:after="0" w:line="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these plans by one employer may be used to provide benefits to employees of other participating employers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choose to stop participating in some of these plans, we may be required to pay those plans an amount based on the underfunded status of the plan, referred to as a withdrawal liability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participation in these plans is outlined in the following table. The most recent Pension Protection Act zone status available in 2022 and 2021 relates to the plan years ending December 31, 2021 and December 31, 2020, respectively. The zone status is based on information that we have received from each plan, certified by an actuary. Among other factors, plans in the red zone are generally less than 65 percent funded, plans in the yellow zone are between 65 percent and 80 percent funded, and plans in the green zone are at least 80 percent funded.</w:t>
      </w: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Pension Protection</w:t>
            </w:r>
          </w:p>
        </w:tc>
        <w:tc>
          <w:tcPr>
            <w:tcW w:w="140" w:type="dxa"/>
            <w:vAlign w:val="bottom"/>
          </w:tcPr>
          <w:p>
            <w:pPr>
              <w:spacing w:after="0"/>
              <w:rPr>
                <w:sz w:val="16"/>
                <w:szCs w:val="16"/>
                <w:color w:val="auto"/>
              </w:rPr>
            </w:pPr>
          </w:p>
        </w:tc>
        <w:tc>
          <w:tcPr>
            <w:tcW w:w="1460" w:type="dxa"/>
            <w:vAlign w:val="bottom"/>
            <w:gridSpan w:val="8"/>
          </w:tcPr>
          <w:p>
            <w:pPr>
              <w:jc w:val="center"/>
              <w:ind w:left="287"/>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 Zone Status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FIP/RP Status</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203"/>
        </w:trPr>
        <w:tc>
          <w:tcPr>
            <w:tcW w:w="1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Pending/Implemented</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Agreement</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33"/>
        </w:trPr>
        <w:tc>
          <w:tcPr>
            <w:tcW w:w="16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Atlanta Ironworkers Local</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58-6051152</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Union 387 Pension Plan</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60" w:type="dxa"/>
            <w:vAlign w:val="bottom"/>
            <w:gridSpan w:val="3"/>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Glazier's Union Local 27</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Pension and Retirement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36-6034076</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5/31/2018</w:t>
            </w:r>
          </w:p>
        </w:tc>
        <w:tc>
          <w:tcPr>
            <w:tcW w:w="0" w:type="dxa"/>
            <w:vAlign w:val="bottom"/>
          </w:tcPr>
          <w:p>
            <w:pPr>
              <w:spacing w:after="0"/>
              <w:rPr>
                <w:sz w:val="1"/>
                <w:szCs w:val="1"/>
                <w:color w:val="auto"/>
              </w:rPr>
            </w:pPr>
          </w:p>
        </w:tc>
      </w:tr>
      <w:tr>
        <w:trPr>
          <w:trHeight w:val="195"/>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International Painters and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Allied Trades Industry</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52-6073909</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Red</w:t>
            </w:r>
          </w:p>
        </w:tc>
        <w:tc>
          <w:tcPr>
            <w:tcW w:w="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Red</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4/30/2017</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Iron Workers Local Union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No. 5 and Iron Workers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Employers Association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Employees Pension Trust</w:t>
            </w: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52-1075473</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5/31/2017</w:t>
            </w:r>
          </w:p>
        </w:tc>
        <w:tc>
          <w:tcPr>
            <w:tcW w:w="0" w:type="dxa"/>
            <w:vAlign w:val="bottom"/>
          </w:tcPr>
          <w:p>
            <w:pPr>
              <w:spacing w:after="0"/>
              <w:rPr>
                <w:sz w:val="1"/>
                <w:szCs w:val="1"/>
                <w:color w:val="auto"/>
              </w:rPr>
            </w:pPr>
          </w:p>
        </w:tc>
      </w:tr>
      <w:tr>
        <w:trPr>
          <w:trHeight w:val="19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Iron Workers Mid-America</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36-6488227</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5/31/2017</w:t>
            </w:r>
          </w:p>
        </w:tc>
        <w:tc>
          <w:tcPr>
            <w:tcW w:w="0" w:type="dxa"/>
            <w:vAlign w:val="bottom"/>
          </w:tcPr>
          <w:p>
            <w:pPr>
              <w:spacing w:after="0"/>
              <w:rPr>
                <w:sz w:val="1"/>
                <w:szCs w:val="1"/>
                <w:color w:val="auto"/>
              </w:rPr>
            </w:pPr>
          </w:p>
        </w:tc>
      </w:tr>
      <w:tr>
        <w:trPr>
          <w:trHeight w:val="198"/>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Fund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Iron Workers St. Louis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District Council Pension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43-6052659</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Trust Fund</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Western Glaziers</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Retirement Plan</w:t>
            </w:r>
          </w:p>
        </w:tc>
        <w:tc>
          <w:tcPr>
            <w:tcW w:w="10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91-6123685</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Green</w:t>
            </w:r>
          </w:p>
        </w:tc>
        <w:tc>
          <w:tcPr>
            <w:tcW w:w="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Green</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No</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w:t>
            </w:r>
          </w:p>
        </w:tc>
        <w:tc>
          <w:tcPr>
            <w:tcW w:w="9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No</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0" w:type="dxa"/>
            <w:vAlign w:val="bottom"/>
          </w:tcPr>
          <w:p>
            <w:pPr>
              <w:spacing w:after="0"/>
              <w:rPr>
                <w:sz w:val="1"/>
                <w:szCs w:val="1"/>
                <w:color w:val="auto"/>
              </w:rPr>
            </w:pPr>
          </w:p>
        </w:tc>
      </w:tr>
      <w:tr>
        <w:trPr>
          <w:trHeight w:val="203"/>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funds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contributions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540" w:firstLine="6"/>
        <w:spacing w:after="0"/>
        <w:tabs>
          <w:tab w:leader="none" w:pos="152"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Plans include contributions required by collective bargaining agreements which have expired, but contain provisions automatically renewing their terms in the absence of a subsequent negotiated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-101600</wp:posOffset>
            </wp:positionV>
            <wp:extent cx="13290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listed in the plans' Forms 5500 as providing more than 5 percent of the total contributions for the following plans and plan years: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ind w:left="34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contributions to Plan Exceeded More Than 5</w:t>
            </w:r>
          </w:p>
        </w:tc>
        <w:tc>
          <w:tcPr>
            <w:tcW w:w="0" w:type="dxa"/>
            <w:vAlign w:val="bottom"/>
          </w:tcPr>
          <w:p>
            <w:pPr>
              <w:spacing w:after="0"/>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Total Contributions</w:t>
            </w:r>
          </w:p>
        </w:tc>
        <w:tc>
          <w:tcPr>
            <w:tcW w:w="0" w:type="dxa"/>
            <w:vAlign w:val="bottom"/>
          </w:tcPr>
          <w:p>
            <w:pPr>
              <w:spacing w:after="0"/>
              <w:rPr>
                <w:sz w:val="1"/>
                <w:szCs w:val="1"/>
                <w:color w:val="auto"/>
              </w:rPr>
            </w:pPr>
          </w:p>
        </w:tc>
      </w:tr>
      <w:tr>
        <w:trPr>
          <w:trHeight w:val="20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 Workers Local Union No. 5 and Iron Workers Employers Association Employees Pension Trust Fund</w:t>
            </w:r>
          </w:p>
        </w:tc>
        <w:tc>
          <w:tcPr>
            <w:tcW w:w="1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2021 and 2020</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Iron Workers Mid-America Pension Fund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2021 and 2020</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 Workers St. Louis District Council Pension Trust Fund</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Western Glaziers Retirement Plan (Washington)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Western Glaziers Retirement Fund (Oregon and Southwest Washington)</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Texas Iron Workers' Pension Plan</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 Iron Workers'Annuity</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Southern Iron Workers Pension Fund</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Upstate New York Engineers Pension Fund</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contributed in fiscal 2022, 2021, and 2020 to defined contribution multiemployer plans were $1.7 million, $1.5 million and $0.9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 of Defined-Benefit Pension Plans</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sponsor the Tubelite Inc. Hourly Employees' Pension Plan, a defined-benefit pension plan that was frozen to new entrants in fiscal 2004, with no additional benefits accruing to plan participants after such time. We also sponsor an unfunded SERP, a defined-benefit pension plan that was frozen to new entrants in fiscal 2009, with no additional benefits accruing to plan participants after such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the benefit obligation and the funded status of these plans. The Tubelite plan uses a measurement date as of the calendar month-end closest to our fiscal year-end, while the SERP uses a measurement date aligned with our fiscal year-end.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0"/>
                <w:szCs w:val="20"/>
                <w:color w:val="auto"/>
              </w:rPr>
            </w:pPr>
          </w:p>
        </w:tc>
        <w:tc>
          <w:tcPr>
            <w:tcW w:w="134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obligation at measurement date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period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measurement date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Underfunded status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funded status was recognized in the consolidated balance sheets as follows: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0"/>
                <w:szCs w:val="20"/>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was included in accumulated other comprehensive loss and has not yet been recognized as a component of net periodic benefit cost: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actuarial gain recognized in comprehensive earnings, net of tax expense, was $0.4 million in fiscal 2022, and $0.1 million in fiscal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defined-benefit pension plans' net periodic benefit cost: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6"/>
              </w:rPr>
              <w:t>346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6"/>
              </w:rPr>
              <w:t>492</w:t>
            </w: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420" w:type="dxa"/>
            <w:vAlign w:val="bottom"/>
          </w:tcPr>
          <w:p>
            <w:pPr>
              <w:spacing w:after="0"/>
              <w:rPr>
                <w:sz w:val="19"/>
                <w:szCs w:val="19"/>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6"/>
              </w:rPr>
              <w:t>260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6"/>
              </w:rPr>
              <w:t>219</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8"/>
                <w:szCs w:val="18"/>
                <w:color w:val="auto"/>
                <w:w w:val="96"/>
              </w:rPr>
              <w:t>395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8"/>
                <w:szCs w:val="18"/>
                <w:color w:val="auto"/>
                <w:w w:val="96"/>
              </w:rPr>
              <w:t>529</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net periodic pension benefit cost is expected to be approximately $0.6 million in fiscal 2023. The estimated net actuarial gain for the defined-benefit pension plans that will be amortized from accumulated other comprehensive loss into net periodic benefit cost for fiscal 2023 is $0.1 million, net of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32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Expense Weighted-Average Assumptions</w:t>
            </w: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4"/>
                <w:szCs w:val="24"/>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bl>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The discount rate reflects the current rate at which the defined-benefit plans' pension liabilities could be effectively settled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based on the measurement date. The discount rate was determined by matching the expected benefit payments to payments from the Principal Discount Yield Curve. There are no known or anticipated changes in the discount rate assumption that will have a significant impact on pension expense in fiscal 2023.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return on assets. </w:t>
      </w:r>
      <w:r>
        <w:rPr>
          <w:rFonts w:ascii="Times New Roman" w:cs="Times New Roman" w:eastAsia="Times New Roman" w:hAnsi="Times New Roman"/>
          <w:sz w:val="18"/>
          <w:szCs w:val="18"/>
          <w:color w:val="auto"/>
        </w:rPr>
        <w:t>To develop the expected long-term rate of return on assets, we considered historical long-term rates of return achieved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investments, the plan's investment strategy, and current and projected market 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contributions to the plans for fiscal 2022 and fiscal 2021 were $0.7 million in each year, which equaled or exceeded the minimum funding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benefit payments, which reflect expected future service, are expected to be paid by the plans: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2028-2032</w:t>
            </w:r>
          </w:p>
        </w:tc>
      </w:tr>
      <w:tr>
        <w:trPr>
          <w:trHeight w:val="22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benefit payments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the Architectural Services and Architectural Framing Systems segments, we are required to provide surety or performance bonds that commit payments to our customers for any non-performance. At February 26, 2022, $1.2 billion of these types of bonds were outstanding, of which, $352.5 million is on our backlog. These bonds do not have stated expiration dates, as we are released from the bonds upon completion of the contract.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14,999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420" w:type="dxa"/>
            <w:vAlign w:val="bottom"/>
          </w:tcPr>
          <w:p>
            <w:pPr>
              <w:spacing w:after="0"/>
              <w:rPr>
                <w:sz w:val="19"/>
                <w:szCs w:val="19"/>
                <w:color w:val="auto"/>
              </w:rPr>
            </w:pPr>
          </w:p>
        </w:tc>
        <w:tc>
          <w:tcPr>
            <w:tcW w:w="134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rPr>
              <w:t>(11,214)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18"/>
                <w:szCs w:val="18"/>
                <w:color w:val="auto"/>
              </w:rPr>
              <w:t>13,923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$0.1 million and $4.6 million as of February 26, 2022 and February 27, 2021,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February 26, 2022, we had $16.4 million of ongoing letters of credit, all of which have been issued under our revolving credit facility, as discussed in Note 7. We also have a $6.9 million letter of credit which has been issued outside our committed revolving credit facility, with no impact on our borrowing capacity and debt covenants.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primarily for raw material commitments and capital expenditures totaled $209.2 million as of February 26,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2008, we acquired one manufacturing facility which has certain historical environmental conditions. Remediation of these conditions is ongoing without significant disruption to our operations. The estimated remaining liability for these remediation activities was $0.5 million at February 26, 2022 and February 27, 2021,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year-end fiscal 2022, we have three outstanding NMTC arrangements which help to support operational expansion. Proceeds received from investors on these transactions are included within other current and non-current liabilities on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 During the third quarter of fiscal 2021, we settled one arrangement at the end of the seven year term and as a result, $7.4 million of operating income was recognized as a reduction to selling, general and administrative expenses within the Architectural Glass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millions):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Proceeds received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2025</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2025</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24"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class of 200,000 shares of junior preferred stock with a par value of $1.00 is authorized, but unissued.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with subsequent increases in authorization. We repurchased 2,292,846 shares under the program during fiscal 2022, for a total cost of $100.0 million. We repurchased 1,177,704 shares under the program, for a total cost of $32.9 million, in fiscal 2021, and 686,997 shares under the program, for a total cost of $25.1 million, in fiscal 2020. The Company has repurchased a total of 9,425,462 shares, at a total cost of $307.3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since the inception of this program. We have remaining authority to repurchase 1,824,538 shares under this program, which has no expiration date.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shares repurchased under this repurchase plan, during fiscal 2022, 2021 and 2020, the Company also withheld $2.1 million, $3.0 million and $2.3 million, respectively, of Company stock from employees in order to satisfy stock-for-stock option exercises or tax obligations related to stock-based compensation, pursuant to terms of board and shareholder-approved compensation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accumulated other comprehensive loss, net of tax, at February 26, 2022 and February 27,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hedge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2019 Stock Incentive Plan and a 2019 Non-Employee Director Stock Plan (the Plans) that provide for the issuance of 1,150,000 and 150,000 shares, respectively, for various forms of stock-based compensation to employees and non-employee directors. We also have a 2009 Stock Incentive Plan and 2009 Non-Employee Director Stock Incentive Plan with shares reserved for issuance for outstanding unvested awards.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No additional awards can be made under the 2009 Stock Incentive Plan or the 2009 Non-Employee Director Stock Incentive Plan. Nonvested share awards and units generally vest over a two, three or four-year period.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$6.3 million in fiscal 2022, $8.6 million in fiscal 2021 and $6.6 million in fiscal 2020. We account for any forfeitures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2020, we granted 660,600 stock options which had a weighted average fair value per option at the date of grant of $5.01.</w:t>
      </w:r>
    </w:p>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each award grant is estimated on the date of grant using the binomial lattice option-pricing model with the following weighted-average assumptions used for grants in fiscal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4"/>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price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35.70</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price volatility is based on historical experience. The risk-free rate for periods that coincide with the expected life of the options is based on the U.S. Treasury Department yield curve in effect at the time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SAR activity for the current fiscal year is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4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32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7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 at Year-</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7"/>
                <w:szCs w:val="17"/>
                <w:color w:val="auto"/>
              </w:rPr>
            </w:pPr>
          </w:p>
        </w:tc>
        <w:tc>
          <w:tcPr>
            <w:tcW w:w="14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7"/>
                <w:szCs w:val="17"/>
                <w:color w:val="auto"/>
              </w:rPr>
            </w:pPr>
          </w:p>
        </w:tc>
        <w:tc>
          <w:tcPr>
            <w:tcW w:w="132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February 27, 2021</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 canceled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February 26, 2022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370,800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tcPr>
          <w:p>
            <w:pPr>
              <w:spacing w:after="0"/>
              <w:rPr>
                <w:sz w:val="19"/>
                <w:szCs w:val="19"/>
                <w:color w:val="auto"/>
              </w:rPr>
            </w:pPr>
          </w:p>
        </w:tc>
        <w:tc>
          <w:tcPr>
            <w:tcW w:w="174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8.3 years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4,694,328</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or expected to vest at February 26, 2022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8.3 years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4,694,328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proceeds from the exercise of stock options were $4.1 million for fiscal 2022 and $1.5 million for fiscal 2021. The aggregate intrinsic value of securities exercised (the amount by which the stock price on the date of exercise exceeded the stock price of the award on the date of grant) was $2.3 million in fiscal 2022 and $1.8 million in fiscal 2021. No awards were issued or exercised during fiscal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 Awards and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nonvested share activity for fiscal February 26,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and Units</w:t>
            </w:r>
          </w:p>
        </w:tc>
        <w:tc>
          <w:tcPr>
            <w:tcW w:w="160" w:type="dxa"/>
            <w:vAlign w:val="bottom"/>
          </w:tcPr>
          <w:p>
            <w:pPr>
              <w:spacing w:after="0"/>
              <w:rPr>
                <w:sz w:val="13"/>
                <w:szCs w:val="13"/>
                <w:color w:val="auto"/>
              </w:rPr>
            </w:pPr>
          </w:p>
        </w:tc>
        <w:tc>
          <w:tcPr>
            <w:tcW w:w="1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27, 2021</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26,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26, 2022, there was $9.5 million of total unrecognized compensation cost related to nonvested share and nonvested share unit awards, which is expected to be recognized over a weighted average period of approximately 25 months. The total fair value of shares vested during fiscal February 26, 2022 was $7.2 million.</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97,297</w:t>
            </w: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tax expense for each of the last three fiscal years are as follows: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7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29"/>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2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23"/>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tax (benefit) expense</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17,836</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net of refunds, were $8.2 million, $14.1 million and $17.8 million in fiscal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statutory federal income tax rate to our consolidated effective tax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gridSpan w:val="2"/>
          </w:tcPr>
          <w:p>
            <w:pPr>
              <w:ind w:left="6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4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goodwill impairment expense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gain (loss) on life insurance policies</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foreign derived intangible income</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&amp; development tax credit</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Executive Compensation Limitation</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of share based awards</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effective income tax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0"/>
        </w:trPr>
        <w:tc>
          <w:tcPr>
            <w:tcW w:w="5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effective tax rate for fiscal 2022 increased 43.2 percentage points from fiscal 2021, primarily due to the valuation allowance recorded against the tax benefit of the Sotawall impairment and the impact of the permanent items in relation to reduced earnings in fiscal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at February 26, 2022 and February 27, 2021 were: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r>
      <w:tr>
        <w:trPr>
          <w:trHeight w:val="229"/>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Employment tax accrual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unrecognized tax benefits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income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w:t>
            </w:r>
          </w:p>
        </w:tc>
      </w:tr>
      <w:tr>
        <w:trPr>
          <w:trHeight w:val="229"/>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57,128</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w:t>
            </w:r>
          </w:p>
        </w:tc>
      </w:tr>
      <w:tr>
        <w:trPr>
          <w:trHeight w:val="23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7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7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30"/>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34,573</w:t>
            </w:r>
          </w:p>
        </w:tc>
      </w:tr>
      <w:tr>
        <w:trPr>
          <w:trHeight w:val="230"/>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r>
      <w:tr>
        <w:trPr>
          <w:trHeight w:val="229"/>
        </w:trPr>
        <w:tc>
          <w:tcPr>
            <w:tcW w:w="7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55,186</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1"/>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state and foreign net operating loss carryforwards with a tax effect of $8.6 million. A valuation allowance of $4.5 million has been established for these net operating loss carryforwards due to the uncertainty of the use of the tax benefits in future periods.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("DTAs"). This has resulted in valuation allowances being recorded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against DTAs in prior years in Brazil, Canada and various states. During the fourth quarter of fiscal 2022, an additional valuation allowance of $11.5 million was recorded against Canadian DTAs to recognize only the portion of the DTA that is more likely than not to be realized. As of February 26, 2022, we have a full valuation allowance recorded against our Canadian DTAs. A significant piece of objective negative evidence evaluated in the fourth quarter of fiscal 2022 was the cumulative losses incurred in Canada over the three-year period ended February 26, 2022, driven primarily by the impairments recorded in the fourth quarter of fiscal 2022. Such objective evidence limits the ability to consider other subjective evidence, such as our projections for future growth. The amount of the DTA considered realizable could be adjusted if objective negative evidence in the form of cumulative losses is no longer present and additional weight is given to subjective evidence such as our projections for growth or if the Company were to identify and implement a tax strategy to provide a future source of taxable income.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2019, or state and local income tax examinations for years prior to fiscal 2013. The Company is not currently under U.S. federal examination for years subsequent to fiscal year 2018, and there is very limited audit activity of the Company’s income tax returns in U.S. state jurisdictions or international jurisdictions.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were to prevail on all unrecognized tax benefits recorded, $1.7 million, $2.2 million and $2.6 million for fiscal 2022, 2021 and 2020, respectively, would benefit the effective tax rate.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Penalties and interest related to unrecognized tax benefits are recorded in income tax expense. For fiscal 2022, 2021 and 2020, we accrued penalties and interest related to unrecognized tax benefits of $0.3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total amounts of gross unrecognized tax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in tax positions for prior years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in tax positions for prior years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While these provisions did not impact the Company, a provision related to the temporary deferral of the employer share of payroll taxes allowed us to defer remittance of $13.6 million of payroll taxes in calendar 2020. During the fourth quarter of fiscal 2022, we repaid half of the deferred tax payments in the amount of $6.8 million, with the remaining amount of $6.8 million included within accrued payroll and other benefits on our consolidated balance sheets to be repaid in calendar year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3"/>
        </w:trPr>
        <w:tc>
          <w:tcPr>
            <w:tcW w:w="7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share - weighted average common shares outstanding</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Weighted average effect of nonvested share grants and assumed exercise of stock options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share - weighted average common shares and potential common shares outstanding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25,292</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180"/>
              <w:spacing w:after="0" w:line="152" w:lineRule="exact"/>
              <w:rPr>
                <w:sz w:val="20"/>
                <w:szCs w:val="20"/>
                <w:color w:val="auto"/>
              </w:rPr>
            </w:pPr>
            <w:r>
              <w:rPr>
                <w:rFonts w:ascii="Times New Roman" w:cs="Times New Roman" w:eastAsia="Times New Roman" w:hAnsi="Times New Roman"/>
                <w:sz w:val="16"/>
                <w:szCs w:val="16"/>
                <w:color w:val="auto"/>
              </w:rPr>
              <w:t>Stock awards excluded from the calculation of earnings per share because the award price was greater than the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860" w:type="dxa"/>
            <w:vAlign w:val="bottom"/>
            <w:gridSpan w:val="2"/>
            <w:vMerge w:val="continue"/>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average market price of the common shares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jc w:val="both"/>
        <w:ind w:left="460" w:hanging="331"/>
        <w:spacing w:after="0" w:line="250"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spacing w:after="0" w:line="1" w:lineRule="exact"/>
        <w:rPr>
          <w:rFonts w:ascii="Times New Roman" w:cs="Times New Roman" w:eastAsia="Times New Roman" w:hAnsi="Times New Roman"/>
          <w:sz w:val="18"/>
          <w:szCs w:val="18"/>
          <w:color w:val="auto"/>
        </w:rPr>
      </w:pPr>
    </w:p>
    <w:p>
      <w:pPr>
        <w:ind w:left="460" w:right="20" w:hanging="331"/>
        <w:spacing w:after="0" w:line="250"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fabricates coated, high-performance glass used globally in customized window and wall systems comprising the outside skin of commercial, institutional and high-end multi-family residential buildings.</w:t>
      </w:r>
    </w:p>
    <w:p>
      <w:pPr>
        <w:ind w:left="460" w:right="20" w:hanging="331"/>
        <w:spacing w:after="0" w:line="250"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provides full-service installation of the walls of glass, windows and other curtainwall products making up the outside skin of commercial and institutional buildings.</w:t>
      </w:r>
    </w:p>
    <w:p>
      <w:pPr>
        <w:ind w:left="440" w:hanging="311"/>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Technologies</w:t>
      </w:r>
      <w:r>
        <w:rPr>
          <w:rFonts w:ascii="Times New Roman" w:cs="Times New Roman" w:eastAsia="Times New Roman" w:hAnsi="Times New Roman"/>
          <w:sz w:val="18"/>
          <w:szCs w:val="18"/>
          <w:color w:val="auto"/>
        </w:rPr>
        <w:t xml:space="preserve"> (LSO) segment manufactures value-added glass and acrylic products for framing and display applications.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6"/>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570,850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686,596</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387,191</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269,140</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Large-Scale Optical</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(43,399)</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1,313,977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1,230,774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1,387,439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Large-Scale Optical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0" w:type="dxa"/>
            <w:vAlign w:val="bottom"/>
          </w:tcPr>
          <w:p>
            <w:pPr>
              <w:spacing w:after="0"/>
              <w:rPr>
                <w:sz w:val="1"/>
                <w:szCs w:val="1"/>
                <w:color w:val="auto"/>
              </w:rPr>
            </w:pPr>
          </w:p>
        </w:tc>
      </w:tr>
      <w:tr>
        <w:trPr>
          <w:trHeight w:val="223"/>
        </w:trPr>
        <w:tc>
          <w:tcPr>
            <w:tcW w:w="5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Large-Scale Optical</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49,993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51,440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46,795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Large-Scale Optical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511,608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604,870</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291,104</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107,538</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Large-Scale Optical</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62,831</w:t>
            </w: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62,648</w:t>
            </w:r>
          </w:p>
        </w:tc>
      </w:tr>
      <w:tr>
        <w:trPr>
          <w:trHeight w:val="248"/>
        </w:trPr>
        <w:tc>
          <w:tcPr>
            <w:tcW w:w="5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the Company has determined that it is impractical to report product revenues generated by class of product beyond the segment revenues currently reported.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operating income is equal to net sales less cost of sales and operating expenses. Operating income does not include interest expense or a provision for income taxes. Architectural Framing Systems segment results include $49.5 million and $70.1 million of impairment charges and $1.7 million and $5.3 million of restructuring charges in fiscal 2022 and fiscal 2021, respectively. Architectural Glass segment results include $27.1 million and $0.3 million of restructuring charges in fiscal 2022 and fiscal 2021, respectively. Corporate and other includes miscellaneous corporate activity, including certain legal, consulting and advisory costs and certain employee benefit costs not allocable to our segments, as well as $1.7 million and $0.2 million of restructuring charges in fiscal 2022 and fiscal 2021, respectively. Corporate and other also includes $16.7 million in fiscal 2020, of project-related charges on acquired contracts, as well as $15.0 million of insurance proceeds related to a project matter in fiscal 2020. Identifiable assets for Corporate and other include all short- and long-term available-for-sale securities.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based on the location in which the sale originated, and long-lived assets, representing property, plant and equipment, net of related depreciation, by geographic region.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1,194,141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1,115,872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1,254,311</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120,498</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21"/>
        </w:trPr>
        <w:tc>
          <w:tcPr>
            <w:tcW w:w="5760" w:type="dxa"/>
            <w:vAlign w:val="bottom"/>
            <w:tcBorders>
              <w:bottom w:val="single" w:sz="8" w:color="CCEEFF"/>
            </w:tcBorders>
            <w:gridSpan w:val="2"/>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1,313,977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1,230,774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1,387,439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307,782</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23"/>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298,443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Apogee's export net sales from U.S. operations were $59.5 million, $33.1 million, and $54.7 million in fiscal 2022, 2021, and 2020, respectively, representing approximately 5 percent of consolidated net sales in each of these fiscal years.</w:t>
      </w:r>
    </w:p>
    <w:p>
      <w:pPr>
        <w:spacing w:after="0" w:line="1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2022, we announced plans to realign and simplify our business structure which resulted in the closure of two facilities within the Architectural Glass segment, in Dallas, Texas and Statesboro, Georgia. These closures were made in order to concentrate this segment on premium, high-performance products. Additionally, employee termination costs were incurred related to these facility closures, realignment of the Architectural Framing Systems segment, and within the Corporate office. During the fourth quarter of fiscal 2022, as a result of the announced restructuring plan, we sold a building in Statesboro, Georgia within our Architectural Glass segment for $29.1 million. The carrying value of the building was $9.4 million, and we recognized a gain on this sale of approximately $19.5 million, net of associated transaction costs, which is included as a reduction of cost of sales within our consolidated statements of operations.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February 26, 2022, we incurred $30.5 million of pre-tax costs associated with the execution of these restructuring plans, of which $28.2 million is included within cost of sales and $2.3 million is included within selling, general and administrative expenses, excluding the gain on sale mentioned above, within our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February 27, 2021, we closed seven facilities within our Architectural Framing Systems segment, exited certain leases for those facilities, and provided certain termination benefits to employees across the Company, resulting in restructuring-related costs of $5.8 million, of which $5.2 million is included within cost of sales and $0.6 million is included within selling, general and administrative expenses within our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Architectural Framing</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 &amp; Other</w:t>
            </w:r>
          </w:p>
        </w:tc>
        <w:tc>
          <w:tcPr>
            <w:tcW w:w="40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 on property, plant and equipment</w:t>
            </w:r>
          </w:p>
        </w:tc>
        <w:tc>
          <w:tcPr>
            <w:tcW w:w="7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7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27, 2021</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4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impairment on leases and property, plant and</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7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7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balances are expected to be paid within fiscal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Architectural Framing</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 &amp; Other</w:t>
            </w:r>
          </w:p>
        </w:tc>
        <w:tc>
          <w:tcPr>
            <w:tcW w:w="40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29, 2020</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February 27, 2021</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3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February 26, 2022</w:t>
            </w:r>
          </w:p>
        </w:tc>
        <w:tc>
          <w:tcPr>
            <w:tcW w:w="6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r>
        <w:rPr>
          <w:rFonts w:ascii="Times New Roman" w:cs="Times New Roman" w:eastAsia="Times New Roman" w:hAnsi="Times New Roman"/>
          <w:sz w:val="18"/>
          <w:szCs w:val="18"/>
          <w:color w:val="auto"/>
        </w:rPr>
        <w:t xml:space="preserve"> The report of management required under this Item 9A is contained on page 27 in Item 8 of this Annual Report on Form 10-K under the caption “Management's Annual Report on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Attestation Report of Independent Registered Public Accounting Firm.</w:t>
      </w:r>
      <w:r>
        <w:rPr>
          <w:rFonts w:ascii="Times New Roman" w:cs="Times New Roman" w:eastAsia="Times New Roman" w:hAnsi="Times New Roman"/>
          <w:sz w:val="18"/>
          <w:szCs w:val="18"/>
          <w:color w:val="auto"/>
        </w:rPr>
        <w:t xml:space="preserve"> The attestation report required under this Item 9A is contained on page 28 in Item 8 of this Annual Report on Form 10-K under the caption “Report of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DISCLOSURES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CODE OF ETHICS AND CORPORATE GOVERNANCE</w:t>
      </w:r>
    </w:p>
    <w:p>
      <w:pPr>
        <w:sectPr>
          <w:pgSz w:w="11900" w:h="16838" w:orient="portrait"/>
          <w:cols w:equalWidth="0" w:num="1">
            <w:col w:w="11240"/>
          </w:cols>
          <w:pgMar w:left="320" w:top="121" w:right="339" w:bottom="0" w:gutter="0" w:footer="0" w:header="0"/>
        </w:sectPr>
      </w:pPr>
    </w:p>
    <w:bookmarkStart w:id="60" w:name="page61"/>
    <w:bookmarkEnd w:id="60"/>
    <w:p>
      <w:pPr>
        <w:jc w:val="both"/>
        <w:spacing w:after="0" w:line="250" w:lineRule="auto"/>
        <w:rPr>
          <w:sz w:val="20"/>
          <w:szCs w:val="20"/>
          <w:color w:val="auto"/>
        </w:rPr>
      </w:pPr>
      <w:r>
        <w:rPr>
          <w:rFonts w:ascii="Times New Roman" w:cs="Times New Roman" w:eastAsia="Times New Roman" w:hAnsi="Times New Roman"/>
          <w:sz w:val="18"/>
          <w:szCs w:val="18"/>
          <w:color w:val="auto"/>
        </w:rPr>
        <w:t>We have adopted a Code of Business Ethics and Conduct that applies to all of our employees, including our principal executive officer, president, principal financial officer and principal accounting officer, and Board of Directors. The Code of Business Ethics and Conduct is published on the “Investors-Governance” section of our website at www.apog.com. Any amendments to the Code of Business Ethics and Conduct and waivers of the Code of Business Ethics and Conduct for our Chief Executive Officer and Chief Financial Officer will be published on our website.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information required by this item, other than the information set forth in Part I above under the heading “Information About Our Executive Officers,” is set forth under the headings “Proposal 1: Election of Directors,” “Frequently Asked Questions - How Can I Recommend or Nominate a Director Candidate?”, “Corporate Governance - Board Meetings and 2021 Annual Meeting of Shareholders,” and “Corporate Governance - Board Committee Responsibilities, Meetings and Membership” in the Proxy Statement for the Company's Annual Meeting of Shareholders to be held on June 22, 2022, which will be filed with the Securities and Exchange Commission within 120 days after our fiscal year-end (our 2022 Proxy Statement). This information is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AND DIRECTOR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“Executive Compensation,” "CEO Pay Ratio Disclosure" and “Non-Employee Director Compensation" in our 2022 Proxy Statement. This information is incorporated herein by reference.</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“Equity Compensation Plan Information”, “Security Ownership of Certain Beneficial Owners” and “Security Ownership of Directors and Management” in our 2022 Proxy Statement. This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headings “Corporate Governance - Director Independence” and "Corporate Governance - Certain Relationships and Related Transactions" in our 2022 Proxy Statement. This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will be presented under the headings “Audit Committee Report" and "Fees Paid to Independent Registered Public Accounting Firm - Audit Fees, Audit-Related Fees, Tax Fees and All Other Fees” and “Policy on Audit Committee Pre-Approval of Audit and Permissible Non-Audit Services” in our 2022 Proxy Statement. This information is incorporated herein by reference.</w:t>
      </w:r>
    </w:p>
    <w:p>
      <w:pPr>
        <w:spacing w:after="0" w:line="2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List of documents filed as a part of this report:</w:t>
      </w:r>
    </w:p>
    <w:p>
      <w:pPr>
        <w:spacing w:after="0" w:line="252" w:lineRule="exact"/>
        <w:rPr>
          <w:sz w:val="20"/>
          <w:szCs w:val="20"/>
          <w:color w:val="auto"/>
        </w:rPr>
      </w:pPr>
    </w:p>
    <w:p>
      <w:pPr>
        <w:ind w:left="340" w:right="2300" w:hanging="332"/>
        <w:spacing w:after="0" w:line="53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The consolidated financial statements listed below are set forth in Item 8 of Part II of this report. Consolidated Balance Sheets as of February 26, 2022 and February 27, 2021</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 for the Years Ended February 26, 2022, February 27, 2021 and February 29, 2020</w:t>
      </w:r>
    </w:p>
    <w:p>
      <w:pPr>
        <w:spacing w:after="0" w:line="252" w:lineRule="exact"/>
        <w:rPr>
          <w:rFonts w:ascii="Times New Roman" w:cs="Times New Roman" w:eastAsia="Times New Roman" w:hAnsi="Times New Roman"/>
          <w:sz w:val="18"/>
          <w:szCs w:val="18"/>
          <w:color w:val="auto"/>
        </w:rPr>
      </w:pPr>
    </w:p>
    <w:p>
      <w:pPr>
        <w:ind w:left="340" w:right="114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Earnings for the Years Ended February 26, 2022, February 27, 2021 and February 29, 2020 Consolidated Statements of Cash Flows for the Years Ended February 26, 2022, February 27, 2021 and February 29, 2020 Consolidated Statements of Shareholders' Equity for the Years Ended February 26, 2022, February 27, 2021 and February 29, 2020 Notes to Consolidated Financial Statements</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All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88"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40" w:type="dxa"/>
            <w:vAlign w:val="bottom"/>
            <w:shd w:val="clear" w:color="auto" w:fill="CCEEFF"/>
          </w:tcPr>
          <w:p>
            <w:pPr>
              <w:spacing w:after="0"/>
              <w:rPr>
                <w:sz w:val="18"/>
                <w:szCs w:val="18"/>
                <w:color w:val="auto"/>
              </w:rPr>
            </w:pPr>
          </w:p>
        </w:tc>
        <w:tc>
          <w:tcPr>
            <w:tcW w:w="10360" w:type="dxa"/>
            <w:vAlign w:val="bottom"/>
            <w:gridSpan w:val="22"/>
            <w:shd w:val="clear" w:color="auto" w:fill="CCEEFF"/>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Restated Articles of Incorporation. Incorporated by reference to Exhibit 3.1 to Registrant's Annual Report on Form 10-K for the year-ended</w:t>
              </w:r>
            </w:hyperlink>
          </w:p>
        </w:tc>
      </w:tr>
      <w:tr>
        <w:trPr>
          <w:trHeight w:val="156"/>
        </w:trPr>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February 28, 2004.</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20" w:type="dxa"/>
            <w:vAlign w:val="bottom"/>
            <w:gridSpan w:val="2"/>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40" w:type="dxa"/>
            <w:vAlign w:val="bottom"/>
          </w:tcPr>
          <w:p>
            <w:pPr>
              <w:spacing w:after="0"/>
              <w:rPr>
                <w:sz w:val="16"/>
                <w:szCs w:val="16"/>
                <w:color w:val="auto"/>
              </w:rPr>
            </w:pPr>
          </w:p>
        </w:tc>
        <w:tc>
          <w:tcPr>
            <w:tcW w:w="10360" w:type="dxa"/>
            <w:vAlign w:val="bottom"/>
            <w:gridSpan w:val="22"/>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 on</w:t>
              </w:r>
            </w:hyperlink>
          </w:p>
        </w:tc>
      </w:tr>
      <w:tr>
        <w:trPr>
          <w:trHeight w:val="155"/>
        </w:trPr>
        <w:tc>
          <w:tcPr>
            <w:tcW w:w="2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8-K filed on January 16,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20" w:type="dxa"/>
            <w:vAlign w:val="bottom"/>
            <w:gridSpan w:val="2"/>
            <w:shd w:val="clear" w:color="auto" w:fill="CCEEFF"/>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540" w:type="dxa"/>
            <w:vAlign w:val="bottom"/>
            <w:shd w:val="clear" w:color="auto" w:fill="CCEEFF"/>
          </w:tcPr>
          <w:p>
            <w:pPr>
              <w:spacing w:after="0"/>
              <w:rPr>
                <w:sz w:val="16"/>
                <w:szCs w:val="16"/>
                <w:color w:val="auto"/>
              </w:rPr>
            </w:pPr>
          </w:p>
        </w:tc>
        <w:tc>
          <w:tcPr>
            <w:tcW w:w="1036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Bylaws of Apogee Enterprises, Inc. Incorporated by reference to Exhibit 3.1 to Registrant's Current Report on Form</w:t>
              </w:r>
            </w:hyperlink>
          </w:p>
        </w:tc>
      </w:tr>
      <w:tr>
        <w:trPr>
          <w:trHeight w:val="155"/>
        </w:trPr>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8-K filed on April 26,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20" w:type="dxa"/>
            <w:vAlign w:val="bottom"/>
            <w:gridSpan w:val="2"/>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16"/>
                <w:szCs w:val="16"/>
                <w:color w:val="auto"/>
              </w:rPr>
            </w:pPr>
          </w:p>
        </w:tc>
        <w:tc>
          <w:tcPr>
            <w:tcW w:w="10360" w:type="dxa"/>
            <w:vAlign w:val="bottom"/>
            <w:gridSpan w:val="22"/>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Specimen certificate for shares of common stock of Apogee Enterprises, Inc. Incorporated by reference to Exhibit 4.1 to Registrant's</w:t>
              </w:r>
            </w:hyperlink>
          </w:p>
        </w:tc>
      </w:tr>
      <w:tr>
        <w:trPr>
          <w:trHeight w:val="156"/>
        </w:trPr>
        <w:tc>
          <w:tcPr>
            <w:tcW w:w="2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Quarterly Report on Form 10-Q filed on July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420" w:type="dxa"/>
            <w:vAlign w:val="bottom"/>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540" w:type="dxa"/>
            <w:vAlign w:val="bottom"/>
            <w:shd w:val="clear" w:color="auto" w:fill="CCEEFF"/>
          </w:tcPr>
          <w:p>
            <w:pPr>
              <w:spacing w:after="0"/>
              <w:rPr>
                <w:sz w:val="17"/>
                <w:szCs w:val="17"/>
                <w:color w:val="auto"/>
              </w:rPr>
            </w:pPr>
          </w:p>
        </w:tc>
        <w:tc>
          <w:tcPr>
            <w:tcW w:w="10360" w:type="dxa"/>
            <w:vAlign w:val="bottom"/>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Description of Securities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Incorporated by reference to Exhibit 4.2 to Registrant's Annual Report on Form 10-K for the year ended February</w:t>
            </w:r>
          </w:p>
        </w:tc>
      </w:tr>
      <w:tr>
        <w:trPr>
          <w:trHeight w:val="237"/>
        </w:trPr>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0000FF"/>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29, 2020.</w:t>
            </w:r>
          </w:p>
        </w:tc>
        <w:tc>
          <w:tcPr>
            <w:tcW w:w="700" w:type="dxa"/>
            <w:vAlign w:val="bottom"/>
            <w:tcBorders>
              <w:top w:val="single" w:sz="8" w:color="0000FF"/>
              <w:bottom w:val="single" w:sz="8" w:color="CCEEFF"/>
            </w:tcBorders>
            <w:shd w:val="clear" w:color="auto" w:fill="CCEEFF"/>
          </w:tcPr>
          <w:p>
            <w:pPr>
              <w:spacing w:after="0"/>
              <w:rPr>
                <w:sz w:val="20"/>
                <w:szCs w:val="20"/>
                <w:color w:val="auto"/>
              </w:rPr>
            </w:pPr>
          </w:p>
        </w:tc>
        <w:tc>
          <w:tcPr>
            <w:tcW w:w="4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620" w:type="dxa"/>
            <w:vAlign w:val="bottom"/>
            <w:tcBorders>
              <w:top w:val="single" w:sz="8" w:color="0000FF"/>
              <w:bottom w:val="single" w:sz="8" w:color="CCEEFF"/>
            </w:tcBorders>
            <w:shd w:val="clear" w:color="auto" w:fill="CCEEFF"/>
          </w:tcPr>
          <w:p>
            <w:pPr>
              <w:spacing w:after="0"/>
              <w:rPr>
                <w:sz w:val="20"/>
                <w:szCs w:val="20"/>
                <w:color w:val="auto"/>
              </w:rPr>
            </w:pPr>
          </w:p>
        </w:tc>
        <w:tc>
          <w:tcPr>
            <w:tcW w:w="1240" w:type="dxa"/>
            <w:vAlign w:val="bottom"/>
            <w:tcBorders>
              <w:top w:val="single" w:sz="8" w:color="0000FF"/>
              <w:bottom w:val="single" w:sz="8" w:color="CCEEFF"/>
            </w:tcBorders>
            <w:shd w:val="clear" w:color="auto" w:fill="CCEEFF"/>
          </w:tcPr>
          <w:p>
            <w:pPr>
              <w:spacing w:after="0"/>
              <w:rPr>
                <w:sz w:val="20"/>
                <w:szCs w:val="20"/>
                <w:color w:val="auto"/>
              </w:rPr>
            </w:pPr>
          </w:p>
        </w:tc>
        <w:tc>
          <w:tcPr>
            <w:tcW w:w="102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200" w:type="dxa"/>
            <w:vAlign w:val="bottom"/>
            <w:tcBorders>
              <w:top w:val="single" w:sz="8" w:color="0000FF"/>
              <w:bottom w:val="single" w:sz="8" w:color="CCEEFF"/>
            </w:tcBorders>
            <w:shd w:val="clear" w:color="auto" w:fill="CCEEFF"/>
          </w:tcPr>
          <w:p>
            <w:pPr>
              <w:spacing w:after="0"/>
              <w:rPr>
                <w:sz w:val="20"/>
                <w:szCs w:val="20"/>
                <w:color w:val="auto"/>
              </w:rPr>
            </w:pPr>
          </w:p>
        </w:tc>
        <w:tc>
          <w:tcPr>
            <w:tcW w:w="840" w:type="dxa"/>
            <w:vAlign w:val="bottom"/>
            <w:tcBorders>
              <w:top w:val="single" w:sz="8" w:color="0000FF"/>
              <w:bottom w:val="single" w:sz="8" w:color="CCEEFF"/>
            </w:tcBorders>
            <w:shd w:val="clear" w:color="auto" w:fill="CCEEFF"/>
          </w:tcPr>
          <w:p>
            <w:pPr>
              <w:spacing w:after="0"/>
              <w:rPr>
                <w:sz w:val="20"/>
                <w:szCs w:val="20"/>
                <w:color w:val="auto"/>
              </w:rPr>
            </w:pPr>
          </w:p>
        </w:tc>
        <w:tc>
          <w:tcPr>
            <w:tcW w:w="35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60" w:type="dxa"/>
            <w:vAlign w:val="bottom"/>
            <w:gridSpan w:val="3"/>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360" w:type="dxa"/>
            <w:vAlign w:val="bottom"/>
            <w:gridSpan w:val="22"/>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Apogee Enterprises, Inc. Deferred Compensation Plan for Non-Employee Directors (2014 Restatement). Incorporated by reference to Exhibit</w:t>
              </w:r>
            </w:hyperlink>
          </w:p>
        </w:tc>
      </w:tr>
      <w:tr>
        <w:trPr>
          <w:trHeight w:val="155"/>
        </w:trPr>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Registrant's Registration Statement on Form S-8 filed on July 24, 2014.</w:t>
              </w:r>
            </w:hyperlink>
          </w:p>
        </w:tc>
        <w:tc>
          <w:tcPr>
            <w:tcW w:w="40" w:type="dxa"/>
            <w:vAlign w:val="bottom"/>
            <w:gridSpan w:val="2"/>
          </w:tcPr>
          <w:p>
            <w:pPr>
              <w:spacing w:after="0"/>
              <w:rPr>
                <w:sz w:val="13"/>
                <w:szCs w:val="13"/>
                <w:color w:val="auto"/>
              </w:rPr>
            </w:pPr>
          </w:p>
        </w:tc>
      </w:tr>
      <w:tr>
        <w:trPr>
          <w:trHeight w:val="34"/>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36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Apogee Enterprises, Inc. 2021 Deferred Compensation Plan for Non-Employee Directors. Incorporated by reference to Exhibit 4.5 to</w:t>
              </w:r>
            </w:hyperlink>
          </w:p>
        </w:tc>
      </w:tr>
      <w:tr>
        <w:trPr>
          <w:trHeight w:val="190"/>
        </w:trPr>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6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Apogee’s Registration Statement on Form S-8 filed on October 13, 2021.</w:t>
              </w:r>
            </w:hyperlink>
          </w:p>
        </w:tc>
        <w:tc>
          <w:tcPr>
            <w:tcW w:w="49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960" w:type="dxa"/>
            <w:vAlign w:val="bottom"/>
            <w:gridSpan w:val="3"/>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360" w:type="dxa"/>
            <w:vAlign w:val="bottom"/>
            <w:gridSpan w:val="22"/>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Apogee Enterprises, Inc. 2000 Employee Stock Purchase Plan (Amended and Restated Effective as of April 21, 2021). Incorporated by</w:t>
              </w:r>
            </w:hyperlink>
          </w:p>
        </w:tc>
      </w:tr>
      <w:tr>
        <w:trPr>
          <w:trHeight w:val="156"/>
        </w:trPr>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102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reference to Exhibit 10.4 to Apogee’s Annual Report on Form 10-K filed on April 22, 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36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Apogee Enterprises, Inc. Non-Employee Director Charitable Matching Contribution Program. Incorporated by reference to Exhibit 10.25 to</w:t>
              </w:r>
            </w:hyperlink>
          </w:p>
        </w:tc>
      </w:tr>
      <w:tr>
        <w:trPr>
          <w:trHeight w:val="156"/>
        </w:trPr>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Registrant's Annual Report on Form 10-K for the year-ended February 26, 2005.</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9"/>
        </w:trPr>
        <w:tc>
          <w:tcPr>
            <w:tcW w:w="960" w:type="dxa"/>
            <w:vAlign w:val="bottom"/>
            <w:gridSpan w:val="3"/>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360" w:type="dxa"/>
            <w:vAlign w:val="bottom"/>
            <w:gridSpan w:val="22"/>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Apogee Enterprises, Inc. Deferred Incentive Compensation Plan (2005 Restatement). Incorporated by reference to Exhibit 10.3 to</w:t>
              </w:r>
            </w:hyperlink>
          </w:p>
        </w:tc>
      </w:tr>
      <w:tr>
        <w:trPr>
          <w:trHeight w:val="135"/>
        </w:trPr>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20" w:type="dxa"/>
            <w:vAlign w:val="bottom"/>
            <w:tcBorders>
              <w:top w:val="single" w:sz="8" w:color="0000FF"/>
            </w:tcBorders>
            <w:gridSpan w:val="15"/>
          </w:tcPr>
          <w:p>
            <w:pPr>
              <w:spacing w:after="0" w:line="136" w:lineRule="exact"/>
              <w:rPr>
                <w:rFonts w:ascii="Times New Roman" w:cs="Times New Roman" w:eastAsia="Times New Roman" w:hAnsi="Times New Roman"/>
                <w:sz w:val="15"/>
                <w:szCs w:val="15"/>
                <w:color w:val="0000FF"/>
              </w:rPr>
            </w:pPr>
            <w:hyperlink r:id="rId88">
              <w:r>
                <w:rPr>
                  <w:rFonts w:ascii="Times New Roman" w:cs="Times New Roman" w:eastAsia="Times New Roman" w:hAnsi="Times New Roman"/>
                  <w:sz w:val="15"/>
                  <w:szCs w:val="15"/>
                  <w:color w:val="0000FF"/>
                </w:rPr>
                <w:t>Registrant's Current Report on Form 8-K filed on October 17, 2006.</w:t>
              </w:r>
            </w:hyperlink>
          </w:p>
        </w:tc>
        <w:tc>
          <w:tcPr>
            <w:tcW w:w="120" w:type="dxa"/>
            <w:vAlign w:val="bottom"/>
            <w:gridSpan w:val="6"/>
          </w:tcPr>
          <w:p>
            <w:pPr>
              <w:spacing w:after="0"/>
              <w:rPr>
                <w:sz w:val="11"/>
                <w:szCs w:val="1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90">
        <w:r>
          <w:rPr>
            <w:rFonts w:ascii="Times New Roman" w:cs="Times New Roman" w:eastAsia="Times New Roman" w:hAnsi="Times New Roman"/>
            <w:sz w:val="18"/>
            <w:szCs w:val="18"/>
            <w:u w:val="single" w:color="auto"/>
            <w:color w:val="0000FF"/>
          </w:rPr>
          <w:t>Apogee Enterprises, Inc. 2009 Stock Incentive Plan, as amended and restated (2011).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Registrant's Current Report on Form 8-K filed on June 28, 2011.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92">
        <w:r>
          <w:rPr>
            <w:rFonts w:ascii="Times New Roman" w:cs="Times New Roman" w:eastAsia="Times New Roman" w:hAnsi="Times New Roman"/>
            <w:sz w:val="18"/>
            <w:szCs w:val="18"/>
            <w:u w:val="single" w:color="auto"/>
            <w:color w:val="0000FF"/>
          </w:rPr>
          <w:t>Apogee Enterprises, Inc. 2009 Non-Employee Director Stock Incentive Plan, as amended and restated (2014). Incorporated by reference to</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Exhibit 4.4 to Registrant's Registration Statement on Form S-8 filed on July 24, 2014.</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93">
        <w:r>
          <w:rPr>
            <w:rFonts w:ascii="Times New Roman" w:cs="Times New Roman" w:eastAsia="Times New Roman" w:hAnsi="Times New Roman"/>
            <w:sz w:val="18"/>
            <w:szCs w:val="18"/>
            <w:u w:val="single" w:color="auto"/>
            <w:color w:val="0000FF"/>
          </w:rPr>
          <w:t>Form of Restricted Stock Agreement under the Apogee Enterprises, Inc. 2009 Non-Employee Director Stock Incentive Plan. Incorporated by</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reference to Exhibit 10.3 to Registrant's Current Report on Form 8-K filed on June 30, 2009.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1000" w:hanging="957"/>
        <w:spacing w:after="0" w:line="226" w:lineRule="auto"/>
        <w:tabs>
          <w:tab w:leader="none" w:pos="980" w:val="left"/>
        </w:tabs>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95">
        <w:r>
          <w:rPr>
            <w:rFonts w:ascii="Times New Roman" w:cs="Times New Roman" w:eastAsia="Times New Roman" w:hAnsi="Times New Roman"/>
            <w:sz w:val="18"/>
            <w:szCs w:val="18"/>
            <w:u w:val="single" w:color="auto"/>
            <w:color w:val="0000FF"/>
          </w:rPr>
          <w:t>Restricted Stock Deferral Program under the Apogee Enterprises, Inc. 2009 Non-Employee Director Stock Incentive Plan, as Amended and</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Restated (2014) (2015 Statement). Incorporated by reference to Exhibit 10.1 to Registrant's Current Report on Form 8-K filed on June 30,</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2015.</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000" w:hanging="957"/>
        <w:spacing w:after="0" w:line="226" w:lineRule="auto"/>
        <w:tabs>
          <w:tab w:leader="none" w:pos="980" w:val="left"/>
        </w:tabs>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96">
        <w:r>
          <w:rPr>
            <w:rFonts w:ascii="Times New Roman" w:cs="Times New Roman" w:eastAsia="Times New Roman" w:hAnsi="Times New Roman"/>
            <w:sz w:val="18"/>
            <w:szCs w:val="18"/>
            <w:u w:val="single" w:color="auto"/>
            <w:color w:val="0000FF"/>
          </w:rPr>
          <w:t>Form of Deferred Restricted Stock Unit Agreement under the Apogee Enterprises, Inc. 2009 Non-Employee Director Stock Incentive Plan,</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as Amended and Restated (2014) (2015 Statement).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filed on June 30,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-367665</wp:posOffset>
            </wp:positionV>
            <wp:extent cx="7106285"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98">
        <w:r>
          <w:rPr>
            <w:rFonts w:ascii="Times New Roman" w:cs="Times New Roman" w:eastAsia="Times New Roman" w:hAnsi="Times New Roman"/>
            <w:sz w:val="18"/>
            <w:szCs w:val="18"/>
            <w:u w:val="single" w:color="auto"/>
            <w:color w:val="0000FF"/>
          </w:rPr>
          <w:t>Form of Restricted Stock Agreement under the Apogee Enterprises, Inc. 2009 Stock Incentive Plan for awards made on or after April 26,</w:t>
        </w:r>
      </w:hyperlink>
    </w:p>
    <w:p>
      <w:pPr>
        <w:ind w:left="100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2011. Incorporated by reference to Exhibit 10.3 to Registrant's Current Report on Form 8-K filed on May 2, 2011.</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99">
        <w:r>
          <w:rPr>
            <w:rFonts w:ascii="Times New Roman" w:cs="Times New Roman" w:eastAsia="Times New Roman" w:hAnsi="Times New Roman"/>
            <w:sz w:val="18"/>
            <w:szCs w:val="18"/>
            <w:u w:val="single" w:color="auto"/>
            <w:color w:val="0000FF"/>
          </w:rPr>
          <w:t>Apogee Enterprises, Inc. 2011 Deferred Compensation Plan, effective January 1, 2011.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Registrant's Current Report on Form 8-K filed on October 12, 2010.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01">
        <w:r>
          <w:rPr>
            <w:rFonts w:ascii="Times New Roman" w:cs="Times New Roman" w:eastAsia="Times New Roman" w:hAnsi="Times New Roman"/>
            <w:sz w:val="18"/>
            <w:szCs w:val="18"/>
            <w:u w:val="single" w:color="auto"/>
            <w:color w:val="0000FF"/>
          </w:rPr>
          <w:t>First Amendment to the Apogee Enterprises, Inc. 2011 Deferred Compensation Plan.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Registrant's Current Report on Form 8-K filed July 1, 2014.</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02">
        <w:r>
          <w:rPr>
            <w:rFonts w:ascii="Times New Roman" w:cs="Times New Roman" w:eastAsia="Times New Roman" w:hAnsi="Times New Roman"/>
            <w:sz w:val="18"/>
            <w:szCs w:val="18"/>
            <w:u w:val="single" w:color="auto"/>
            <w:color w:val="0000FF"/>
          </w:rPr>
          <w:t>Second Amendment to the Apogee Enterprises, Inc. 2011 Deferred Compensation Plan. Incorporated herein by reference to Exhibit 10.2 to</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Registrant’s Current Report on Form 8-K filed on June 29,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04">
        <w:r>
          <w:rPr>
            <w:rFonts w:ascii="Times New Roman" w:cs="Times New Roman" w:eastAsia="Times New Roman" w:hAnsi="Times New Roman"/>
            <w:sz w:val="18"/>
            <w:szCs w:val="18"/>
            <w:u w:val="single" w:color="auto"/>
            <w:color w:val="0000FF"/>
          </w:rPr>
          <w:t>Third Amendment to the Apogee Enterprises, Inc. 2011 Deferred Compensation Plan, dated October 5, 2017. Incorporated by reference to</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Exhibit 10.1 to the Registrant's Current Report on Form 8-K filed on October 10, 2017.</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105">
        <w:r>
          <w:rPr>
            <w:rFonts w:ascii="Times New Roman" w:cs="Times New Roman" w:eastAsia="Times New Roman" w:hAnsi="Times New Roman"/>
            <w:sz w:val="18"/>
            <w:szCs w:val="18"/>
            <w:u w:val="single" w:color="auto"/>
            <w:color w:val="0000FF"/>
          </w:rPr>
          <w:t>Fourth Amendment to the Apogee Enterprises, Inc. 2011 Deferred Compensation Plan, dated June 28, 2018. Incorporated by reference to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Exhibit 10.2 to Registrant's Current Report on Form 8-K filed on July 3,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8"/>
            <w:szCs w:val="18"/>
            <w:u w:val="single" w:color="auto"/>
            <w:color w:val="0000FF"/>
          </w:rPr>
          <w:t>Stock Purchase Agreement, dated as of April 28, 2017, by and among Apogee Enterprises, Inc., EFCO Corporation, and Pella Corporation.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Incorporated by reference to Exhibit 2.1 to the Registrant's Current Report on Form 8-K filed on May 2, 2017.</w:t>
        </w:r>
      </w:hyperlink>
    </w:p>
    <w:p>
      <w:pPr>
        <w:spacing w:after="0" w:line="5" w:lineRule="exact"/>
        <w:rPr>
          <w:sz w:val="20"/>
          <w:szCs w:val="20"/>
          <w:color w:val="auto"/>
        </w:rPr>
      </w:pPr>
    </w:p>
    <w:p>
      <w:pPr>
        <w:ind w:left="40"/>
        <w:spacing w:after="0"/>
        <w:tabs>
          <w:tab w:leader="none" w:pos="980" w:val="left"/>
        </w:tabs>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8"/>
            <w:szCs w:val="18"/>
            <w:u w:val="single" w:color="auto"/>
            <w:color w:val="0000FF"/>
          </w:rPr>
          <w:t>Form of Change-in-Control Severance Agreement. Incorporated herein by reference to Exhibit 10.38 to Registrant's Annual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00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10-K filed on April 30, 2018.</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8"/>
            <w:szCs w:val="18"/>
            <w:u w:val="single" w:color="auto"/>
            <w:color w:val="0000FF"/>
          </w:rPr>
          <w:t>Apogee Enterprises, Inc. 401(k) Retirement Plan, effective January 1, 2015. Incorporated by reference to Exhibit 4.4 to Registrant's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Registration Statement on Form S-8 filed October 9, 2015.</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8"/>
            <w:szCs w:val="18"/>
            <w:u w:val="single" w:color="auto"/>
            <w:color w:val="0000FF"/>
          </w:rPr>
          <w:t>Apogee Enterprises, Inc. 2019 Stock Incentive Plan. Incorporated by reference to Exhibit 4.5 to Registrant's Registration Statement on Form</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S-8 filed on February 12,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13">
        <w:r>
          <w:rPr>
            <w:rFonts w:ascii="Times New Roman" w:cs="Times New Roman" w:eastAsia="Times New Roman" w:hAnsi="Times New Roman"/>
            <w:sz w:val="18"/>
            <w:szCs w:val="18"/>
            <w:u w:val="single" w:color="auto"/>
            <w:color w:val="0000FF"/>
          </w:rPr>
          <w:t>Form of Restricted Stock Agreement under the Apogee Enterprises, Inc. 2019 Stock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Registrant’s Current Report on Form 8-K filed on January 16, 2020.</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14">
        <w:r>
          <w:rPr>
            <w:rFonts w:ascii="Times New Roman" w:cs="Times New Roman" w:eastAsia="Times New Roman" w:hAnsi="Times New Roman"/>
            <w:sz w:val="18"/>
            <w:szCs w:val="18"/>
            <w:u w:val="single" w:color="auto"/>
            <w:color w:val="0000FF"/>
          </w:rPr>
          <w:t>Form of Stock Option Agreement under the Apogee Enterprises, Inc. 2019 Stock Incentive Plan.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Registrant's Current Report on Form 8-K filed on July 7,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8"/>
            <w:szCs w:val="18"/>
            <w:u w:val="single" w:color="auto"/>
            <w:color w:val="0000FF"/>
          </w:rPr>
          <w:t>Apogee Enterprises, Inc. 2019 Stock Incentive Plan, as Amended and Restated (2021). Incorporated by reference to Exhibit 4.5 to Apogee’s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Registration Statement on Form S-8 filed on June 25, 2021.</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u w:val="single" w:color="auto"/>
          <w:color w:val="0000FF"/>
        </w:rPr>
        <w:tab/>
      </w:r>
      <w:hyperlink r:id="rId117">
        <w:r>
          <w:rPr>
            <w:rFonts w:ascii="Times New Roman" w:cs="Times New Roman" w:eastAsia="Times New Roman" w:hAnsi="Times New Roman"/>
            <w:sz w:val="18"/>
            <w:szCs w:val="18"/>
            <w:u w:val="single" w:color="auto"/>
            <w:color w:val="0000FF"/>
          </w:rPr>
          <w:t>Form of Restricted Stock Agreement under the Apogee Enterprises, Inc. 2019 Non-Employee Director Stock Plan. Incorporated by reference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to Exhibit 10.2 to Registrant’s Current Report on Form 8-K filed on January 16,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40"/>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19">
        <w:r>
          <w:rPr>
            <w:rFonts w:ascii="Times New Roman" w:cs="Times New Roman" w:eastAsia="Times New Roman" w:hAnsi="Times New Roman"/>
            <w:sz w:val="18"/>
            <w:szCs w:val="18"/>
            <w:u w:val="single" w:color="auto"/>
            <w:color w:val="0000FF"/>
          </w:rPr>
          <w:t>Form of Deferred Restricted Stock Unit Agreement under the Apogee Enterprises, Inc. 2019 Non-Employee Director Stock Incentive Plan.</w:t>
        </w:r>
      </w:hyperlink>
    </w:p>
    <w:p>
      <w:pPr>
        <w:spacing w:after="0" w:line="1"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Incorporated by reference to Exhibit 10.3 to Registrant’s Current Report on Form 8-K filed on January 16, 2020.</w:t>
        </w:r>
      </w:hyperlink>
    </w:p>
    <w:p>
      <w:pPr>
        <w:spacing w:after="0" w:line="16" w:lineRule="exact"/>
        <w:rPr>
          <w:sz w:val="20"/>
          <w:szCs w:val="20"/>
          <w:color w:val="auto"/>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20">
        <w:r>
          <w:rPr>
            <w:rFonts w:ascii="Times New Roman" w:cs="Times New Roman" w:eastAsia="Times New Roman" w:hAnsi="Times New Roman"/>
            <w:sz w:val="18"/>
            <w:szCs w:val="18"/>
            <w:u w:val="single" w:color="auto"/>
            <w:color w:val="0000FF"/>
          </w:rPr>
          <w:t>Restricted Stock Deferral Program Under the Apogee Enterprises, Inc. 2019 Non-Employee Director Stock Incentive Plan. Incorporated by</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reference to Exhibit 10.1 to Registrant's Current Report on Form 8-K filed on April 29,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122">
        <w:r>
          <w:rPr>
            <w:rFonts w:ascii="Times New Roman" w:cs="Times New Roman" w:eastAsia="Times New Roman" w:hAnsi="Times New Roman"/>
            <w:sz w:val="18"/>
            <w:szCs w:val="18"/>
            <w:u w:val="single" w:color="auto"/>
            <w:color w:val="0000FF"/>
          </w:rPr>
          <w:t>Form of Restricted Stock Unit Agreement under the Apogee Enterprises, Inc. 2019 Non-Employee Director Stock Plan. Incorporated by</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reference to Exhibit 10.2 to Registrant's Current Report on Form 8-K filed on April 29, 2020.</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right="2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23">
        <w:r>
          <w:rPr>
            <w:rFonts w:ascii="Times New Roman" w:cs="Times New Roman" w:eastAsia="Times New Roman" w:hAnsi="Times New Roman"/>
            <w:sz w:val="18"/>
            <w:szCs w:val="18"/>
            <w:u w:val="single" w:color="auto"/>
            <w:color w:val="0000FF"/>
          </w:rPr>
          <w:t>Form of CEO Evaluation-Based Incentive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filed on April 30,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25">
        <w:r>
          <w:rPr>
            <w:rFonts w:ascii="Times New Roman" w:cs="Times New Roman" w:eastAsia="Times New Roman" w:hAnsi="Times New Roman"/>
            <w:sz w:val="18"/>
            <w:szCs w:val="18"/>
            <w:u w:val="single" w:color="auto"/>
            <w:color w:val="0000FF"/>
          </w:rPr>
          <w:t>Offer Letter dated May 27, 2020 between Apogee Enterprises, Inc. and Nisheet Gupta.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Registrant’s Quarterly Report on Form 10-Q filed on July 9, 2020.</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u w:val="single" w:color="auto"/>
          <w:color w:val="0000FF"/>
        </w:rPr>
        <w:tab/>
      </w:r>
      <w:hyperlink r:id="rId126">
        <w:r>
          <w:rPr>
            <w:rFonts w:ascii="Times New Roman" w:cs="Times New Roman" w:eastAsia="Times New Roman" w:hAnsi="Times New Roman"/>
            <w:sz w:val="18"/>
            <w:szCs w:val="18"/>
            <w:u w:val="single" w:color="auto"/>
            <w:color w:val="0000FF"/>
          </w:rPr>
          <w:t>Form of Annual Cash Incentive Award Agreement. Incorporated by reference to Exhibit 10.2 to Registrant's Current Report on Form 8-K</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filed on July 7,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jc w:val="both"/>
        <w:ind w:left="1000" w:hanging="957"/>
        <w:spacing w:after="0" w:line="237" w:lineRule="auto"/>
        <w:tabs>
          <w:tab w:leader="none" w:pos="980" w:val="left"/>
        </w:tabs>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u w:val="single" w:color="auto"/>
          <w:color w:val="0000FF"/>
        </w:rPr>
        <w:tab/>
      </w:r>
      <w:hyperlink r:id="rId128">
        <w:r>
          <w:rPr>
            <w:rFonts w:ascii="Times New Roman" w:cs="Times New Roman" w:eastAsia="Times New Roman" w:hAnsi="Times New Roman"/>
            <w:sz w:val="18"/>
            <w:szCs w:val="18"/>
            <w:u w:val="single" w:color="auto"/>
            <w:color w:val="0000FF"/>
          </w:rPr>
          <w:t>Transition Agreement between Apogee Enterprises, Inc. and Joseph F. Puishys, dated September 15, 2020. Incorporated by reference to</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Exhibit 10.1 to Registrant’s Current Report on Form 8-K filed on September 17, 2020.</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10460" w:type="dxa"/>
            <w:vAlign w:val="bottom"/>
            <w:gridSpan w:val="30"/>
            <w:shd w:val="clear" w:color="auto" w:fill="CCEEFF"/>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Employment Agreement between Apogee Enterprises, Inc. and Ty R. Silberhorn, dated December 15, 2020. Incorporated by reference to</w:t>
              </w:r>
            </w:hyperlink>
          </w:p>
        </w:tc>
      </w:tr>
      <w:tr>
        <w:trPr>
          <w:trHeight w:val="155"/>
        </w:trPr>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Exhibit 10.1 to Registrant’s Current Report on Form 8-K filed on December 21,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gridSpan w:val="4"/>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10460" w:type="dxa"/>
            <w:vAlign w:val="bottom"/>
            <w:gridSpan w:val="30"/>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Award Agreement entered into by Apogee Enterprises, Inc. and Ty R. Silberhorn on January 4, 2021. Incorporated</w:t>
              </w:r>
            </w:hyperlink>
          </w:p>
        </w:tc>
      </w:tr>
      <w:tr>
        <w:trPr>
          <w:trHeight w:val="156"/>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0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by reference to Exhibit 10.2 to Registrant’s Current Report on Form 8-K filed on December 21,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gridSpan w:val="4"/>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1046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Agreement. Incorporated by reference to Exhibit 10.1 to Registrant's Current Report on Form 8-K filed on April</w:t>
              </w:r>
            </w:hyperlink>
          </w:p>
        </w:tc>
      </w:tr>
      <w:tr>
        <w:trPr>
          <w:trHeight w:val="190"/>
        </w:trPr>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4"/>
              </w:rPr>
            </w:pPr>
            <w:hyperlink r:id="rId132">
              <w:r>
                <w:rPr>
                  <w:rFonts w:ascii="Times New Roman" w:cs="Times New Roman" w:eastAsia="Times New Roman" w:hAnsi="Times New Roman"/>
                  <w:sz w:val="18"/>
                  <w:szCs w:val="18"/>
                  <w:color w:val="0000FF"/>
                  <w:w w:val="94"/>
                </w:rPr>
                <w:t>26, 2021.</w:t>
              </w:r>
            </w:hyperlink>
          </w:p>
        </w:tc>
        <w:tc>
          <w:tcPr>
            <w:tcW w:w="150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620" w:type="dxa"/>
            <w:vAlign w:val="bottom"/>
            <w:tcBorders>
              <w:top w:val="single" w:sz="8" w:color="0000FF"/>
              <w:bottom w:val="single" w:sz="8" w:color="CCEEFF"/>
            </w:tcBorders>
            <w:shd w:val="clear" w:color="auto" w:fill="CCEEFF"/>
          </w:tcPr>
          <w:p>
            <w:pPr>
              <w:spacing w:after="0"/>
              <w:rPr>
                <w:sz w:val="16"/>
                <w:szCs w:val="16"/>
                <w:color w:val="auto"/>
              </w:rPr>
            </w:pPr>
          </w:p>
        </w:tc>
        <w:tc>
          <w:tcPr>
            <w:tcW w:w="1540" w:type="dxa"/>
            <w:vAlign w:val="bottom"/>
            <w:tcBorders>
              <w:top w:val="single" w:sz="8" w:color="0000FF"/>
              <w:bottom w:val="single" w:sz="8" w:color="CCEEFF"/>
            </w:tcBorders>
            <w:shd w:val="clear" w:color="auto" w:fill="CCEEFF"/>
          </w:tcPr>
          <w:p>
            <w:pPr>
              <w:spacing w:after="0"/>
              <w:rPr>
                <w:sz w:val="16"/>
                <w:szCs w:val="16"/>
                <w:color w:val="auto"/>
              </w:rPr>
            </w:pPr>
          </w:p>
        </w:tc>
        <w:tc>
          <w:tcPr>
            <w:tcW w:w="84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1120" w:type="dxa"/>
            <w:vAlign w:val="bottom"/>
            <w:tcBorders>
              <w:top w:val="single" w:sz="8" w:color="0000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2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960" w:type="dxa"/>
            <w:vAlign w:val="bottom"/>
            <w:gridSpan w:val="4"/>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10460" w:type="dxa"/>
            <w:vAlign w:val="bottom"/>
            <w:gridSpan w:val="30"/>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Performance Award Agreement. Incorporated by reference to Exhibit 10.2 to Registrant's Current Report on Form 8-K filed on April</w:t>
              </w:r>
            </w:hyperlink>
          </w:p>
        </w:tc>
      </w:tr>
      <w:tr>
        <w:trPr>
          <w:trHeight w:val="155"/>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26, 2021.</w:t>
              </w:r>
            </w:hyperlink>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60" w:type="dxa"/>
            <w:vAlign w:val="bottom"/>
            <w:gridSpan w:val="4"/>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1046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Executive Short-Term Incentive Plan Memorandum. Incorporated by reference to Exhibit 10.3 to Registrant's Current Report on</w:t>
              </w:r>
            </w:hyperlink>
          </w:p>
        </w:tc>
      </w:tr>
      <w:tr>
        <w:trPr>
          <w:trHeight w:val="156"/>
        </w:trPr>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8-K filed on April 26,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60" w:type="dxa"/>
            <w:vAlign w:val="bottom"/>
            <w:gridSpan w:val="4"/>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10460" w:type="dxa"/>
            <w:vAlign w:val="bottom"/>
            <w:gridSpan w:val="30"/>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Short-Term Incentive Plan Terms and Conditions. Incorporated by reference to Exhibit 10.4 to Registrant's Current Report on</w:t>
              </w:r>
            </w:hyperlink>
          </w:p>
        </w:tc>
      </w:tr>
      <w:tr>
        <w:trPr>
          <w:trHeight w:val="155"/>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8-K filed on April 26, 2021.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460" w:type="dxa"/>
            <w:vAlign w:val="bottom"/>
            <w:shd w:val="clear" w:color="auto" w:fill="CCEEFF"/>
          </w:tcPr>
          <w:p>
            <w:pPr>
              <w:spacing w:after="0"/>
              <w:rPr>
                <w:sz w:val="16"/>
                <w:szCs w:val="16"/>
                <w:color w:val="auto"/>
              </w:rPr>
            </w:pPr>
          </w:p>
        </w:tc>
        <w:tc>
          <w:tcPr>
            <w:tcW w:w="1046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Third Amended and Restated Credit Agreement, dated as of June 25, 2019, by and among Apogee Enterprises, Inc., as the Borrower, the</w:t>
              </w:r>
            </w:hyperlink>
          </w:p>
        </w:tc>
      </w:tr>
      <w:tr>
        <w:trPr>
          <w:trHeight w:val="156"/>
        </w:trPr>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44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Lenders referred to therein, Wells Fargo Bank, National Association, as Administrative Agent, Swingline Lender and Issuing Lender, and</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U.S. Bank National Association, as Syndication Agent and Issuing Lender. Incorporated by reference to Exhibit 10.1 to Registrant’s Current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2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30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Report on Form 8-K filed on June 28, 2019.</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gridSpan w:val="3"/>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460" w:type="dxa"/>
            <w:vAlign w:val="bottom"/>
          </w:tcPr>
          <w:p>
            <w:pPr>
              <w:spacing w:after="0"/>
              <w:rPr>
                <w:sz w:val="16"/>
                <w:szCs w:val="16"/>
                <w:color w:val="auto"/>
              </w:rPr>
            </w:pPr>
          </w:p>
        </w:tc>
        <w:tc>
          <w:tcPr>
            <w:tcW w:w="10460" w:type="dxa"/>
            <w:vAlign w:val="bottom"/>
            <w:gridSpan w:val="30"/>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Stock Repurchase Agreement between Apogee Enterprises, Inc. and Joseph F. Puishys, dated May 26, 2021. Incorporated by reference to</w:t>
              </w:r>
            </w:hyperlink>
          </w:p>
        </w:tc>
      </w:tr>
      <w:tr>
        <w:trPr>
          <w:trHeight w:val="156"/>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10.1 to Registrant's Quarterly Report on Form 10-Q filed on July 1, 2021.</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460" w:type="dxa"/>
            <w:vAlign w:val="bottom"/>
            <w:shd w:val="clear" w:color="auto" w:fill="CCEEFF"/>
          </w:tcPr>
          <w:p>
            <w:pPr>
              <w:spacing w:after="0"/>
              <w:rPr>
                <w:sz w:val="16"/>
                <w:szCs w:val="16"/>
                <w:color w:val="auto"/>
              </w:rPr>
            </w:pPr>
          </w:p>
        </w:tc>
        <w:tc>
          <w:tcPr>
            <w:tcW w:w="1046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No. 1 to Third Amended and Restated Credit Agreement dated as of June 25, 2019, by and among Apogee Enterprises, Inc., as</w:t>
              </w:r>
            </w:hyperlink>
          </w:p>
        </w:tc>
      </w:tr>
      <w:tr>
        <w:trPr>
          <w:trHeight w:val="156"/>
        </w:trPr>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the Borrower, the Lenders referred to therein, Wells Fargo Bank, National Association, as Administrative Agent, Swingline Lender and</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55"/>
        </w:trPr>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018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Issuing Lender, and U.S. Bank National Association, as Syndication Agent and Issuing Lender. Incorporated by reference to Exhibit 10.1 to</w:t>
              </w:r>
            </w:hyperlink>
          </w:p>
        </w:tc>
        <w:tc>
          <w:tcPr>
            <w:tcW w:w="160" w:type="dxa"/>
            <w:vAlign w:val="bottom"/>
            <w:tcBorders>
              <w:top w:val="single" w:sz="8" w:color="CCEEFF"/>
              <w:bottom w:val="single" w:sz="8" w:color="0000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9"/>
        </w:trPr>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2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Registrant’s Current Report on Form 8-K filed on April 10, 2020.</w:t>
              </w:r>
            </w:hyperlink>
          </w:p>
        </w:tc>
        <w:tc>
          <w:tcPr>
            <w:tcW w:w="40" w:type="dxa"/>
            <w:vAlign w:val="bottom"/>
            <w:gridSpan w:val="2"/>
            <w:shd w:val="clear" w:color="auto" w:fill="CCEEFF"/>
          </w:tcPr>
          <w:p>
            <w:pPr>
              <w:spacing w:after="0"/>
              <w:rPr>
                <w:sz w:val="14"/>
                <w:szCs w:val="14"/>
                <w:color w:val="auto"/>
              </w:rPr>
            </w:pPr>
          </w:p>
        </w:tc>
      </w:tr>
      <w:tr>
        <w:trPr>
          <w:trHeight w:val="21"/>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gridSpan w:val="3"/>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460" w:type="dxa"/>
            <w:vAlign w:val="bottom"/>
          </w:tcPr>
          <w:p>
            <w:pPr>
              <w:spacing w:after="0"/>
              <w:rPr>
                <w:sz w:val="16"/>
                <w:szCs w:val="16"/>
                <w:color w:val="auto"/>
              </w:rPr>
            </w:pPr>
          </w:p>
        </w:tc>
        <w:tc>
          <w:tcPr>
            <w:tcW w:w="10460" w:type="dxa"/>
            <w:vAlign w:val="bottom"/>
            <w:gridSpan w:val="30"/>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2 to Third Amended and Restated Credit Agreement dated as of November 6, 2020, by and among Apogee Enterprises,</w:t>
              </w:r>
            </w:hyperlink>
          </w:p>
        </w:tc>
      </w:tr>
      <w:tr>
        <w:trPr>
          <w:trHeight w:val="156"/>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3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 as the Borrower, the Lenders referred to therein, Wells Fargo Bank, National Association, as Administrative Agent, Swingline Lender</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and Issuing Lender, and U.S. Bank National Association, as Syndication Agent and Issuing Lender. Incorporated by reference to Exhibit 10.1</w:t>
              </w:r>
            </w:hyperlink>
          </w:p>
        </w:tc>
        <w:tc>
          <w:tcPr>
            <w:tcW w:w="60" w:type="dxa"/>
            <w:vAlign w:val="bottom"/>
            <w:gridSpan w:val="3"/>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3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the Registrant’s Current Report on Form 8-K filed on November 10, 2020.</w:t>
              </w:r>
            </w:hyperlink>
          </w:p>
        </w:tc>
        <w:tc>
          <w:tcPr>
            <w:tcW w:w="100" w:type="dxa"/>
            <w:vAlign w:val="bottom"/>
            <w:gridSpan w:val="5"/>
          </w:tcPr>
          <w:p>
            <w:pPr>
              <w:spacing w:after="0"/>
              <w:rPr>
                <w:sz w:val="14"/>
                <w:szCs w:val="14"/>
                <w:color w:val="auto"/>
              </w:rPr>
            </w:pPr>
          </w:p>
        </w:tc>
      </w:tr>
      <w:tr>
        <w:trPr>
          <w:trHeight w:val="21"/>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1"/>
        </w:trPr>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6"/>
              </w:rPr>
              <w:t>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2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r>
      <w:tr>
        <w:trPr>
          <w:trHeight w:val="21"/>
        </w:trPr>
        <w:tc>
          <w:tcPr>
            <w:tcW w:w="2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20"/>
        </w:trPr>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60" w:type="dxa"/>
            <w:vAlign w:val="bottom"/>
            <w:shd w:val="clear" w:color="auto" w:fill="CCEEFF"/>
          </w:tcPr>
          <w:p>
            <w:pPr>
              <w:spacing w:after="0"/>
              <w:rPr>
                <w:sz w:val="16"/>
                <w:szCs w:val="16"/>
                <w:color w:val="auto"/>
              </w:rPr>
            </w:pPr>
          </w:p>
        </w:tc>
        <w:tc>
          <w:tcPr>
            <w:tcW w:w="1046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55"/>
        </w:trPr>
        <w:tc>
          <w:tcPr>
            <w:tcW w:w="2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2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34"/>
        </w:trPr>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60" w:type="dxa"/>
            <w:vAlign w:val="bottom"/>
          </w:tcPr>
          <w:p>
            <w:pPr>
              <w:spacing w:after="0"/>
              <w:rPr>
                <w:sz w:val="16"/>
                <w:szCs w:val="16"/>
                <w:color w:val="auto"/>
              </w:rPr>
            </w:pPr>
          </w:p>
        </w:tc>
        <w:tc>
          <w:tcPr>
            <w:tcW w:w="104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 of</w:t>
            </w:r>
          </w:p>
        </w:tc>
      </w:tr>
      <w:tr>
        <w:trPr>
          <w:trHeight w:val="156"/>
        </w:trPr>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jc w:val="both"/>
        <w:ind w:left="1000" w:right="20" w:hanging="954"/>
        <w:spacing w:after="0" w:line="217"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Annual Report on Form 10-K for the year ended February 26, 2022 are furnished herewith, formatted in iXBRL (Inline Extensible Business Reporting Language): (i) the Consolidated Balance Sheets as of February 26, 2022 and February 27, 2021, (ii) the Consolidated Results of Operations for the three years ended February 26, 2022, February 27, 2021 and February 29, 2020, (iii) the Consolidated Statements of Comprehensive Earnings for the three years February 26, 2022, February 27, 2021 and February 29, 2020, (iv) the Consolidated Statements of Cash Flows for the three years ended February 26, 2022, February 27, 2021 and February 29, 2020, (v) the Consolidated Statements of Shareholders' Equity for the three years ended February 26, 2022, February 27, 2021 and February 29, 2020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-828040</wp:posOffset>
            </wp:positionV>
            <wp:extent cx="7106285" cy="831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06285" cy="831850"/>
                    </a:xfrm>
                    <a:prstGeom prst="rect">
                      <a:avLst/>
                    </a:prstGeom>
                    <a:noFill/>
                  </pic:spPr>
                </pic:pic>
              </a:graphicData>
            </a:graphic>
          </wp:anchor>
        </w:drawing>
      </w:r>
    </w:p>
    <w:p>
      <w:pPr>
        <w:ind w:left="4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22, 2022.</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6909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April 22, 2022.</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169"/>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4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Ty R. Silberhorn</w:t>
            </w:r>
          </w:p>
        </w:tc>
        <w:tc>
          <w:tcPr>
            <w:tcW w:w="22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Nisheet Gupta</w:t>
            </w:r>
          </w:p>
        </w:tc>
        <w:tc>
          <w:tcPr>
            <w:tcW w:w="220" w:type="dxa"/>
            <w:vAlign w:val="bottom"/>
          </w:tcPr>
          <w:p>
            <w:pPr>
              <w:spacing w:after="0"/>
              <w:rPr>
                <w:sz w:val="21"/>
                <w:szCs w:val="2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r>
      <w:tr>
        <w:trPr>
          <w:trHeight w:val="169"/>
        </w:trPr>
        <w:tc>
          <w:tcPr>
            <w:tcW w:w="33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Ty R. Silberhorn</w:t>
            </w:r>
          </w:p>
        </w:tc>
        <w:tc>
          <w:tcPr>
            <w:tcW w:w="220" w:type="dxa"/>
            <w:vAlign w:val="bottom"/>
          </w:tcPr>
          <w:p>
            <w:pPr>
              <w:spacing w:after="0"/>
              <w:rPr>
                <w:sz w:val="14"/>
                <w:szCs w:val="14"/>
                <w:color w:val="auto"/>
              </w:rPr>
            </w:pPr>
          </w:p>
        </w:tc>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Nisheet Gupta</w:t>
            </w:r>
          </w:p>
        </w:tc>
        <w:tc>
          <w:tcPr>
            <w:tcW w:w="220" w:type="dxa"/>
            <w:vAlign w:val="bottom"/>
          </w:tcPr>
          <w:p>
            <w:pPr>
              <w:spacing w:after="0"/>
              <w:rPr>
                <w:sz w:val="14"/>
                <w:szCs w:val="14"/>
                <w:color w:val="auto"/>
              </w:rPr>
            </w:pPr>
          </w:p>
        </w:tc>
        <w:tc>
          <w:tcPr>
            <w:tcW w:w="1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(Principal Executive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(Principal</w:t>
            </w:r>
          </w:p>
        </w:tc>
      </w:tr>
      <w:tr>
        <w:trPr>
          <w:trHeight w:val="180"/>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and</w:t>
            </w: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95"/>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A. Nolan</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M. Lilly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A. Nolan</w:t>
            </w:r>
          </w:p>
        </w:tc>
        <w:tc>
          <w:tcPr>
            <w:tcW w:w="2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M. Lilly</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Christina M. Alvord</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Herbert K. Parker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M. Alvord</w:t>
            </w:r>
          </w:p>
        </w:tc>
        <w:tc>
          <w:tcPr>
            <w:tcW w:w="2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Herbert K. Parker</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G. Heard</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Pompa</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G. Heard</w:t>
            </w:r>
          </w:p>
        </w:tc>
        <w:tc>
          <w:tcPr>
            <w:tcW w:w="2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Pompa</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927"/>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Lloyd E. Johnson</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K. Wagner</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2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Lloyd E. Johnson</w:t>
            </w:r>
          </w:p>
        </w:tc>
        <w:tc>
          <w:tcPr>
            <w:tcW w:w="22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K. Wagner</w:t>
            </w:r>
          </w:p>
        </w:tc>
        <w:tc>
          <w:tcPr>
            <w:tcW w:w="2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1102"/>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0" w:type="dxa"/>
            <w:vAlign w:val="bottom"/>
            <w:gridSpan w:val="3"/>
          </w:tcPr>
          <w:p>
            <w:pPr>
              <w:jc w:val="right"/>
              <w:ind w:right="323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1800" w:type="dxa"/>
            <w:vAlign w:val="bottom"/>
            <w:gridSpan w:val="2"/>
            <w:vMerge w:val="restart"/>
          </w:tcPr>
          <w:p>
            <w:pPr>
              <w:spacing w:after="0"/>
              <w:rPr>
                <w:sz w:val="20"/>
                <w:szCs w:val="20"/>
                <w:color w:val="auto"/>
              </w:rPr>
            </w:pPr>
          </w:p>
        </w:tc>
        <w:tc>
          <w:tcPr>
            <w:tcW w:w="22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220" w:type="dxa"/>
            <w:vAlign w:val="bottom"/>
            <w:tcBorders>
              <w:bottom w:val="single" w:sz="8" w:color="auto"/>
            </w:tcBorders>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9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is the owner of all of the issued and outstanding stock of the following corporations, except as noted below.</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 or Country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20" w:type="dxa"/>
            <w:vAlign w:val="bottom"/>
            <w:gridSpan w:val="4"/>
            <w:vMerge w:val="continue"/>
          </w:tcPr>
          <w:p>
            <w:pPr>
              <w:spacing w:after="0"/>
              <w:rPr>
                <w:sz w:val="21"/>
                <w:szCs w:val="21"/>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Prism Assurance, Ltd.</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Harmon,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 Contract,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Viracon Holding Company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Viracon Georgia, LLC</w:t>
            </w:r>
            <w:r>
              <w:rPr>
                <w:rFonts w:ascii="Times New Roman" w:cs="Times New Roman" w:eastAsia="Times New Roman" w:hAnsi="Times New Roman"/>
                <w:sz w:val="23"/>
                <w:szCs w:val="23"/>
                <w:color w:val="auto"/>
                <w:vertAlign w:val="superscript"/>
              </w:rPr>
              <w:t>(1)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Viracon Singapore Pte. Ltd</w:t>
            </w:r>
            <w:r>
              <w:rPr>
                <w:rFonts w:ascii="Times New Roman" w:cs="Times New Roman" w:eastAsia="Times New Roman" w:hAnsi="Times New Roman"/>
                <w:sz w:val="23"/>
                <w:szCs w:val="23"/>
                <w:color w:val="auto"/>
                <w:vertAlign w:val="superscript"/>
              </w:rPr>
              <w:t>(2)</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Glassec Vidros de Seguranca Ltda.</w:t>
            </w:r>
            <w:r>
              <w:rPr>
                <w:rFonts w:ascii="Times New Roman" w:cs="Times New Roman" w:eastAsia="Times New Roman" w:hAnsi="Times New Roman"/>
                <w:sz w:val="23"/>
                <w:szCs w:val="23"/>
                <w:color w:val="auto"/>
                <w:vertAlign w:val="superscript"/>
              </w:rPr>
              <w:t>(3)</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Tru Vue,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Tru Vue Netherlands, B.V.</w:t>
            </w:r>
            <w:r>
              <w:rPr>
                <w:rFonts w:ascii="Times New Roman" w:cs="Times New Roman" w:eastAsia="Times New Roman" w:hAnsi="Times New Roman"/>
                <w:sz w:val="23"/>
                <w:szCs w:val="23"/>
                <w:color w:val="auto"/>
                <w:vertAlign w:val="superscript"/>
              </w:rPr>
              <w:t>(4)</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Apogee Services, Inc.</w:t>
            </w:r>
            <w:r>
              <w:rPr>
                <w:rFonts w:ascii="Times New Roman" w:cs="Times New Roman" w:eastAsia="Times New Roman" w:hAnsi="Times New Roman"/>
                <w:sz w:val="23"/>
                <w:szCs w:val="23"/>
                <w:color w:val="auto"/>
                <w:vertAlign w:val="superscript"/>
              </w:rPr>
              <w:t>(1)</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Apogee Wausau Group,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Wisconsin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Tubelite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Michigan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Alumicor Limited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Sotawall Limited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EFCO, LLC</w:t>
            </w:r>
            <w:r>
              <w:rPr>
                <w:rFonts w:ascii="Times New Roman" w:cs="Times New Roman" w:eastAsia="Times New Roman" w:hAnsi="Times New Roman"/>
                <w:sz w:val="23"/>
                <w:szCs w:val="23"/>
                <w:color w:val="auto"/>
                <w:vertAlign w:val="superscript"/>
              </w:rPr>
              <w:t>(5)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Velocity, An Apogee Company, LLC</w:t>
            </w:r>
            <w:r>
              <w:rPr>
                <w:rFonts w:ascii="Times New Roman" w:cs="Times New Roman" w:eastAsia="Times New Roman" w:hAnsi="Times New Roman"/>
                <w:sz w:val="23"/>
                <w:szCs w:val="23"/>
                <w:color w:val="auto"/>
                <w:vertAlign w:val="superscript"/>
              </w:rPr>
              <w:t>(6)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2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Viracon, LLC</w:t>
            </w:r>
            <w:r>
              <w:rPr>
                <w:rFonts w:ascii="Times New Roman" w:cs="Times New Roman" w:eastAsia="Times New Roman" w:hAnsi="Times New Roman"/>
                <w:sz w:val="23"/>
                <w:szCs w:val="23"/>
                <w:color w:val="auto"/>
                <w:vertAlign w:val="superscript"/>
              </w:rPr>
              <w:t>(6)</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Harmon, Inc.</w:t>
      </w:r>
    </w:p>
    <w:p>
      <w:pPr>
        <w:spacing w:after="0" w:line="10" w:lineRule="exact"/>
        <w:rPr>
          <w:rFonts w:ascii="Times New Roman" w:cs="Times New Roman" w:eastAsia="Times New Roman" w:hAnsi="Times New Roman"/>
          <w:sz w:val="19"/>
          <w:szCs w:val="19"/>
          <w:color w:val="auto"/>
          <w:vertAlign w:val="superscript"/>
        </w:rPr>
      </w:pPr>
    </w:p>
    <w:p>
      <w:pPr>
        <w:ind w:left="180" w:hanging="172"/>
        <w:spacing w:after="0" w:line="187" w:lineRule="auto"/>
        <w:tabs>
          <w:tab w:leader="none" w:pos="1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by Viracon, LLC</w:t>
      </w:r>
    </w:p>
    <w:p>
      <w:pPr>
        <w:ind w:left="180" w:hanging="172"/>
        <w:spacing w:after="0" w:line="184" w:lineRule="auto"/>
        <w:tabs>
          <w:tab w:leader="none" w:pos="1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Owned 99.9+% by Viracon, LLC and &lt;0.1% by Harmon Contract, Inc.</w:t>
      </w:r>
    </w:p>
    <w:p>
      <w:pPr>
        <w:ind w:left="160" w:hanging="152"/>
        <w:spacing w:after="0" w:line="215"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Tru Vue, Inc.</w:t>
      </w:r>
    </w:p>
    <w:p>
      <w:pPr>
        <w:spacing w:after="0" w:line="10" w:lineRule="exact"/>
        <w:rPr>
          <w:rFonts w:ascii="Times New Roman" w:cs="Times New Roman" w:eastAsia="Times New Roman" w:hAnsi="Times New Roman"/>
          <w:sz w:val="19"/>
          <w:szCs w:val="19"/>
          <w:color w:val="auto"/>
          <w:vertAlign w:val="superscript"/>
        </w:rPr>
      </w:pPr>
    </w:p>
    <w:p>
      <w:pPr>
        <w:ind w:left="160" w:hanging="152"/>
        <w:spacing w:after="0" w:line="207"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Apogee Wausau Group, Inc.</w:t>
      </w:r>
    </w:p>
    <w:p>
      <w:pPr>
        <w:ind w:left="160" w:hanging="152"/>
        <w:spacing w:after="0" w:line="211"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Owned by Viracon Holding Company</w:t>
      </w:r>
    </w:p>
    <w:p>
      <w:pPr>
        <w:sectPr>
          <w:pgSz w:w="11900" w:h="16838" w:orient="portrait"/>
          <w:cols w:equalWidth="0" w:num="1">
            <w:col w:w="11240"/>
          </w:cols>
          <w:pgMar w:left="320" w:top="113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333-58181, 333-95863, 333-160205, 333-169944, 333-175404, 333-197617, 333-197618, 333-207364, 333-207369, 333-236400, 333-249589, 333-249590, 333-257410, 333-260220, 333,260222 and 333-260223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of our reports dated April 22, 2022,relating to the financial statements of Apogee Enterprises, Inc. (the “Company”), and the effectiveness of the Company's internal control over financial reporting, appearing in this Annual Report on Form 10-K of Apogee Enterprises, Inc. for the year ended February 26, 2022.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2022</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Ty R. Silberhorn</w:t>
      </w: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2022</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Nisheet Gupta</w:t>
      </w:r>
    </w:p>
    <w:p>
      <w:pPr>
        <w:ind w:left="6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February 26, 2022, as filed with the Securities and Exchange Commission (the “Report”), I, Ty R. Silberhorn, Chief Executive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22, 2022</w:t>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Apogee Enterprises, Inc. (the “Company”) on Form 10-K for the period ended February 26, 2022, as filed with the Securities and Exchange Commission (the “Report”), I, Nisheet Gupta, Chief Financial Officer of the Company, certify, pursuant to 18 U.S.C. §1350, as adopted pursuant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Nisheet Gupta</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22,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1."/>
      <w:numFmt w:val="decimal"/>
      <w:start w:val="4"/>
    </w:lvl>
  </w:abstractNum>
  <w:abstractNum w:abstractNumId="20">
    <w:nsid w:val="836C40E"/>
    <w:multiLevelType w:val="hybridMultilevel"/>
    <w:lvl w:ilvl="0">
      <w:lvlJc w:val="left"/>
      <w:lvlText w:val="%1."/>
      <w:numFmt w:val="decimal"/>
      <w:start w:val="5"/>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1"/>
    </w:lvl>
  </w:abstractNum>
  <w:abstractNum w:abstractNumId="26">
    <w:nsid w:val="737B8DDC"/>
    <w:multiLevelType w:val="hybridMultilevel"/>
    <w:lvl w:ilvl="0">
      <w:lvlJc w:val="left"/>
      <w:lvlText w:val="%1."/>
      <w:numFmt w:val="decimal"/>
      <w:start w:val="15"/>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6"/>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9" Type="http://schemas.openxmlformats.org/officeDocument/2006/relationships/image" Target="media/image72.png"/><Relationship Id="rId91" Type="http://schemas.openxmlformats.org/officeDocument/2006/relationships/image" Target="media/image73.png"/><Relationship Id="rId94" Type="http://schemas.openxmlformats.org/officeDocument/2006/relationships/image" Target="media/image74.png"/><Relationship Id="rId97" Type="http://schemas.openxmlformats.org/officeDocument/2006/relationships/image" Target="media/image75.png"/><Relationship Id="rId100" Type="http://schemas.openxmlformats.org/officeDocument/2006/relationships/image" Target="media/image76.png"/><Relationship Id="rId103" Type="http://schemas.openxmlformats.org/officeDocument/2006/relationships/image" Target="media/image77.png"/><Relationship Id="rId106" Type="http://schemas.openxmlformats.org/officeDocument/2006/relationships/image" Target="media/image78.png"/><Relationship Id="rId109" Type="http://schemas.openxmlformats.org/officeDocument/2006/relationships/image" Target="media/image79.png"/><Relationship Id="rId112" Type="http://schemas.openxmlformats.org/officeDocument/2006/relationships/image" Target="media/image80.png"/><Relationship Id="rId115" Type="http://schemas.openxmlformats.org/officeDocument/2006/relationships/image" Target="media/image81.png"/><Relationship Id="rId118" Type="http://schemas.openxmlformats.org/officeDocument/2006/relationships/image" Target="media/image82.png"/><Relationship Id="rId121" Type="http://schemas.openxmlformats.org/officeDocument/2006/relationships/image" Target="media/image83.png"/><Relationship Id="rId124" Type="http://schemas.openxmlformats.org/officeDocument/2006/relationships/image" Target="media/image84.png"/><Relationship Id="rId127" Type="http://schemas.openxmlformats.org/officeDocument/2006/relationships/image" Target="media/image85.png"/><Relationship Id="rId129"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79" Type="http://schemas.openxmlformats.org/officeDocument/2006/relationships/hyperlink" Target="http://www.sec.gov/Archives/edgar/data/6845/000119312504079352/dex31.htm" TargetMode="External"/><Relationship Id="rId80" Type="http://schemas.openxmlformats.org/officeDocument/2006/relationships/hyperlink" Target="http://www.sec.gov/Archives/edgar/data/6845/000119312520008887/d874518dex31.htm" TargetMode="External"/><Relationship Id="rId81" Type="http://schemas.openxmlformats.org/officeDocument/2006/relationships/hyperlink" Target="http://www.sec.gov/Archives/edgar/data/0000006845/000119312521131593/d173939dex31.htm" TargetMode="External"/><Relationship Id="rId82" Type="http://schemas.openxmlformats.org/officeDocument/2006/relationships/hyperlink" Target="http://www.sec.gov/Archives/edgar/data/0000006845/000000684521000020/apog-ex41specimenstockce.htm" TargetMode="External"/><Relationship Id="rId83" Type="http://schemas.openxmlformats.org/officeDocument/2006/relationships/hyperlink" Target="http://www.sec.gov/Archives/edgar/data/6845/000000684520000008/apog-ex42202022910k.htm" TargetMode="External"/><Relationship Id="rId84" Type="http://schemas.openxmlformats.org/officeDocument/2006/relationships/hyperlink" Target="http://www.sec.gov/Archives/edgar/data/6845/000119312514279084/d760799dex44.htm" TargetMode="External"/><Relationship Id="rId85" Type="http://schemas.openxmlformats.org/officeDocument/2006/relationships/hyperlink" Target="http://www.sec.gov/Archives/edgar/data/6845/000119312521297906/d238106dex45.htm" TargetMode="External"/><Relationship Id="rId86" Type="http://schemas.openxmlformats.org/officeDocument/2006/relationships/hyperlink" Target="http://www.sec.gov/Archives/edgar/data/6845/000000684521000010/apog-ex104_202122710k.htm" TargetMode="External"/><Relationship Id="rId87" Type="http://schemas.openxmlformats.org/officeDocument/2006/relationships/hyperlink" Target="http://www.sec.gov/Archives/edgar/data/6845/000119312505086815/dex1025.htm" TargetMode="External"/><Relationship Id="rId88" Type="http://schemas.openxmlformats.org/officeDocument/2006/relationships/hyperlink" Target="http://www.sec.gov/Archives/edgar/data/6845/000119312506209073/dex103.htm" TargetMode="External"/><Relationship Id="rId90" Type="http://schemas.openxmlformats.org/officeDocument/2006/relationships/hyperlink" Target="http://www.sec.gov/Archives/edgar/data/6845/000119312511175297/dex101.htm" TargetMode="External"/><Relationship Id="rId92" Type="http://schemas.openxmlformats.org/officeDocument/2006/relationships/hyperlink" Target="http://www.sec.gov/Archives/edgar/data/6845/000119312514279081/d760857dex44.htm" TargetMode="External"/><Relationship Id="rId93" Type="http://schemas.openxmlformats.org/officeDocument/2006/relationships/hyperlink" Target="http://www.sec.gov/Archives/edgar/data/6845/000119312509141612/dex103.htm" TargetMode="External"/><Relationship Id="rId95" Type="http://schemas.openxmlformats.org/officeDocument/2006/relationships/hyperlink" Target="http://www.sec.gov/Archives/edgar/data/6845/000119312515240456/d948035dex101.htm" TargetMode="External"/><Relationship Id="rId96" Type="http://schemas.openxmlformats.org/officeDocument/2006/relationships/hyperlink" Target="http://www.sec.gov/Archives/edgar/data/6845/000119312515240456/d948035dex102.htm" TargetMode="External"/><Relationship Id="rId98" Type="http://schemas.openxmlformats.org/officeDocument/2006/relationships/hyperlink" Target="http://www.sec.gov/Archives/edgar/data/6845/000119312511121730/dex103.htm" TargetMode="External"/><Relationship Id="rId99" Type="http://schemas.openxmlformats.org/officeDocument/2006/relationships/hyperlink" Target="http://www.sec.gov/Archives/edgar/data/6845/000119312510227991/dex101.htm" TargetMode="External"/><Relationship Id="rId101" Type="http://schemas.openxmlformats.org/officeDocument/2006/relationships/hyperlink" Target="http://www.sec.gov/Archives/edgar/data/6845/000119312514257654/d750237dex103.htm" TargetMode="External"/><Relationship Id="rId102" Type="http://schemas.openxmlformats.org/officeDocument/2006/relationships/hyperlink" Target="http://www.sec.gov/Archives/edgar/data/6845/000119312516636499/d206210dex102.htm" TargetMode="External"/><Relationship Id="rId104" Type="http://schemas.openxmlformats.org/officeDocument/2006/relationships/hyperlink" Target="http://www.sec.gov/Archives/edgar/data/6845/000119312517306711/d469293dex101.htm" TargetMode="External"/><Relationship Id="rId105" Type="http://schemas.openxmlformats.org/officeDocument/2006/relationships/hyperlink" Target="http://www.sec.gov/Archives/edgar/data/0000006845/000119312518212380/d688800dex102.htm" TargetMode="External"/><Relationship Id="rId107" Type="http://schemas.openxmlformats.org/officeDocument/2006/relationships/hyperlink" Target="http://www.sec.gov/Archives/edgar/data/6845/000119312517154288/d384821dex21.htm" TargetMode="External"/><Relationship Id="rId108" Type="http://schemas.openxmlformats.org/officeDocument/2006/relationships/hyperlink" Target="http://www.sec.gov/Archives/edgar/data/6845/000000684518000009/apog-ex1038_20183310k.htm" TargetMode="External"/><Relationship Id="rId110" Type="http://schemas.openxmlformats.org/officeDocument/2006/relationships/hyperlink" Target="http://www.sec.gov/Archives/edgar/data/6845/000119312515341387/d78077dex44.htm" TargetMode="External"/><Relationship Id="rId111" Type="http://schemas.openxmlformats.org/officeDocument/2006/relationships/hyperlink" Target="http://www.sec.gov/Archives/edgar/data/6845/000119312520033431/d872962dex45.htm" TargetMode="External"/><Relationship Id="rId113" Type="http://schemas.openxmlformats.org/officeDocument/2006/relationships/hyperlink" Target="http://www.sec.gov/Archives/edgar/data/0000006845/000119312520008887/d874518dex101.htm" TargetMode="External"/><Relationship Id="rId114" Type="http://schemas.openxmlformats.org/officeDocument/2006/relationships/hyperlink" Target="http://www.sec.gov/Archives/edgar/data/0000006845/000119312520188617/d918933dex101.htm" TargetMode="External"/><Relationship Id="rId116" Type="http://schemas.openxmlformats.org/officeDocument/2006/relationships/hyperlink" Target="http://www.sec.gov/Archives/edgar/data/0000006845/000119312521200357/d153134dex45.htm" TargetMode="External"/><Relationship Id="rId117" Type="http://schemas.openxmlformats.org/officeDocument/2006/relationships/hyperlink" Target="http://www.sec.gov/Archives/edgar/data/0000006845/000119312520008887/d874518dex102.htm" TargetMode="External"/><Relationship Id="rId119" Type="http://schemas.openxmlformats.org/officeDocument/2006/relationships/hyperlink" Target="http://www.sec.gov/Archives/edgar/data/6845/000119312520008887/d874518dex103.htm" TargetMode="External"/><Relationship Id="rId120" Type="http://schemas.openxmlformats.org/officeDocument/2006/relationships/hyperlink" Target="http://www.sec.gov/Archives/edgar/data/0000006845/000119312520126546/d823393dex101.htm" TargetMode="External"/><Relationship Id="rId122" Type="http://schemas.openxmlformats.org/officeDocument/2006/relationships/hyperlink" Target="http://www.sec.gov/Archives/edgar/data/0000006845/000119312520126546/d823393dex102.htm" TargetMode="External"/><Relationship Id="rId123" Type="http://schemas.openxmlformats.org/officeDocument/2006/relationships/hyperlink" Target="http://www.sec.gov/Archives/edgar/data/6845/000119312519129740/d739175dex102.htm" TargetMode="External"/><Relationship Id="rId125" Type="http://schemas.openxmlformats.org/officeDocument/2006/relationships/hyperlink" Target="http://www.sec.gov/Archives/edgar/data/6845/000000684520000019/apog-ex10320200530.htm" TargetMode="External"/><Relationship Id="rId126" Type="http://schemas.openxmlformats.org/officeDocument/2006/relationships/hyperlink" Target="http://www.sec.gov/Archives/edgar/data/0000006845/000119312520188617/d918933dex102.htm" TargetMode="External"/><Relationship Id="rId128" Type="http://schemas.openxmlformats.org/officeDocument/2006/relationships/hyperlink" Target="http://www.sec.gov/Archives/edgar/data/0000006845/000119312520247376/d23632dex101.htm" TargetMode="External"/><Relationship Id="rId130" Type="http://schemas.openxmlformats.org/officeDocument/2006/relationships/hyperlink" Target="http://www.sec.gov/Archives/edgar/data/0000006845/000119312520322129/d14167dex101.htm" TargetMode="External"/><Relationship Id="rId131" Type="http://schemas.openxmlformats.org/officeDocument/2006/relationships/hyperlink" Target="http://www.sec.gov/Archives/edgar/data/0000006845/000119312520322129/d14167dex102.htm" TargetMode="External"/><Relationship Id="rId132" Type="http://schemas.openxmlformats.org/officeDocument/2006/relationships/hyperlink" Target="http://www.sec.gov/Archives/edgar/data/0000006845/000119312521131593/d173939dex101.htm" TargetMode="External"/><Relationship Id="rId133" Type="http://schemas.openxmlformats.org/officeDocument/2006/relationships/hyperlink" Target="http://www.sec.gov/Archives/edgar/data/0000006845/000119312521131593/d173939dex102.htm" TargetMode="External"/><Relationship Id="rId134" Type="http://schemas.openxmlformats.org/officeDocument/2006/relationships/hyperlink" Target="http://www.sec.gov/Archives/edgar/data/0000006845/000119312521131593/d173939dex103.htm" TargetMode="External"/><Relationship Id="rId135" Type="http://schemas.openxmlformats.org/officeDocument/2006/relationships/hyperlink" Target="http://www.sec.gov/Archives/edgar/data/0000006845/000119312521131593/d173939dex104.htm" TargetMode="External"/><Relationship Id="rId136" Type="http://schemas.openxmlformats.org/officeDocument/2006/relationships/hyperlink" Target="http://www.sec.gov/Archives/edgar/data/6845/000119312519185963/d772041dex101.htm" TargetMode="External"/><Relationship Id="rId137" Type="http://schemas.openxmlformats.org/officeDocument/2006/relationships/hyperlink" Target="http://www.sec.gov/Archives/edgar/data/0000006845/000000684521000020/apog-ex101stockrepurchasea.htm" TargetMode="External"/><Relationship Id="rId138" Type="http://schemas.openxmlformats.org/officeDocument/2006/relationships/hyperlink" Target="https://www.sec.gov/Archives/edgar/data/0000006845/000000684521000020/apog-ex101stockrepurchasea.htm" TargetMode="External"/><Relationship Id="rId139" Type="http://schemas.openxmlformats.org/officeDocument/2006/relationships/hyperlink" Target="http://www.sec.gov/Archives/edgar/data/6845/000119312520103561/d180746dex101.htm" TargetMode="External"/><Relationship Id="rId140" Type="http://schemas.openxmlformats.org/officeDocument/2006/relationships/hyperlink" Target="http://www.sec.gov/Archives/edgar/data/0000006845/000119312520289554/d934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2022-04-22T14:58:11Z</dcterms:created>
  <dcterms:modified xsi:type="dcterms:W3CDTF">2022-04-22T14:58:11Z</dcterms:modified>
</cp:coreProperties>
</file>