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937895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903605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spacing w:after="0" w:line="10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color w:val="auto"/>
        </w:rPr>
        <w:t>February 27, 2021</w:t>
      </w:r>
    </w:p>
    <w:p>
      <w:pPr>
        <w:spacing w:after="0" w:line="148" w:lineRule="exact"/>
        <w:rPr>
          <w:sz w:val="24"/>
          <w:szCs w:val="24"/>
          <w:color w:val="auto"/>
        </w:rPr>
      </w:pPr>
    </w:p>
    <w:p>
      <w:pPr>
        <w:ind w:left="680" w:right="18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35"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74" w:lineRule="exact"/>
        <w:rPr>
          <w:sz w:val="24"/>
          <w:szCs w:val="24"/>
          <w:color w:val="auto"/>
        </w:rPr>
      </w:pPr>
    </w:p>
    <w:p>
      <w:pPr>
        <w:sectPr>
          <w:pgSz w:w="11900" w:h="16838" w:orient="portrait"/>
          <w:cols w:equalWidth="0" w:num="2">
            <w:col w:w="6120" w:space="600"/>
            <w:col w:w="452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0-6365</w:t>
      </w:r>
    </w:p>
    <w:p>
      <w:pPr>
        <w:spacing w:after="0" w:line="67"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APOGEE ENTERPRISES, INC.</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sectPr>
          <w:pgSz w:w="11900" w:h="16838" w:orient="portrait"/>
          <w:cols w:equalWidth="0" w:num="1">
            <w:col w:w="11240"/>
          </w:cols>
          <w:pgMar w:left="320" w:top="1440" w:right="339" w:bottom="1440" w:gutter="0" w:footer="0" w:header="0"/>
          <w:type w:val="continuous"/>
        </w:sectPr>
      </w:pPr>
    </w:p>
    <w:p>
      <w:pPr>
        <w:spacing w:after="0" w:line="126"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41-0919654</w:t>
      </w:r>
    </w:p>
    <w:p>
      <w:pPr>
        <w:spacing w:after="0" w:line="31" w:lineRule="exact"/>
        <w:rPr>
          <w:sz w:val="24"/>
          <w:szCs w:val="24"/>
          <w:color w:val="auto"/>
        </w:rPr>
      </w:pPr>
    </w:p>
    <w:p>
      <w:pPr>
        <w:sectPr>
          <w:pgSz w:w="11900" w:h="16838" w:orient="portrait"/>
          <w:cols w:equalWidth="0" w:num="2">
            <w:col w:w="8340" w:space="720"/>
            <w:col w:w="2180"/>
          </w:cols>
          <w:pgMar w:left="320" w:top="1440" w:right="339" w:bottom="1440" w:gutter="0" w:footer="0" w:header="0"/>
          <w:type w:val="continuous"/>
        </w:sectPr>
      </w:pPr>
    </w:p>
    <w:p>
      <w:pPr>
        <w:spacing w:after="0" w:line="12" w:lineRule="exact"/>
        <w:rPr>
          <w:sz w:val="24"/>
          <w:szCs w:val="24"/>
          <w:color w:val="auto"/>
        </w:rPr>
      </w:pPr>
    </w:p>
    <w:p>
      <w:pPr>
        <w:ind w:left="1200"/>
        <w:spacing w:after="0"/>
        <w:rPr>
          <w:sz w:val="20"/>
          <w:szCs w:val="20"/>
          <w:color w:val="auto"/>
        </w:rPr>
      </w:pPr>
      <w:r>
        <w:rPr>
          <w:rFonts w:ascii="Arial" w:cs="Arial" w:eastAsia="Arial" w:hAnsi="Arial"/>
          <w:sz w:val="13"/>
          <w:szCs w:val="13"/>
          <w:color w:val="auto"/>
        </w:rPr>
        <w:t>(State or other jurisdiction of</w:t>
      </w:r>
    </w:p>
    <w:p>
      <w:pPr>
        <w:ind w:left="11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82" w:lineRule="exact"/>
        <w:rPr>
          <w:sz w:val="24"/>
          <w:szCs w:val="24"/>
          <w:color w:val="auto"/>
        </w:rPr>
      </w:pPr>
    </w:p>
    <w:p>
      <w:pPr>
        <w:sectPr>
          <w:pgSz w:w="11900" w:h="16838" w:orient="portrait"/>
          <w:cols w:equalWidth="0" w:num="2">
            <w:col w:w="8240" w:space="720"/>
            <w:col w:w="2280"/>
          </w:cols>
          <w:pgMar w:left="320" w:top="1440" w:right="339" w:bottom="1440" w:gutter="0" w:footer="0" w:header="0"/>
          <w:type w:val="continuous"/>
        </w:sectPr>
      </w:pPr>
    </w:p>
    <w:p>
      <w:pPr>
        <w:ind w:left="1200"/>
        <w:spacing w:after="0"/>
        <w:rPr>
          <w:sz w:val="20"/>
          <w:szCs w:val="20"/>
          <w:color w:val="auto"/>
        </w:rPr>
      </w:pPr>
      <w:r>
        <w:rPr>
          <w:rFonts w:ascii="Arial" w:cs="Arial" w:eastAsia="Arial" w:hAnsi="Arial"/>
          <w:sz w:val="16"/>
          <w:szCs w:val="16"/>
          <w:b w:val="1"/>
          <w:bCs w:val="1"/>
          <w:color w:val="auto"/>
        </w:rPr>
        <w:t>4400 West 78th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Suite 520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Minneapolis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55435</w:t>
      </w:r>
    </w:p>
    <w:p>
      <w:pPr>
        <w:spacing w:after="0" w:line="61" w:lineRule="exact"/>
        <w:rPr>
          <w:sz w:val="24"/>
          <w:szCs w:val="24"/>
          <w:color w:val="auto"/>
        </w:rPr>
      </w:pPr>
    </w:p>
    <w:p>
      <w:pPr>
        <w:sectPr>
          <w:pgSz w:w="11900" w:h="16838" w:orient="portrait"/>
          <w:cols w:equalWidth="0" w:num="5">
            <w:col w:w="3500" w:space="720"/>
            <w:col w:w="700" w:space="360"/>
            <w:col w:w="940" w:space="440"/>
            <w:col w:w="1900" w:space="720"/>
            <w:col w:w="1960"/>
          </w:cols>
          <w:pgMar w:left="320" w:top="1440" w:right="339" w:bottom="1440" w:gutter="0" w:footer="0" w:header="0"/>
          <w:type w:val="continuous"/>
        </w:sectPr>
      </w:pPr>
    </w:p>
    <w:p>
      <w:pPr>
        <w:ind w:left="14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70" w:lineRule="exact"/>
        <w:rPr>
          <w:sz w:val="24"/>
          <w:szCs w:val="24"/>
          <w:color w:val="auto"/>
        </w:rPr>
      </w:pPr>
    </w:p>
    <w:p>
      <w:pPr>
        <w:sectPr>
          <w:pgSz w:w="11900" w:h="16838" w:orient="portrait"/>
          <w:cols w:equalWidth="0" w:num="2">
            <w:col w:w="8460" w:space="720"/>
            <w:col w:w="206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(952) 835-1874</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440" w:right="339" w:bottom="1440" w:gutter="0" w:footer="0" w:header="0"/>
          <w:type w:val="continuous"/>
        </w:sectPr>
      </w:pPr>
    </w:p>
    <w:p>
      <w:pPr>
        <w:spacing w:after="0" w:line="50"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3">
            <w:col w:w="3940" w:space="720"/>
            <w:col w:w="1960" w:space="720"/>
            <w:col w:w="3900"/>
          </w:cols>
          <w:pgMar w:left="320" w:top="1440"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Common Stock, $0.33 1/3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APOG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97" w:lineRule="exact"/>
        <w:rPr>
          <w:sz w:val="24"/>
          <w:szCs w:val="24"/>
          <w:color w:val="auto"/>
        </w:rPr>
      </w:pPr>
    </w:p>
    <w:p>
      <w:pPr>
        <w:sectPr>
          <w:pgSz w:w="11900" w:h="16838" w:orient="portrait"/>
          <w:cols w:equalWidth="0" w:num="3">
            <w:col w:w="4360" w:space="720"/>
            <w:col w:w="1820" w:space="720"/>
            <w:col w:w="3620"/>
          </w:cols>
          <w:pgMar w:left="320" w:top="1440"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ind w:left="4160"/>
        <w:spacing w:after="0" w:line="237" w:lineRule="auto"/>
        <w:rPr>
          <w:sz w:val="20"/>
          <w:szCs w:val="20"/>
          <w:color w:val="auto"/>
        </w:rPr>
      </w:pPr>
      <w:r>
        <w:rPr>
          <w:rFonts w:ascii="Arial" w:cs="Arial" w:eastAsia="Arial" w:hAnsi="Arial"/>
          <w:sz w:val="18"/>
          <w:szCs w:val="18"/>
          <w:color w:val="auto"/>
        </w:rPr>
        <w:t>________________________________</w:t>
      </w: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8" w:lineRule="exact"/>
        <w:rPr>
          <w:sz w:val="24"/>
          <w:szCs w:val="24"/>
          <w:color w:val="auto"/>
        </w:rPr>
      </w:pP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97" w:right="339" w:bottom="1440" w:gutter="0" w:footer="0" w:header="0"/>
        </w:sectPr>
      </w:pP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2260"/>
              <w:spacing w:after="0"/>
              <w:rPr>
                <w:sz w:val="20"/>
                <w:szCs w:val="20"/>
                <w:color w:val="auto"/>
              </w:rPr>
            </w:pPr>
            <w:r>
              <w:rPr>
                <w:rFonts w:ascii="Arial" w:cs="Arial" w:eastAsia="Arial" w:hAnsi="Arial"/>
                <w:sz w:val="18"/>
                <w:szCs w:val="18"/>
                <w:color w:val="auto"/>
              </w:rPr>
              <w:t>Accelerated Filer</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2260"/>
              <w:spacing w:after="0"/>
              <w:rPr>
                <w:sz w:val="20"/>
                <w:szCs w:val="20"/>
                <w:color w:val="auto"/>
              </w:rPr>
            </w:pPr>
            <w:r>
              <w:rPr>
                <w:rFonts w:ascii="Arial" w:cs="Arial" w:eastAsia="Arial" w:hAnsi="Arial"/>
                <w:sz w:val="18"/>
                <w:szCs w:val="18"/>
                <w:color w:val="auto"/>
                <w:w w:val="90"/>
              </w:rPr>
              <w:t>Smaller Reporting Company</w:t>
            </w:r>
          </w:p>
        </w:tc>
      </w:tr>
      <w:tr>
        <w:trPr>
          <w:trHeight w:val="278"/>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r>
    </w:tbl>
    <w:p>
      <w:pPr>
        <w:ind w:left="220"/>
        <w:spacing w:after="0" w:line="22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8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97" w:lineRule="exact"/>
        <w:rPr>
          <w:sz w:val="20"/>
          <w:szCs w:val="20"/>
          <w:color w:val="auto"/>
        </w:rPr>
      </w:pPr>
    </w:p>
    <w:p>
      <w:pPr>
        <w:sectPr>
          <w:pgSz w:w="11900" w:h="16838" w:orient="portrait"/>
          <w:cols w:equalWidth="0" w:num="2">
            <w:col w:w="10280" w:space="280"/>
            <w:col w:w="680"/>
          </w:cols>
          <w:pgMar w:left="320" w:top="1097" w:right="339" w:bottom="1440" w:gutter="0" w:footer="0" w:header="0"/>
          <w:type w:val="continuous"/>
        </w:sectPr>
      </w:pPr>
    </w:p>
    <w:p>
      <w:pPr>
        <w:spacing w:after="0" w:line="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spacing w:after="0" w:line="207" w:lineRule="exact"/>
        <w:tabs>
          <w:tab w:leader="none" w:pos="2340" w:val="left"/>
        </w:tabs>
        <w:rPr>
          <w:sz w:val="20"/>
          <w:szCs w:val="20"/>
          <w:color w:val="auto"/>
        </w:rPr>
      </w:pPr>
      <w:r>
        <w:rPr>
          <w:rFonts w:ascii="Arial" w:cs="Arial" w:eastAsia="Arial" w:hAnsi="Arial"/>
          <w:sz w:val="18"/>
          <w:szCs w:val="18"/>
          <w:color w:val="auto"/>
        </w:rPr>
        <w:t>issued its audit report.</w:t>
      </w:r>
      <w:r>
        <w:rPr>
          <w:sz w:val="20"/>
          <w:szCs w:val="20"/>
          <w:color w:val="auto"/>
        </w:rPr>
        <w:tab/>
      </w:r>
      <w:r>
        <w:rPr>
          <w:rFonts w:ascii="MS PGothic" w:cs="MS PGothic" w:eastAsia="MS PGothic" w:hAnsi="MS PGothic"/>
          <w:sz w:val="16"/>
          <w:szCs w:val="16"/>
          <w:color w:val="auto"/>
        </w:rPr>
        <w:t>☒</w:t>
      </w:r>
    </w:p>
    <w:p>
      <w:pPr>
        <w:spacing w:after="0" w:line="129" w:lineRule="exact"/>
        <w:rPr>
          <w:sz w:val="20"/>
          <w:szCs w:val="20"/>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28, 2020, the last business day of the registrant's most recently completed second fiscal quarter, the approximate aggregate market value of voting and non-voting common equity held by non-affiliates of the registrant was $560,000,000 (based on the closing price of $21.69 per share as reported on the NASDAQ Stock Market LLC as of that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April 20, 2021, 25,781,624 shares of the registrant’s common stock, par value $0.33 1/3 per share, were outstanding.</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DOCUMENTS INCORPORATED BY REFERENCE:</w:t>
      </w:r>
    </w:p>
    <w:p>
      <w:pPr>
        <w:spacing w:after="0" w:line="256"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In accordance with General Instruction G(3) of Form 10-K, certain information required by Part III hereof will either be incorporated into this Annual Report on Form 10-K by reference to our Definitive Proxy Statement for our Annual Meeting of Shareholders filed within 120 days of our fiscal year ended February 27, 2021 or will be included in an amendment to this Annual Report on Form 10-K filed within 120 days of February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78105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43815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15"/>
          </w:tcPr>
          <w:p>
            <w:pPr>
              <w:jc w:val="center"/>
              <w:ind w:right="2120"/>
              <w:spacing w:after="0"/>
              <w:rPr>
                <w:sz w:val="20"/>
                <w:szCs w:val="20"/>
                <w:color w:val="auto"/>
              </w:rPr>
            </w:pPr>
            <w:r>
              <w:rPr>
                <w:rFonts w:ascii="Arial" w:cs="Arial" w:eastAsia="Arial" w:hAnsi="Arial"/>
                <w:sz w:val="18"/>
                <w:szCs w:val="18"/>
                <w:b w:val="1"/>
                <w:bCs w:val="1"/>
                <w:color w:val="auto"/>
                <w:w w:val="98"/>
              </w:rPr>
              <w:t>APOGEE ENTERPRISES, INC.</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15"/>
          </w:tcPr>
          <w:p>
            <w:pPr>
              <w:jc w:val="center"/>
              <w:ind w:right="2120"/>
              <w:spacing w:after="0"/>
              <w:rPr>
                <w:sz w:val="20"/>
                <w:szCs w:val="20"/>
                <w:color w:val="auto"/>
              </w:rPr>
            </w:pPr>
            <w:r>
              <w:rPr>
                <w:rFonts w:ascii="Arial" w:cs="Arial" w:eastAsia="Arial" w:hAnsi="Arial"/>
                <w:sz w:val="18"/>
                <w:szCs w:val="18"/>
                <w:b w:val="1"/>
                <w:bCs w:val="1"/>
                <w:color w:val="auto"/>
                <w:w w:val="93"/>
              </w:rPr>
              <w:t>Annual Report on Form 10-K</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40" w:type="dxa"/>
            <w:vAlign w:val="bottom"/>
            <w:gridSpan w:val="15"/>
          </w:tcPr>
          <w:p>
            <w:pPr>
              <w:jc w:val="center"/>
              <w:ind w:right="2100"/>
              <w:spacing w:after="0"/>
              <w:rPr>
                <w:sz w:val="20"/>
                <w:szCs w:val="20"/>
                <w:color w:val="auto"/>
              </w:rPr>
            </w:pPr>
            <w:r>
              <w:rPr>
                <w:rFonts w:ascii="Arial" w:cs="Arial" w:eastAsia="Arial" w:hAnsi="Arial"/>
                <w:sz w:val="18"/>
                <w:szCs w:val="18"/>
                <w:b w:val="1"/>
                <w:bCs w:val="1"/>
                <w:color w:val="auto"/>
                <w:w w:val="90"/>
              </w:rPr>
              <w:t>For the fiscal year ended February 27, 2021</w:t>
            </w: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40" w:type="dxa"/>
            <w:vAlign w:val="bottom"/>
            <w:gridSpan w:val="15"/>
          </w:tcPr>
          <w:p>
            <w:pPr>
              <w:jc w:val="center"/>
              <w:ind w:right="2120"/>
              <w:spacing w:after="0"/>
              <w:rPr>
                <w:sz w:val="20"/>
                <w:szCs w:val="20"/>
                <w:color w:val="auto"/>
              </w:rPr>
            </w:pPr>
            <w:r>
              <w:rPr>
                <w:rFonts w:ascii="Arial" w:cs="Arial" w:eastAsia="Arial" w:hAnsi="Arial"/>
                <w:sz w:val="18"/>
                <w:szCs w:val="18"/>
                <w:b w:val="1"/>
                <w:bCs w:val="1"/>
                <w:color w:val="auto"/>
                <w:w w:val="98"/>
              </w:rPr>
              <w:t>TABLE OF CONTENTS</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0"/>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Page</w:t>
            </w:r>
          </w:p>
        </w:tc>
      </w:tr>
      <w:tr>
        <w:trPr>
          <w:trHeight w:val="192"/>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0" w:type="dxa"/>
            <w:vAlign w:val="bottom"/>
            <w:gridSpan w:val="12"/>
          </w:tcPr>
          <w:p>
            <w:pPr>
              <w:jc w:val="center"/>
              <w:ind w:right="3400"/>
              <w:spacing w:after="0"/>
              <w:rPr>
                <w:rFonts w:ascii="Arial" w:cs="Arial" w:eastAsia="Arial" w:hAnsi="Arial"/>
                <w:sz w:val="16"/>
                <w:szCs w:val="16"/>
                <w:b w:val="1"/>
                <w:bCs w:val="1"/>
                <w:color w:val="0000FF"/>
                <w:w w:val="99"/>
              </w:rPr>
            </w:pPr>
            <w:hyperlink w:anchor="page3">
              <w:r>
                <w:rPr>
                  <w:rFonts w:ascii="Arial" w:cs="Arial" w:eastAsia="Arial" w:hAnsi="Arial"/>
                  <w:sz w:val="16"/>
                  <w:szCs w:val="16"/>
                  <w:b w:val="1"/>
                  <w:bCs w:val="1"/>
                  <w:color w:val="0000FF"/>
                  <w:w w:val="99"/>
                </w:rPr>
                <w:t>PART I</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840" w:type="dxa"/>
            <w:vAlign w:val="bottom"/>
            <w:gridSpan w:val="3"/>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p>
        </w:tc>
        <w:tc>
          <w:tcPr>
            <w:tcW w:w="4680" w:type="dxa"/>
            <w:vAlign w:val="bottom"/>
            <w:gridSpan w:val="16"/>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Business</w:t>
              </w:r>
            </w:hyperlink>
          </w:p>
        </w:tc>
        <w:tc>
          <w:tcPr>
            <w:tcW w:w="520" w:type="dxa"/>
            <w:vAlign w:val="bottom"/>
            <w:tcBorders>
              <w:top w:val="single" w:sz="8" w:color="0000FF"/>
            </w:tcBorders>
            <w:gridSpan w:val="3"/>
          </w:tcPr>
          <w:p>
            <w:pPr>
              <w:spacing w:after="0"/>
              <w:rPr>
                <w:sz w:val="17"/>
                <w:szCs w:val="17"/>
                <w:color w:val="auto"/>
              </w:rPr>
            </w:pPr>
          </w:p>
        </w:tc>
        <w:tc>
          <w:tcPr>
            <w:tcW w:w="3440" w:type="dxa"/>
            <w:vAlign w:val="bottom"/>
            <w:gridSpan w:val="8"/>
          </w:tcPr>
          <w:p>
            <w:pPr>
              <w:spacing w:after="0"/>
              <w:rPr>
                <w:sz w:val="17"/>
                <w:szCs w:val="17"/>
                <w:color w:val="auto"/>
              </w:rPr>
            </w:pPr>
          </w:p>
        </w:tc>
        <w:tc>
          <w:tcPr>
            <w:tcW w:w="170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w w:val="83"/>
              </w:rPr>
            </w:pPr>
            <w:hyperlink w:anchor="page10">
              <w:r>
                <w:rPr>
                  <w:rFonts w:ascii="Arial" w:cs="Arial" w:eastAsia="Arial" w:hAnsi="Arial"/>
                  <w:sz w:val="16"/>
                  <w:szCs w:val="16"/>
                  <w:color w:val="0000FF"/>
                  <w:w w:val="83"/>
                </w:rPr>
                <w:t>Item 1A.</w:t>
              </w:r>
            </w:hyperlink>
          </w:p>
        </w:tc>
        <w:tc>
          <w:tcPr>
            <w:tcW w:w="300" w:type="dxa"/>
            <w:vAlign w:val="bottom"/>
          </w:tcPr>
          <w:p>
            <w:pPr>
              <w:spacing w:after="0"/>
              <w:rPr>
                <w:sz w:val="17"/>
                <w:szCs w:val="17"/>
                <w:color w:val="auto"/>
              </w:rPr>
            </w:pPr>
          </w:p>
        </w:tc>
        <w:tc>
          <w:tcPr>
            <w:tcW w:w="820" w:type="dxa"/>
            <w:vAlign w:val="bottom"/>
            <w:gridSpan w:val="3"/>
          </w:tcPr>
          <w:p>
            <w:pPr>
              <w:spacing w:after="0"/>
              <w:rPr>
                <w:rFonts w:ascii="Arial" w:cs="Arial" w:eastAsia="Arial" w:hAnsi="Arial"/>
                <w:sz w:val="16"/>
                <w:szCs w:val="16"/>
                <w:color w:val="0000FF"/>
                <w:w w:val="89"/>
              </w:rPr>
            </w:pPr>
            <w:hyperlink w:anchor="page10">
              <w:r>
                <w:rPr>
                  <w:rFonts w:ascii="Arial" w:cs="Arial" w:eastAsia="Arial" w:hAnsi="Arial"/>
                  <w:sz w:val="16"/>
                  <w:szCs w:val="16"/>
                  <w:color w:val="0000FF"/>
                  <w:w w:val="89"/>
                </w:rPr>
                <w:t>Risk Factors</w:t>
              </w:r>
            </w:hyperlink>
          </w:p>
        </w:tc>
        <w:tc>
          <w:tcPr>
            <w:tcW w:w="7820" w:type="dxa"/>
            <w:vAlign w:val="bottom"/>
            <w:gridSpan w:val="24"/>
          </w:tcPr>
          <w:p>
            <w:pPr>
              <w:spacing w:after="0"/>
              <w:rPr>
                <w:sz w:val="17"/>
                <w:szCs w:val="17"/>
                <w:color w:val="auto"/>
              </w:rPr>
            </w:pPr>
          </w:p>
        </w:tc>
        <w:tc>
          <w:tcPr>
            <w:tcW w:w="1700" w:type="dxa"/>
            <w:vAlign w:val="bottom"/>
            <w:gridSpan w:val="3"/>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10</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w w:val="83"/>
              </w:rPr>
            </w:pPr>
            <w:hyperlink w:anchor="page14">
              <w:r>
                <w:rPr>
                  <w:rFonts w:ascii="Arial" w:cs="Arial" w:eastAsia="Arial" w:hAnsi="Arial"/>
                  <w:sz w:val="16"/>
                  <w:szCs w:val="16"/>
                  <w:color w:val="0000FF"/>
                  <w:w w:val="83"/>
                </w:rPr>
                <w:t>Item 1B.</w:t>
              </w:r>
            </w:hyperlink>
          </w:p>
        </w:tc>
        <w:tc>
          <w:tcPr>
            <w:tcW w:w="300" w:type="dxa"/>
            <w:vAlign w:val="bottom"/>
          </w:tcPr>
          <w:p>
            <w:pPr>
              <w:spacing w:after="0"/>
              <w:rPr>
                <w:sz w:val="17"/>
                <w:szCs w:val="17"/>
                <w:color w:val="auto"/>
              </w:rPr>
            </w:pPr>
          </w:p>
        </w:tc>
        <w:tc>
          <w:tcPr>
            <w:tcW w:w="8640" w:type="dxa"/>
            <w:vAlign w:val="bottom"/>
            <w:gridSpan w:val="27"/>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Unresolved Staff Comments</w:t>
              </w:r>
            </w:hyperlink>
          </w:p>
        </w:tc>
        <w:tc>
          <w:tcPr>
            <w:tcW w:w="1700" w:type="dxa"/>
            <w:vAlign w:val="bottom"/>
            <w:gridSpan w:val="3"/>
          </w:tcPr>
          <w:p>
            <w:pPr>
              <w:jc w:val="right"/>
              <w:spacing w:after="0"/>
              <w:rPr>
                <w:rFonts w:ascii="Arial" w:cs="Arial" w:eastAsia="Arial" w:hAnsi="Arial"/>
                <w:sz w:val="16"/>
                <w:szCs w:val="16"/>
                <w:color w:val="0000FF"/>
              </w:rPr>
            </w:pPr>
            <w:hyperlink w:anchor="page14">
              <w:r>
                <w:rPr>
                  <w:rFonts w:ascii="Arial" w:cs="Arial" w:eastAsia="Arial" w:hAnsi="Arial"/>
                  <w:sz w:val="16"/>
                  <w:szCs w:val="16"/>
                  <w:color w:val="0000FF"/>
                </w:rPr>
                <w:t>14</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Item 2.</w:t>
              </w:r>
            </w:hyperlink>
          </w:p>
        </w:tc>
        <w:tc>
          <w:tcPr>
            <w:tcW w:w="300" w:type="dxa"/>
            <w:vAlign w:val="bottom"/>
          </w:tcPr>
          <w:p>
            <w:pPr>
              <w:spacing w:after="0"/>
              <w:rPr>
                <w:sz w:val="17"/>
                <w:szCs w:val="17"/>
                <w:color w:val="auto"/>
              </w:rPr>
            </w:pPr>
          </w:p>
        </w:tc>
        <w:tc>
          <w:tcPr>
            <w:tcW w:w="1840" w:type="dxa"/>
            <w:vAlign w:val="bottom"/>
            <w:gridSpan w:val="8"/>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Properties</w:t>
              </w:r>
            </w:hyperlink>
          </w:p>
        </w:tc>
        <w:tc>
          <w:tcPr>
            <w:tcW w:w="6800" w:type="dxa"/>
            <w:vAlign w:val="bottom"/>
            <w:gridSpan w:val="19"/>
          </w:tcPr>
          <w:p>
            <w:pPr>
              <w:spacing w:after="0"/>
              <w:rPr>
                <w:sz w:val="17"/>
                <w:szCs w:val="17"/>
                <w:color w:val="auto"/>
              </w:rPr>
            </w:pPr>
          </w:p>
        </w:tc>
        <w:tc>
          <w:tcPr>
            <w:tcW w:w="1700" w:type="dxa"/>
            <w:vAlign w:val="bottom"/>
            <w:gridSpan w:val="3"/>
          </w:tcPr>
          <w:p>
            <w:pPr>
              <w:jc w:val="right"/>
              <w:spacing w:after="0"/>
              <w:rPr>
                <w:rFonts w:ascii="Arial" w:cs="Arial" w:eastAsia="Arial" w:hAnsi="Arial"/>
                <w:sz w:val="16"/>
                <w:szCs w:val="16"/>
                <w:color w:val="0000FF"/>
              </w:rPr>
            </w:pPr>
            <w:hyperlink w:anchor="page14">
              <w:r>
                <w:rPr>
                  <w:rFonts w:ascii="Arial" w:cs="Arial" w:eastAsia="Arial" w:hAnsi="Arial"/>
                  <w:sz w:val="16"/>
                  <w:szCs w:val="16"/>
                  <w:color w:val="0000FF"/>
                </w:rPr>
                <w:t>14</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840" w:type="dxa"/>
            <w:vAlign w:val="bottom"/>
            <w:gridSpan w:val="3"/>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Item 3.</w:t>
              </w:r>
            </w:hyperlink>
          </w:p>
        </w:tc>
        <w:tc>
          <w:tcPr>
            <w:tcW w:w="8640" w:type="dxa"/>
            <w:vAlign w:val="bottom"/>
            <w:gridSpan w:val="27"/>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Legal Proceedings</w:t>
              </w:r>
            </w:hyperlink>
          </w:p>
        </w:tc>
        <w:tc>
          <w:tcPr>
            <w:tcW w:w="1700" w:type="dxa"/>
            <w:vAlign w:val="bottom"/>
            <w:gridSpan w:val="3"/>
          </w:tcPr>
          <w:p>
            <w:pPr>
              <w:jc w:val="right"/>
              <w:spacing w:after="0"/>
              <w:rPr>
                <w:rFonts w:ascii="Arial" w:cs="Arial" w:eastAsia="Arial" w:hAnsi="Arial"/>
                <w:sz w:val="16"/>
                <w:szCs w:val="16"/>
                <w:color w:val="0000FF"/>
              </w:rPr>
            </w:pPr>
            <w:hyperlink w:anchor="page15">
              <w:r>
                <w:rPr>
                  <w:rFonts w:ascii="Arial" w:cs="Arial" w:eastAsia="Arial" w:hAnsi="Arial"/>
                  <w:sz w:val="16"/>
                  <w:szCs w:val="16"/>
                  <w:color w:val="0000FF"/>
                </w:rPr>
                <w:t>15</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r>
      <w:tr>
        <w:trPr>
          <w:trHeight w:val="196"/>
        </w:trPr>
        <w:tc>
          <w:tcPr>
            <w:tcW w:w="840" w:type="dxa"/>
            <w:vAlign w:val="bottom"/>
            <w:gridSpan w:val="3"/>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Item 4.</w:t>
              </w:r>
            </w:hyperlink>
          </w:p>
        </w:tc>
        <w:tc>
          <w:tcPr>
            <w:tcW w:w="8640" w:type="dxa"/>
            <w:vAlign w:val="bottom"/>
            <w:gridSpan w:val="27"/>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Mine Safety Disclosures</w:t>
              </w:r>
            </w:hyperlink>
          </w:p>
        </w:tc>
        <w:tc>
          <w:tcPr>
            <w:tcW w:w="1700" w:type="dxa"/>
            <w:vAlign w:val="bottom"/>
            <w:gridSpan w:val="3"/>
          </w:tcPr>
          <w:p>
            <w:pPr>
              <w:jc w:val="right"/>
              <w:spacing w:after="0"/>
              <w:rPr>
                <w:rFonts w:ascii="Arial" w:cs="Arial" w:eastAsia="Arial" w:hAnsi="Arial"/>
                <w:sz w:val="16"/>
                <w:szCs w:val="16"/>
                <w:color w:val="0000FF"/>
              </w:rPr>
            </w:pPr>
            <w:hyperlink w:anchor="page15">
              <w:r>
                <w:rPr>
                  <w:rFonts w:ascii="Arial" w:cs="Arial" w:eastAsia="Arial" w:hAnsi="Arial"/>
                  <w:sz w:val="16"/>
                  <w:szCs w:val="16"/>
                  <w:color w:val="0000FF"/>
                </w:rPr>
                <w:t>15</w:t>
              </w:r>
            </w:hyperlink>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gridSpan w:val="5"/>
          </w:tcPr>
          <w:p>
            <w:pPr>
              <w:jc w:val="center"/>
              <w:spacing w:after="0"/>
              <w:rPr>
                <w:rFonts w:ascii="Arial" w:cs="Arial" w:eastAsia="Arial" w:hAnsi="Arial"/>
                <w:sz w:val="16"/>
                <w:szCs w:val="16"/>
                <w:b w:val="1"/>
                <w:bCs w:val="1"/>
                <w:color w:val="0000FF"/>
              </w:rPr>
            </w:pPr>
            <w:hyperlink w:anchor="page15">
              <w:r>
                <w:rPr>
                  <w:rFonts w:ascii="Arial" w:cs="Arial" w:eastAsia="Arial" w:hAnsi="Arial"/>
                  <w:sz w:val="16"/>
                  <w:szCs w:val="16"/>
                  <w:b w:val="1"/>
                  <w:bCs w:val="1"/>
                  <w:color w:val="0000FF"/>
                </w:rPr>
                <w:t>PART II</w:t>
              </w:r>
            </w:hyperlink>
          </w:p>
        </w:tc>
        <w:tc>
          <w:tcPr>
            <w:tcW w:w="3400" w:type="dxa"/>
            <w:vAlign w:val="bottom"/>
            <w:gridSpan w:val="7"/>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196"/>
        </w:trPr>
        <w:tc>
          <w:tcPr>
            <w:tcW w:w="840" w:type="dxa"/>
            <w:vAlign w:val="bottom"/>
            <w:gridSpan w:val="3"/>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Item 5.</w:t>
              </w:r>
            </w:hyperlink>
          </w:p>
        </w:tc>
        <w:tc>
          <w:tcPr>
            <w:tcW w:w="8640" w:type="dxa"/>
            <w:vAlign w:val="bottom"/>
            <w:gridSpan w:val="27"/>
          </w:tcPr>
          <w:p>
            <w:pPr>
              <w:spacing w:after="0"/>
              <w:rPr>
                <w:rFonts w:ascii="Arial" w:cs="Arial" w:eastAsia="Arial" w:hAnsi="Arial"/>
                <w:sz w:val="16"/>
                <w:szCs w:val="16"/>
                <w:color w:val="0000FF"/>
              </w:rPr>
            </w:pPr>
            <w:hyperlink w:anchor="page15">
              <w:r>
                <w:rPr>
                  <w:rFonts w:ascii="Arial" w:cs="Arial" w:eastAsia="Arial" w:hAnsi="Arial"/>
                  <w:sz w:val="16"/>
                  <w:szCs w:val="16"/>
                  <w:color w:val="0000FF"/>
                </w:rPr>
                <w:t>Market for Registrant’s Common Equity, Related Stockholder Matters and Issuer Purchases of Equity Securities</w:t>
              </w:r>
            </w:hyperlink>
          </w:p>
        </w:tc>
        <w:tc>
          <w:tcPr>
            <w:tcW w:w="1700" w:type="dxa"/>
            <w:vAlign w:val="bottom"/>
            <w:gridSpan w:val="3"/>
          </w:tcPr>
          <w:p>
            <w:pPr>
              <w:jc w:val="right"/>
              <w:spacing w:after="0"/>
              <w:rPr>
                <w:rFonts w:ascii="Arial" w:cs="Arial" w:eastAsia="Arial" w:hAnsi="Arial"/>
                <w:sz w:val="16"/>
                <w:szCs w:val="16"/>
                <w:color w:val="0000FF"/>
              </w:rPr>
            </w:pPr>
            <w:hyperlink w:anchor="page15">
              <w:r>
                <w:rPr>
                  <w:rFonts w:ascii="Arial" w:cs="Arial" w:eastAsia="Arial" w:hAnsi="Arial"/>
                  <w:sz w:val="16"/>
                  <w:szCs w:val="16"/>
                  <w:color w:val="0000FF"/>
                </w:rPr>
                <w:t>15</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840" w:type="dxa"/>
            <w:vAlign w:val="bottom"/>
            <w:gridSpan w:val="3"/>
          </w:tcPr>
          <w:p>
            <w:pPr>
              <w:spacing w:after="0"/>
              <w:rPr>
                <w:rFonts w:ascii="Arial" w:cs="Arial" w:eastAsia="Arial" w:hAnsi="Arial"/>
                <w:sz w:val="16"/>
                <w:szCs w:val="16"/>
                <w:color w:val="0000FF"/>
              </w:rPr>
            </w:pPr>
            <w:hyperlink w:anchor="page17">
              <w:r>
                <w:rPr>
                  <w:rFonts w:ascii="Arial" w:cs="Arial" w:eastAsia="Arial" w:hAnsi="Arial"/>
                  <w:sz w:val="16"/>
                  <w:szCs w:val="16"/>
                  <w:color w:val="0000FF"/>
                </w:rPr>
                <w:t>Item 6.</w:t>
              </w:r>
            </w:hyperlink>
          </w:p>
        </w:tc>
        <w:tc>
          <w:tcPr>
            <w:tcW w:w="8640" w:type="dxa"/>
            <w:vAlign w:val="bottom"/>
            <w:gridSpan w:val="27"/>
          </w:tcPr>
          <w:p>
            <w:pPr>
              <w:spacing w:after="0"/>
              <w:rPr>
                <w:rFonts w:ascii="Arial" w:cs="Arial" w:eastAsia="Arial" w:hAnsi="Arial"/>
                <w:sz w:val="16"/>
                <w:szCs w:val="16"/>
                <w:color w:val="0000FF"/>
              </w:rPr>
            </w:pPr>
            <w:hyperlink w:anchor="page17">
              <w:r>
                <w:rPr>
                  <w:rFonts w:ascii="Arial" w:cs="Arial" w:eastAsia="Arial" w:hAnsi="Arial"/>
                  <w:sz w:val="16"/>
                  <w:szCs w:val="16"/>
                  <w:color w:val="0000FF"/>
                </w:rPr>
                <w:t>Selected Financial Data</w:t>
              </w:r>
            </w:hyperlink>
          </w:p>
        </w:tc>
        <w:tc>
          <w:tcPr>
            <w:tcW w:w="1700" w:type="dxa"/>
            <w:vAlign w:val="bottom"/>
            <w:gridSpan w:val="3"/>
          </w:tcPr>
          <w:p>
            <w:pPr>
              <w:jc w:val="right"/>
              <w:spacing w:after="0"/>
              <w:rPr>
                <w:rFonts w:ascii="Arial" w:cs="Arial" w:eastAsia="Arial" w:hAnsi="Arial"/>
                <w:sz w:val="16"/>
                <w:szCs w:val="16"/>
                <w:color w:val="0000FF"/>
              </w:rPr>
            </w:pPr>
            <w:hyperlink w:anchor="page17">
              <w:r>
                <w:rPr>
                  <w:rFonts w:ascii="Arial" w:cs="Arial" w:eastAsia="Arial" w:hAnsi="Arial"/>
                  <w:sz w:val="16"/>
                  <w:szCs w:val="16"/>
                  <w:color w:val="0000FF"/>
                </w:rPr>
                <w:t>17</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tcBorders>
              <w:bottom w:val="single" w:sz="8" w:color="0000FF"/>
            </w:tcBorders>
            <w:gridSpan w:val="2"/>
          </w:tcPr>
          <w:p>
            <w:pPr>
              <w:spacing w:after="0"/>
              <w:rPr>
                <w:rFonts w:ascii="Arial" w:cs="Arial" w:eastAsia="Arial" w:hAnsi="Arial"/>
                <w:sz w:val="16"/>
                <w:szCs w:val="16"/>
                <w:color w:val="0000FF"/>
              </w:rPr>
            </w:pPr>
            <w:hyperlink w:anchor="page17">
              <w:r>
                <w:rPr>
                  <w:rFonts w:ascii="Arial" w:cs="Arial" w:eastAsia="Arial" w:hAnsi="Arial"/>
                  <w:sz w:val="16"/>
                  <w:szCs w:val="16"/>
                  <w:color w:val="0000FF"/>
                </w:rPr>
                <w:t>Item 7.</w:t>
              </w:r>
            </w:hyperlink>
          </w:p>
        </w:tc>
        <w:tc>
          <w:tcPr>
            <w:tcW w:w="300" w:type="dxa"/>
            <w:vAlign w:val="bottom"/>
          </w:tcPr>
          <w:p>
            <w:pPr>
              <w:spacing w:after="0"/>
              <w:rPr>
                <w:sz w:val="17"/>
                <w:szCs w:val="17"/>
                <w:color w:val="auto"/>
              </w:rPr>
            </w:pPr>
          </w:p>
        </w:tc>
        <w:tc>
          <w:tcPr>
            <w:tcW w:w="5820" w:type="dxa"/>
            <w:vAlign w:val="bottom"/>
            <w:tcBorders>
              <w:bottom w:val="single" w:sz="8" w:color="0000FF"/>
            </w:tcBorders>
            <w:gridSpan w:val="23"/>
          </w:tcPr>
          <w:p>
            <w:pPr>
              <w:spacing w:after="0"/>
              <w:rPr>
                <w:rFonts w:ascii="Arial" w:cs="Arial" w:eastAsia="Arial" w:hAnsi="Arial"/>
                <w:sz w:val="16"/>
                <w:szCs w:val="16"/>
                <w:color w:val="0000FF"/>
                <w:w w:val="92"/>
              </w:rPr>
            </w:pPr>
            <w:hyperlink w:anchor="page17">
              <w:r>
                <w:rPr>
                  <w:rFonts w:ascii="Arial" w:cs="Arial" w:eastAsia="Arial" w:hAnsi="Arial"/>
                  <w:sz w:val="16"/>
                  <w:szCs w:val="16"/>
                  <w:color w:val="0000FF"/>
                  <w:w w:val="92"/>
                </w:rPr>
                <w:t>Management’s Discussion and Analysis of Financial Condition and Results of Operations</w:t>
              </w:r>
            </w:hyperlink>
          </w:p>
        </w:tc>
        <w:tc>
          <w:tcPr>
            <w:tcW w:w="2820" w:type="dxa"/>
            <w:vAlign w:val="bottom"/>
            <w:gridSpan w:val="4"/>
          </w:tcPr>
          <w:p>
            <w:pPr>
              <w:spacing w:after="0"/>
              <w:rPr>
                <w:sz w:val="17"/>
                <w:szCs w:val="17"/>
                <w:color w:val="auto"/>
              </w:rPr>
            </w:pPr>
          </w:p>
        </w:tc>
        <w:tc>
          <w:tcPr>
            <w:tcW w:w="1700" w:type="dxa"/>
            <w:vAlign w:val="bottom"/>
            <w:gridSpan w:val="3"/>
          </w:tcPr>
          <w:p>
            <w:pPr>
              <w:jc w:val="right"/>
              <w:spacing w:after="0"/>
              <w:rPr>
                <w:rFonts w:ascii="Arial" w:cs="Arial" w:eastAsia="Arial" w:hAnsi="Arial"/>
                <w:sz w:val="16"/>
                <w:szCs w:val="16"/>
                <w:color w:val="0000FF"/>
              </w:rPr>
            </w:pPr>
            <w:hyperlink w:anchor="page17">
              <w:r>
                <w:rPr>
                  <w:rFonts w:ascii="Arial" w:cs="Arial" w:eastAsia="Arial" w:hAnsi="Arial"/>
                  <w:sz w:val="16"/>
                  <w:szCs w:val="16"/>
                  <w:color w:val="0000FF"/>
                </w:rPr>
                <w:t>17</w:t>
              </w:r>
            </w:hyperlink>
          </w:p>
        </w:tc>
      </w:tr>
      <w:tr>
        <w:trPr>
          <w:trHeight w:val="196"/>
        </w:trPr>
        <w:tc>
          <w:tcPr>
            <w:tcW w:w="540" w:type="dxa"/>
            <w:vAlign w:val="bottom"/>
            <w:gridSpan w:val="2"/>
          </w:tcPr>
          <w:p>
            <w:pPr>
              <w:spacing w:after="0"/>
              <w:rPr>
                <w:rFonts w:ascii="Arial" w:cs="Arial" w:eastAsia="Arial" w:hAnsi="Arial"/>
                <w:sz w:val="16"/>
                <w:szCs w:val="16"/>
                <w:color w:val="0000FF"/>
                <w:w w:val="83"/>
              </w:rPr>
            </w:pPr>
            <w:hyperlink w:anchor="page25">
              <w:r>
                <w:rPr>
                  <w:rFonts w:ascii="Arial" w:cs="Arial" w:eastAsia="Arial" w:hAnsi="Arial"/>
                  <w:sz w:val="16"/>
                  <w:szCs w:val="16"/>
                  <w:color w:val="0000FF"/>
                  <w:w w:val="83"/>
                </w:rPr>
                <w:t>Item 7A.</w:t>
              </w:r>
            </w:hyperlink>
          </w:p>
        </w:tc>
        <w:tc>
          <w:tcPr>
            <w:tcW w:w="300" w:type="dxa"/>
            <w:vAlign w:val="bottom"/>
          </w:tcPr>
          <w:p>
            <w:pPr>
              <w:spacing w:after="0"/>
              <w:rPr>
                <w:sz w:val="17"/>
                <w:szCs w:val="17"/>
                <w:color w:val="auto"/>
              </w:rPr>
            </w:pPr>
          </w:p>
        </w:tc>
        <w:tc>
          <w:tcPr>
            <w:tcW w:w="8640" w:type="dxa"/>
            <w:vAlign w:val="bottom"/>
            <w:gridSpan w:val="27"/>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Quantitative and Qualitative Disclosures About Market Risk</w:t>
              </w:r>
            </w:hyperlink>
          </w:p>
        </w:tc>
        <w:tc>
          <w:tcPr>
            <w:tcW w:w="1700" w:type="dxa"/>
            <w:vAlign w:val="bottom"/>
            <w:gridSpan w:val="3"/>
          </w:tcPr>
          <w:p>
            <w:pPr>
              <w:jc w:val="right"/>
              <w:spacing w:after="0"/>
              <w:rPr>
                <w:rFonts w:ascii="Arial" w:cs="Arial" w:eastAsia="Arial" w:hAnsi="Arial"/>
                <w:sz w:val="16"/>
                <w:szCs w:val="16"/>
                <w:color w:val="0000FF"/>
              </w:rPr>
            </w:pPr>
            <w:hyperlink w:anchor="page25">
              <w:r>
                <w:rPr>
                  <w:rFonts w:ascii="Arial" w:cs="Arial" w:eastAsia="Arial" w:hAnsi="Arial"/>
                  <w:sz w:val="16"/>
                  <w:szCs w:val="16"/>
                  <w:color w:val="0000FF"/>
                </w:rPr>
                <w:t>25</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tcBorders>
              <w:bottom w:val="single" w:sz="8" w:color="0000FF"/>
            </w:tcBorders>
            <w:gridSpan w:val="2"/>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8.</w:t>
              </w:r>
            </w:hyperlink>
          </w:p>
        </w:tc>
        <w:tc>
          <w:tcPr>
            <w:tcW w:w="300" w:type="dxa"/>
            <w:vAlign w:val="bottom"/>
          </w:tcPr>
          <w:p>
            <w:pPr>
              <w:spacing w:after="0"/>
              <w:rPr>
                <w:sz w:val="17"/>
                <w:szCs w:val="17"/>
                <w:color w:val="auto"/>
              </w:rPr>
            </w:pPr>
          </w:p>
        </w:tc>
        <w:tc>
          <w:tcPr>
            <w:tcW w:w="3000" w:type="dxa"/>
            <w:vAlign w:val="bottom"/>
            <w:tcBorders>
              <w:bottom w:val="single" w:sz="8" w:color="0000FF"/>
            </w:tcBorders>
            <w:gridSpan w:val="12"/>
          </w:tcPr>
          <w:p>
            <w:pPr>
              <w:spacing w:after="0"/>
              <w:rPr>
                <w:rFonts w:ascii="Arial" w:cs="Arial" w:eastAsia="Arial" w:hAnsi="Arial"/>
                <w:sz w:val="16"/>
                <w:szCs w:val="16"/>
                <w:color w:val="0000FF"/>
                <w:w w:val="90"/>
              </w:rPr>
            </w:pPr>
            <w:hyperlink w:anchor="page26">
              <w:r>
                <w:rPr>
                  <w:rFonts w:ascii="Arial" w:cs="Arial" w:eastAsia="Arial" w:hAnsi="Arial"/>
                  <w:sz w:val="16"/>
                  <w:szCs w:val="16"/>
                  <w:color w:val="0000FF"/>
                  <w:w w:val="90"/>
                </w:rPr>
                <w:t>Financial Statements and Supplementary Data</w:t>
              </w:r>
            </w:hyperlink>
          </w:p>
        </w:tc>
        <w:tc>
          <w:tcPr>
            <w:tcW w:w="920" w:type="dxa"/>
            <w:vAlign w:val="bottom"/>
          </w:tcPr>
          <w:p>
            <w:pPr>
              <w:spacing w:after="0"/>
              <w:rPr>
                <w:sz w:val="17"/>
                <w:szCs w:val="17"/>
                <w:color w:val="auto"/>
              </w:rPr>
            </w:pPr>
          </w:p>
        </w:tc>
        <w:tc>
          <w:tcPr>
            <w:tcW w:w="4720" w:type="dxa"/>
            <w:vAlign w:val="bottom"/>
            <w:gridSpan w:val="14"/>
          </w:tcPr>
          <w:p>
            <w:pPr>
              <w:spacing w:after="0"/>
              <w:rPr>
                <w:sz w:val="17"/>
                <w:szCs w:val="17"/>
                <w:color w:val="auto"/>
              </w:rPr>
            </w:pPr>
          </w:p>
        </w:tc>
        <w:tc>
          <w:tcPr>
            <w:tcW w:w="1700" w:type="dxa"/>
            <w:vAlign w:val="bottom"/>
            <w:gridSpan w:val="3"/>
          </w:tcPr>
          <w:p>
            <w:pPr>
              <w:jc w:val="right"/>
              <w:spacing w:after="0"/>
              <w:rPr>
                <w:rFonts w:ascii="Arial" w:cs="Arial" w:eastAsia="Arial" w:hAnsi="Arial"/>
                <w:sz w:val="16"/>
                <w:szCs w:val="16"/>
                <w:color w:val="0000FF"/>
              </w:rPr>
            </w:pPr>
            <w:hyperlink w:anchor="page26">
              <w:r>
                <w:rPr>
                  <w:rFonts w:ascii="Arial" w:cs="Arial" w:eastAsia="Arial" w:hAnsi="Arial"/>
                  <w:sz w:val="16"/>
                  <w:szCs w:val="16"/>
                  <w:color w:val="0000FF"/>
                </w:rPr>
                <w:t>27</w:t>
              </w:r>
            </w:hyperlink>
          </w:p>
        </w:tc>
      </w:tr>
      <w:tr>
        <w:trPr>
          <w:trHeight w:val="196"/>
        </w:trPr>
        <w:tc>
          <w:tcPr>
            <w:tcW w:w="840" w:type="dxa"/>
            <w:vAlign w:val="bottom"/>
            <w:gridSpan w:val="3"/>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Item 9.</w:t>
              </w:r>
            </w:hyperlink>
          </w:p>
        </w:tc>
        <w:tc>
          <w:tcPr>
            <w:tcW w:w="8640" w:type="dxa"/>
            <w:vAlign w:val="bottom"/>
            <w:gridSpan w:val="27"/>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Changes in and Disagreements with Accountants on Accounting and Financial Disclosure</w:t>
              </w:r>
            </w:hyperlink>
          </w:p>
        </w:tc>
        <w:tc>
          <w:tcPr>
            <w:tcW w:w="1700" w:type="dxa"/>
            <w:vAlign w:val="bottom"/>
            <w:gridSpan w:val="3"/>
          </w:tcPr>
          <w:p>
            <w:pPr>
              <w:jc w:val="right"/>
              <w:spacing w:after="0"/>
              <w:rPr>
                <w:rFonts w:ascii="Arial" w:cs="Arial" w:eastAsia="Arial" w:hAnsi="Arial"/>
                <w:sz w:val="16"/>
                <w:szCs w:val="16"/>
                <w:color w:val="0000FF"/>
              </w:rPr>
            </w:pPr>
            <w:hyperlink w:anchor="page59">
              <w:r>
                <w:rPr>
                  <w:rFonts w:ascii="Arial" w:cs="Arial" w:eastAsia="Arial" w:hAnsi="Arial"/>
                  <w:sz w:val="16"/>
                  <w:szCs w:val="16"/>
                  <w:color w:val="0000FF"/>
                </w:rPr>
                <w:t>59</w:t>
              </w:r>
            </w:hyperlink>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w w:val="83"/>
              </w:rPr>
            </w:pPr>
            <w:hyperlink w:anchor="page60">
              <w:r>
                <w:rPr>
                  <w:rFonts w:ascii="Arial" w:cs="Arial" w:eastAsia="Arial" w:hAnsi="Arial"/>
                  <w:sz w:val="16"/>
                  <w:szCs w:val="16"/>
                  <w:color w:val="0000FF"/>
                  <w:w w:val="83"/>
                </w:rPr>
                <w:t>Item 9A.</w:t>
              </w:r>
            </w:hyperlink>
          </w:p>
        </w:tc>
        <w:tc>
          <w:tcPr>
            <w:tcW w:w="300" w:type="dxa"/>
            <w:vAlign w:val="bottom"/>
          </w:tcPr>
          <w:p>
            <w:pPr>
              <w:spacing w:after="0"/>
              <w:rPr>
                <w:sz w:val="17"/>
                <w:szCs w:val="17"/>
                <w:color w:val="auto"/>
              </w:rPr>
            </w:pPr>
          </w:p>
        </w:tc>
        <w:tc>
          <w:tcPr>
            <w:tcW w:w="1600" w:type="dxa"/>
            <w:vAlign w:val="bottom"/>
            <w:gridSpan w:val="7"/>
          </w:tcPr>
          <w:p>
            <w:pPr>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Controls and Procedures</w:t>
              </w:r>
            </w:hyperlink>
          </w:p>
        </w:tc>
        <w:tc>
          <w:tcPr>
            <w:tcW w:w="7040" w:type="dxa"/>
            <w:vAlign w:val="bottom"/>
            <w:gridSpan w:val="20"/>
          </w:tcPr>
          <w:p>
            <w:pPr>
              <w:spacing w:after="0"/>
              <w:rPr>
                <w:sz w:val="17"/>
                <w:szCs w:val="17"/>
                <w:color w:val="auto"/>
              </w:rPr>
            </w:pPr>
          </w:p>
        </w:tc>
        <w:tc>
          <w:tcPr>
            <w:tcW w:w="1700" w:type="dxa"/>
            <w:vAlign w:val="bottom"/>
            <w:gridSpan w:val="3"/>
          </w:tcPr>
          <w:p>
            <w:pPr>
              <w:jc w:val="right"/>
              <w:spacing w:after="0"/>
              <w:rPr>
                <w:rFonts w:ascii="Arial" w:cs="Arial" w:eastAsia="Arial" w:hAnsi="Arial"/>
                <w:sz w:val="16"/>
                <w:szCs w:val="16"/>
                <w:color w:val="0000FF"/>
              </w:rPr>
            </w:pPr>
            <w:hyperlink w:anchor="page60">
              <w:r>
                <w:rPr>
                  <w:rFonts w:ascii="Arial" w:cs="Arial" w:eastAsia="Arial" w:hAnsi="Arial"/>
                  <w:sz w:val="16"/>
                  <w:szCs w:val="16"/>
                  <w:color w:val="0000FF"/>
                </w:rPr>
                <w:t>60</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w w:val="83"/>
              </w:rPr>
            </w:pPr>
            <w:hyperlink w:anchor="page60">
              <w:r>
                <w:rPr>
                  <w:rFonts w:ascii="Arial" w:cs="Arial" w:eastAsia="Arial" w:hAnsi="Arial"/>
                  <w:sz w:val="16"/>
                  <w:szCs w:val="16"/>
                  <w:color w:val="0000FF"/>
                  <w:w w:val="83"/>
                </w:rPr>
                <w:t>Item 9B.</w:t>
              </w:r>
            </w:hyperlink>
          </w:p>
        </w:tc>
        <w:tc>
          <w:tcPr>
            <w:tcW w:w="300" w:type="dxa"/>
            <w:vAlign w:val="bottom"/>
          </w:tcPr>
          <w:p>
            <w:pPr>
              <w:spacing w:after="0"/>
              <w:rPr>
                <w:sz w:val="17"/>
                <w:szCs w:val="17"/>
                <w:color w:val="auto"/>
              </w:rPr>
            </w:pPr>
          </w:p>
        </w:tc>
        <w:tc>
          <w:tcPr>
            <w:tcW w:w="1600" w:type="dxa"/>
            <w:vAlign w:val="bottom"/>
            <w:gridSpan w:val="7"/>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Other Information</w:t>
              </w:r>
            </w:hyperlink>
          </w:p>
        </w:tc>
        <w:tc>
          <w:tcPr>
            <w:tcW w:w="7040" w:type="dxa"/>
            <w:vAlign w:val="bottom"/>
            <w:gridSpan w:val="20"/>
          </w:tcPr>
          <w:p>
            <w:pPr>
              <w:spacing w:after="0"/>
              <w:rPr>
                <w:sz w:val="17"/>
                <w:szCs w:val="17"/>
                <w:color w:val="auto"/>
              </w:rPr>
            </w:pPr>
          </w:p>
        </w:tc>
        <w:tc>
          <w:tcPr>
            <w:tcW w:w="1700" w:type="dxa"/>
            <w:vAlign w:val="bottom"/>
            <w:gridSpan w:val="3"/>
          </w:tcPr>
          <w:p>
            <w:pPr>
              <w:jc w:val="right"/>
              <w:spacing w:after="0"/>
              <w:rPr>
                <w:rFonts w:ascii="Arial" w:cs="Arial" w:eastAsia="Arial" w:hAnsi="Arial"/>
                <w:sz w:val="16"/>
                <w:szCs w:val="16"/>
                <w:color w:val="0000FF"/>
              </w:rPr>
            </w:pPr>
            <w:hyperlink w:anchor="page60">
              <w:r>
                <w:rPr>
                  <w:rFonts w:ascii="Arial" w:cs="Arial" w:eastAsia="Arial" w:hAnsi="Arial"/>
                  <w:sz w:val="16"/>
                  <w:szCs w:val="16"/>
                  <w:color w:val="0000FF"/>
                </w:rPr>
                <w:t>60</w:t>
              </w:r>
            </w:hyperlink>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Borders>
              <w:bottom w:val="single" w:sz="8" w:color="0000FF"/>
            </w:tcBorders>
            <w:gridSpan w:val="8"/>
          </w:tcPr>
          <w:p>
            <w:pPr>
              <w:jc w:val="center"/>
              <w:ind w:right="20"/>
              <w:spacing w:after="0"/>
              <w:rPr>
                <w:rFonts w:ascii="Arial" w:cs="Arial" w:eastAsia="Arial" w:hAnsi="Arial"/>
                <w:sz w:val="16"/>
                <w:szCs w:val="16"/>
                <w:b w:val="1"/>
                <w:bCs w:val="1"/>
                <w:color w:val="0000FF"/>
              </w:rPr>
            </w:pPr>
            <w:hyperlink w:anchor="page60">
              <w:r>
                <w:rPr>
                  <w:rFonts w:ascii="Arial" w:cs="Arial" w:eastAsia="Arial" w:hAnsi="Arial"/>
                  <w:sz w:val="16"/>
                  <w:szCs w:val="16"/>
                  <w:b w:val="1"/>
                  <w:bCs w:val="1"/>
                  <w:color w:val="0000FF"/>
                </w:rPr>
                <w:t>PART III</w:t>
              </w:r>
            </w:hyperlink>
          </w:p>
        </w:tc>
        <w:tc>
          <w:tcPr>
            <w:tcW w:w="3360" w:type="dxa"/>
            <w:vAlign w:val="bottom"/>
            <w:gridSpan w:val="5"/>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196"/>
        </w:trPr>
        <w:tc>
          <w:tcPr>
            <w:tcW w:w="840" w:type="dxa"/>
            <w:vAlign w:val="bottom"/>
            <w:gridSpan w:val="3"/>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Item 10.</w:t>
              </w:r>
            </w:hyperlink>
          </w:p>
        </w:tc>
        <w:tc>
          <w:tcPr>
            <w:tcW w:w="8640" w:type="dxa"/>
            <w:vAlign w:val="bottom"/>
            <w:gridSpan w:val="27"/>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Directors, Executive Officers, Code of Ethics and Corporate Governance</w:t>
              </w:r>
            </w:hyperlink>
          </w:p>
        </w:tc>
        <w:tc>
          <w:tcPr>
            <w:tcW w:w="1700" w:type="dxa"/>
            <w:vAlign w:val="bottom"/>
            <w:gridSpan w:val="3"/>
          </w:tcPr>
          <w:p>
            <w:pPr>
              <w:jc w:val="right"/>
              <w:spacing w:after="0"/>
              <w:rPr>
                <w:rFonts w:ascii="Arial" w:cs="Arial" w:eastAsia="Arial" w:hAnsi="Arial"/>
                <w:sz w:val="16"/>
                <w:szCs w:val="16"/>
                <w:color w:val="0000FF"/>
              </w:rPr>
            </w:pPr>
            <w:hyperlink w:anchor="page60">
              <w:r>
                <w:rPr>
                  <w:rFonts w:ascii="Arial" w:cs="Arial" w:eastAsia="Arial" w:hAnsi="Arial"/>
                  <w:sz w:val="16"/>
                  <w:szCs w:val="16"/>
                  <w:color w:val="0000FF"/>
                </w:rPr>
                <w:t>60</w:t>
              </w:r>
            </w:hyperlink>
          </w:p>
        </w:tc>
      </w:tr>
      <w:tr>
        <w:trPr>
          <w:trHeight w:val="196"/>
        </w:trPr>
        <w:tc>
          <w:tcPr>
            <w:tcW w:w="540" w:type="dxa"/>
            <w:vAlign w:val="bottom"/>
            <w:tcBorders>
              <w:top w:val="single" w:sz="8" w:color="0000FF"/>
            </w:tcBorders>
            <w:gridSpan w:val="2"/>
          </w:tcPr>
          <w:p>
            <w:pPr>
              <w:spacing w:after="0"/>
              <w:rPr>
                <w:rFonts w:ascii="Arial" w:cs="Arial" w:eastAsia="Arial" w:hAnsi="Arial"/>
                <w:sz w:val="16"/>
                <w:szCs w:val="16"/>
                <w:color w:val="0000FF"/>
                <w:w w:val="86"/>
              </w:rPr>
            </w:pPr>
            <w:hyperlink w:anchor="page60">
              <w:r>
                <w:rPr>
                  <w:rFonts w:ascii="Arial" w:cs="Arial" w:eastAsia="Arial" w:hAnsi="Arial"/>
                  <w:sz w:val="16"/>
                  <w:szCs w:val="16"/>
                  <w:color w:val="0000FF"/>
                  <w:w w:val="86"/>
                </w:rPr>
                <w:t>Item 11.</w:t>
              </w:r>
            </w:hyperlink>
          </w:p>
        </w:tc>
        <w:tc>
          <w:tcPr>
            <w:tcW w:w="300" w:type="dxa"/>
            <w:vAlign w:val="bottom"/>
          </w:tcPr>
          <w:p>
            <w:pPr>
              <w:spacing w:after="0"/>
              <w:rPr>
                <w:sz w:val="17"/>
                <w:szCs w:val="17"/>
                <w:color w:val="auto"/>
              </w:rPr>
            </w:pPr>
          </w:p>
        </w:tc>
        <w:tc>
          <w:tcPr>
            <w:tcW w:w="4740" w:type="dxa"/>
            <w:vAlign w:val="bottom"/>
            <w:tcBorders>
              <w:top w:val="single" w:sz="8" w:color="0000FF"/>
            </w:tcBorders>
            <w:gridSpan w:val="17"/>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Executive and Director Compensation</w:t>
              </w:r>
            </w:hyperlink>
          </w:p>
        </w:tc>
        <w:tc>
          <w:tcPr>
            <w:tcW w:w="3900" w:type="dxa"/>
            <w:vAlign w:val="bottom"/>
            <w:gridSpan w:val="10"/>
          </w:tcPr>
          <w:p>
            <w:pPr>
              <w:spacing w:after="0"/>
              <w:rPr>
                <w:sz w:val="17"/>
                <w:szCs w:val="17"/>
                <w:color w:val="auto"/>
              </w:rPr>
            </w:pPr>
          </w:p>
        </w:tc>
        <w:tc>
          <w:tcPr>
            <w:tcW w:w="1700" w:type="dxa"/>
            <w:vAlign w:val="bottom"/>
            <w:gridSpan w:val="3"/>
          </w:tcPr>
          <w:p>
            <w:pPr>
              <w:jc w:val="right"/>
              <w:spacing w:after="0"/>
              <w:rPr>
                <w:rFonts w:ascii="Arial" w:cs="Arial" w:eastAsia="Arial" w:hAnsi="Arial"/>
                <w:sz w:val="16"/>
                <w:szCs w:val="16"/>
                <w:color w:val="0000FF"/>
              </w:rPr>
            </w:pPr>
            <w:hyperlink w:anchor="page60">
              <w:r>
                <w:rPr>
                  <w:rFonts w:ascii="Arial" w:cs="Arial" w:eastAsia="Arial" w:hAnsi="Arial"/>
                  <w:sz w:val="16"/>
                  <w:szCs w:val="16"/>
                  <w:color w:val="0000FF"/>
                </w:rPr>
                <w:t>60</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840" w:type="dxa"/>
            <w:vAlign w:val="bottom"/>
            <w:gridSpan w:val="3"/>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Item 12.</w:t>
              </w:r>
            </w:hyperlink>
          </w:p>
        </w:tc>
        <w:tc>
          <w:tcPr>
            <w:tcW w:w="8640" w:type="dxa"/>
            <w:vAlign w:val="bottom"/>
            <w:gridSpan w:val="27"/>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Security Ownership of Certain Beneficial Owners and Management and Related Stockholder Matters</w:t>
              </w:r>
            </w:hyperlink>
          </w:p>
        </w:tc>
        <w:tc>
          <w:tcPr>
            <w:tcW w:w="1700" w:type="dxa"/>
            <w:vAlign w:val="bottom"/>
            <w:gridSpan w:val="3"/>
          </w:tcPr>
          <w:p>
            <w:pPr>
              <w:jc w:val="right"/>
              <w:spacing w:after="0"/>
              <w:rPr>
                <w:rFonts w:ascii="Arial" w:cs="Arial" w:eastAsia="Arial" w:hAnsi="Arial"/>
                <w:sz w:val="16"/>
                <w:szCs w:val="16"/>
                <w:color w:val="0000FF"/>
              </w:rPr>
            </w:pPr>
            <w:hyperlink w:anchor="page60">
              <w:r>
                <w:rPr>
                  <w:rFonts w:ascii="Arial" w:cs="Arial" w:eastAsia="Arial" w:hAnsi="Arial"/>
                  <w:sz w:val="16"/>
                  <w:szCs w:val="16"/>
                  <w:color w:val="0000FF"/>
                </w:rPr>
                <w:t>60</w:t>
              </w:r>
            </w:hyperlink>
          </w:p>
        </w:tc>
      </w:tr>
      <w:tr>
        <w:trPr>
          <w:trHeight w:val="196"/>
        </w:trPr>
        <w:tc>
          <w:tcPr>
            <w:tcW w:w="840" w:type="dxa"/>
            <w:vAlign w:val="bottom"/>
            <w:tcBorders>
              <w:top w:val="single" w:sz="8" w:color="0000FF"/>
            </w:tcBorders>
            <w:gridSpan w:val="3"/>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Item 13.</w:t>
              </w:r>
            </w:hyperlink>
          </w:p>
        </w:tc>
        <w:tc>
          <w:tcPr>
            <w:tcW w:w="6560" w:type="dxa"/>
            <w:vAlign w:val="bottom"/>
            <w:tcBorders>
              <w:top w:val="single" w:sz="8" w:color="0000FF"/>
            </w:tcBorders>
            <w:gridSpan w:val="25"/>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Certain Relationships and Related Transactions, and Director Independence</w:t>
              </w:r>
            </w:hyperlink>
          </w:p>
        </w:tc>
        <w:tc>
          <w:tcPr>
            <w:tcW w:w="2080" w:type="dxa"/>
            <w:vAlign w:val="bottom"/>
            <w:gridSpan w:val="2"/>
          </w:tcPr>
          <w:p>
            <w:pPr>
              <w:spacing w:after="0"/>
              <w:rPr>
                <w:sz w:val="17"/>
                <w:szCs w:val="17"/>
                <w:color w:val="auto"/>
              </w:rPr>
            </w:pPr>
          </w:p>
        </w:tc>
        <w:tc>
          <w:tcPr>
            <w:tcW w:w="1700" w:type="dxa"/>
            <w:vAlign w:val="bottom"/>
            <w:gridSpan w:val="3"/>
          </w:tcPr>
          <w:p>
            <w:pPr>
              <w:jc w:val="right"/>
              <w:spacing w:after="0"/>
              <w:rPr>
                <w:rFonts w:ascii="Arial" w:cs="Arial" w:eastAsia="Arial" w:hAnsi="Arial"/>
                <w:sz w:val="16"/>
                <w:szCs w:val="16"/>
                <w:color w:val="0000FF"/>
              </w:rPr>
            </w:pPr>
            <w:hyperlink w:anchor="page61">
              <w:r>
                <w:rPr>
                  <w:rFonts w:ascii="Arial" w:cs="Arial" w:eastAsia="Arial" w:hAnsi="Arial"/>
                  <w:sz w:val="16"/>
                  <w:szCs w:val="16"/>
                  <w:color w:val="0000FF"/>
                </w:rPr>
                <w:t>61</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840" w:type="dxa"/>
            <w:vAlign w:val="bottom"/>
            <w:gridSpan w:val="3"/>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Item 14.</w:t>
              </w:r>
            </w:hyperlink>
          </w:p>
        </w:tc>
        <w:tc>
          <w:tcPr>
            <w:tcW w:w="8640" w:type="dxa"/>
            <w:vAlign w:val="bottom"/>
            <w:gridSpan w:val="27"/>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Principal Accountant Fees and Services</w:t>
              </w:r>
            </w:hyperlink>
          </w:p>
        </w:tc>
        <w:tc>
          <w:tcPr>
            <w:tcW w:w="1700" w:type="dxa"/>
            <w:vAlign w:val="bottom"/>
            <w:gridSpan w:val="3"/>
          </w:tcPr>
          <w:p>
            <w:pPr>
              <w:jc w:val="right"/>
              <w:spacing w:after="0"/>
              <w:rPr>
                <w:rFonts w:ascii="Arial" w:cs="Arial" w:eastAsia="Arial" w:hAnsi="Arial"/>
                <w:sz w:val="16"/>
                <w:szCs w:val="16"/>
                <w:color w:val="0000FF"/>
              </w:rPr>
            </w:pPr>
            <w:hyperlink w:anchor="page61">
              <w:r>
                <w:rPr>
                  <w:rFonts w:ascii="Arial" w:cs="Arial" w:eastAsia="Arial" w:hAnsi="Arial"/>
                  <w:sz w:val="16"/>
                  <w:szCs w:val="16"/>
                  <w:color w:val="0000FF"/>
                </w:rPr>
                <w:t>61</w:t>
              </w:r>
            </w:hyperlink>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20" w:type="dxa"/>
            <w:vAlign w:val="bottom"/>
            <w:gridSpan w:val="13"/>
          </w:tcPr>
          <w:p>
            <w:pPr>
              <w:jc w:val="center"/>
              <w:ind w:right="3380"/>
              <w:spacing w:after="0"/>
              <w:rPr>
                <w:rFonts w:ascii="Arial" w:cs="Arial" w:eastAsia="Arial" w:hAnsi="Arial"/>
                <w:sz w:val="16"/>
                <w:szCs w:val="16"/>
                <w:b w:val="1"/>
                <w:bCs w:val="1"/>
                <w:color w:val="0000FF"/>
              </w:rPr>
            </w:pPr>
            <w:hyperlink w:anchor="page61">
              <w:r>
                <w:rPr>
                  <w:rFonts w:ascii="Arial" w:cs="Arial" w:eastAsia="Arial" w:hAnsi="Arial"/>
                  <w:sz w:val="16"/>
                  <w:szCs w:val="16"/>
                  <w:b w:val="1"/>
                  <w:bCs w:val="1"/>
                  <w:color w:val="0000FF"/>
                </w:rPr>
                <w:t>PART IV</w:t>
              </w:r>
            </w:hyperlink>
          </w:p>
        </w:tc>
        <w:tc>
          <w:tcPr>
            <w:tcW w:w="15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196"/>
        </w:trPr>
        <w:tc>
          <w:tcPr>
            <w:tcW w:w="840" w:type="dxa"/>
            <w:vAlign w:val="bottom"/>
            <w:gridSpan w:val="3"/>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Item 15.</w:t>
              </w:r>
            </w:hyperlink>
          </w:p>
        </w:tc>
        <w:tc>
          <w:tcPr>
            <w:tcW w:w="4640" w:type="dxa"/>
            <w:vAlign w:val="bottom"/>
            <w:gridSpan w:val="15"/>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Exhibits and Financial Statement Schedules</w:t>
              </w:r>
            </w:hyperlink>
          </w:p>
        </w:tc>
        <w:tc>
          <w:tcPr>
            <w:tcW w:w="620" w:type="dxa"/>
            <w:vAlign w:val="bottom"/>
            <w:tcBorders>
              <w:top w:val="single" w:sz="8" w:color="0000FF"/>
            </w:tcBorders>
            <w:gridSpan w:val="6"/>
          </w:tcPr>
          <w:p>
            <w:pPr>
              <w:spacing w:after="0"/>
              <w:rPr>
                <w:sz w:val="17"/>
                <w:szCs w:val="17"/>
                <w:color w:val="auto"/>
              </w:rPr>
            </w:pPr>
          </w:p>
        </w:tc>
        <w:tc>
          <w:tcPr>
            <w:tcW w:w="3380" w:type="dxa"/>
            <w:vAlign w:val="bottom"/>
            <w:gridSpan w:val="6"/>
          </w:tcPr>
          <w:p>
            <w:pPr>
              <w:spacing w:after="0"/>
              <w:rPr>
                <w:sz w:val="17"/>
                <w:szCs w:val="17"/>
                <w:color w:val="auto"/>
              </w:rPr>
            </w:pPr>
          </w:p>
        </w:tc>
        <w:tc>
          <w:tcPr>
            <w:tcW w:w="1700" w:type="dxa"/>
            <w:vAlign w:val="bottom"/>
            <w:gridSpan w:val="3"/>
          </w:tcPr>
          <w:p>
            <w:pPr>
              <w:jc w:val="right"/>
              <w:spacing w:after="0"/>
              <w:rPr>
                <w:rFonts w:ascii="Arial" w:cs="Arial" w:eastAsia="Arial" w:hAnsi="Arial"/>
                <w:sz w:val="16"/>
                <w:szCs w:val="16"/>
                <w:color w:val="0000FF"/>
              </w:rPr>
            </w:pPr>
            <w:hyperlink w:anchor="page61">
              <w:r>
                <w:rPr>
                  <w:rFonts w:ascii="Arial" w:cs="Arial" w:eastAsia="Arial" w:hAnsi="Arial"/>
                  <w:sz w:val="16"/>
                  <w:szCs w:val="16"/>
                  <w:color w:val="0000FF"/>
                </w:rPr>
                <w:t>61</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5800" w:type="dxa"/>
            <w:vAlign w:val="bottom"/>
            <w:gridSpan w:val="16"/>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840" w:type="dxa"/>
            <w:vAlign w:val="bottom"/>
            <w:gridSpan w:val="3"/>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Item 16.</w:t>
              </w:r>
            </w:hyperlink>
          </w:p>
        </w:tc>
        <w:tc>
          <w:tcPr>
            <w:tcW w:w="8640" w:type="dxa"/>
            <w:vAlign w:val="bottom"/>
            <w:gridSpan w:val="27"/>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Form 10-K Summary</w:t>
              </w:r>
            </w:hyperlink>
          </w:p>
        </w:tc>
        <w:tc>
          <w:tcPr>
            <w:tcW w:w="1700" w:type="dxa"/>
            <w:vAlign w:val="bottom"/>
            <w:gridSpan w:val="3"/>
          </w:tcPr>
          <w:p>
            <w:pPr>
              <w:jc w:val="right"/>
              <w:spacing w:after="0"/>
              <w:rPr>
                <w:rFonts w:ascii="Arial" w:cs="Arial" w:eastAsia="Arial" w:hAnsi="Arial"/>
                <w:sz w:val="16"/>
                <w:szCs w:val="16"/>
                <w:color w:val="0000FF"/>
              </w:rPr>
            </w:pPr>
            <w:hyperlink w:anchor="page64">
              <w:r>
                <w:rPr>
                  <w:rFonts w:ascii="Arial" w:cs="Arial" w:eastAsia="Arial" w:hAnsi="Arial"/>
                  <w:sz w:val="16"/>
                  <w:szCs w:val="16"/>
                  <w:color w:val="0000FF"/>
                </w:rPr>
                <w:t>64</w:t>
              </w:r>
            </w:hyperlink>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Borders>
              <w:top w:val="single" w:sz="8" w:color="0000FF"/>
            </w:tcBorders>
            <w:gridSpan w:val="5"/>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Signatures</w:t>
              </w:r>
            </w:hyperlink>
          </w:p>
        </w:tc>
        <w:tc>
          <w:tcPr>
            <w:tcW w:w="7240" w:type="dxa"/>
            <w:vAlign w:val="bottom"/>
            <w:gridSpan w:val="22"/>
          </w:tcPr>
          <w:p>
            <w:pPr>
              <w:spacing w:after="0"/>
              <w:rPr>
                <w:sz w:val="17"/>
                <w:szCs w:val="17"/>
                <w:color w:val="auto"/>
              </w:rPr>
            </w:pPr>
          </w:p>
        </w:tc>
        <w:tc>
          <w:tcPr>
            <w:tcW w:w="1700" w:type="dxa"/>
            <w:vAlign w:val="bottom"/>
            <w:gridSpan w:val="3"/>
          </w:tcPr>
          <w:p>
            <w:pPr>
              <w:jc w:val="right"/>
              <w:spacing w:after="0"/>
              <w:rPr>
                <w:rFonts w:ascii="Arial" w:cs="Arial" w:eastAsia="Arial" w:hAnsi="Arial"/>
                <w:sz w:val="16"/>
                <w:szCs w:val="16"/>
                <w:color w:val="0000FF"/>
              </w:rPr>
            </w:pPr>
            <w:hyperlink w:anchor="page64">
              <w:r>
                <w:rPr>
                  <w:rFonts w:ascii="Arial" w:cs="Arial" w:eastAsia="Arial" w:hAnsi="Arial"/>
                  <w:sz w:val="16"/>
                  <w:szCs w:val="16"/>
                  <w:color w:val="0000FF"/>
                </w:rPr>
                <w:t>65</w:t>
              </w:r>
            </w:hyperlink>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Apogee Enterprises, Inc. (Apogee, the Company or we) was incorporated under the laws of the State of Minnesota in 1949. We are a leader in the design and development of architectural building products and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Company has four reporting segments, with three of the segments serving the commercial construction market:</w:t>
      </w:r>
    </w:p>
    <w:p>
      <w:pPr>
        <w:spacing w:after="0" w:line="23" w:lineRule="exact"/>
        <w:rPr>
          <w:sz w:val="20"/>
          <w:szCs w:val="20"/>
          <w:color w:val="auto"/>
        </w:rPr>
      </w:pPr>
    </w:p>
    <w:p>
      <w:pPr>
        <w:ind w:left="460" w:right="20" w:hanging="331"/>
        <w:spacing w:after="0" w:line="265" w:lineRule="auto"/>
        <w:tabs>
          <w:tab w:leader="none" w:pos="45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Architectural Framing Systems</w:t>
      </w:r>
      <w:r>
        <w:rPr>
          <w:rFonts w:ascii="Arial" w:cs="Arial" w:eastAsia="Arial" w:hAnsi="Arial"/>
          <w:sz w:val="17"/>
          <w:szCs w:val="17"/>
          <w:color w:val="auto"/>
        </w:rPr>
        <w:t xml:space="preserve"> segment designs, engineers, fabricates and finishes aluminum window, curtainwall, storefront and entrance systems comprising the exterior of buildings. In fiscal 2021, this segment accounted for approximately 46 percent of our net sales.</w:t>
      </w:r>
    </w:p>
    <w:p>
      <w:pPr>
        <w:ind w:left="460" w:hanging="331"/>
        <w:spacing w:after="0" w:line="250" w:lineRule="auto"/>
        <w:tabs>
          <w:tab w:leader="none" w:pos="45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Glass</w:t>
      </w:r>
      <w:r>
        <w:rPr>
          <w:rFonts w:ascii="Arial" w:cs="Arial" w:eastAsia="Arial" w:hAnsi="Arial"/>
          <w:sz w:val="18"/>
          <w:szCs w:val="18"/>
          <w:color w:val="auto"/>
        </w:rPr>
        <w:t xml:space="preserve"> segment coats and fabricates, high-performance glass used in custom window and wall systems on commercial buildings. In fiscal 2021, this segment accounted for approximately 24 percent of our net sales.</w:t>
      </w:r>
    </w:p>
    <w:p>
      <w:pPr>
        <w:ind w:left="460" w:hanging="331"/>
        <w:spacing w:after="0" w:line="281" w:lineRule="auto"/>
        <w:tabs>
          <w:tab w:leader="none" w:pos="45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Architectural Services</w:t>
      </w:r>
      <w:r>
        <w:rPr>
          <w:rFonts w:ascii="Arial" w:cs="Arial" w:eastAsia="Arial" w:hAnsi="Arial"/>
          <w:sz w:val="16"/>
          <w:szCs w:val="16"/>
          <w:color w:val="auto"/>
        </w:rPr>
        <w:t xml:space="preserve"> segment integrates technical services, project management, and field installation services to design, engineer, fabricate, and install building glass and curtainwall systems. In fiscal 2021, this segment accounted for approximately 24 percent of our net sales.</w:t>
      </w:r>
    </w:p>
    <w:p>
      <w:pPr>
        <w:spacing w:after="0" w:line="1" w:lineRule="exact"/>
        <w:rPr>
          <w:rFonts w:ascii="Arial" w:cs="Arial" w:eastAsia="Arial" w:hAnsi="Arial"/>
          <w:sz w:val="16"/>
          <w:szCs w:val="16"/>
          <w:color w:val="auto"/>
        </w:rPr>
      </w:pPr>
    </w:p>
    <w:p>
      <w:pPr>
        <w:ind w:left="460" w:right="20" w:hanging="331"/>
        <w:spacing w:after="0" w:line="260" w:lineRule="auto"/>
        <w:tabs>
          <w:tab w:leader="none" w:pos="45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Large-Scale Optical Technologies</w:t>
      </w:r>
      <w:r>
        <w:rPr>
          <w:rFonts w:ascii="Arial" w:cs="Arial" w:eastAsia="Arial" w:hAnsi="Arial"/>
          <w:sz w:val="18"/>
          <w:szCs w:val="18"/>
          <w:color w:val="auto"/>
        </w:rPr>
        <w:t xml:space="preserve"> (LSO) segment manufactures value-added coated glass and acrylic products for custom framing, museum, and technical glass markets. In fiscal 2021, this segment accounted for approximately 6 percent of our net sales.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strategy is to diversify revenue streams within the commercial construction industry, providing revenue growth and profit generation over an economic cycle, and utilize our capabilities to enter adjacent segments. We work to diversify end markets served through growth from new geographies, new products and new market segments, while working to improve margins through productivity, integration, project selection and rigorous cost management.</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 effort to drive growth and reduce our exposure to the cyclical nature of the large-building segment of the commercial construction industry, we are working to expand our capabilities to serve small- and mid-sized projects across our architectural segments and working to expand our North American geographic reach.</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Specifically over the past fiscal year, in the Architectural Framing Systems segment, our focus was to drive margin improvement through increased productivity, cost management, integration, supply chain optimization, and new product development. In the Architectural Glass segment, we began operation of our new fabrication facility designed to serve small-sized and quick-turn projects in Dallas, Texas. In the Architectural Services segment, our emphasis is to generate consistent margins through focused project selection and execution, while continuing to deliver long-term organic growth through targeted geographic expansion.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the LSO segment, we are working to grow in new channels, markets and geographies that desire the value-added properties that our glass and acrylics products provide.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Across all our segments, we regularly evaluate business development opportunities in adjacent sectors that will complement our existing portfolio. Finally, we are constantly working to improve the efficiency and productivity of our operations by implementing continuous improvement, lean manufacturing principles and automation where we can achieve solid return on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Architectural Framing Systems, Architectural Glass and Architectural Services segments</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three segments serve the commercial construction industry and participate in various phases of the value stream to design, engineer, fabricate and install custom glass and aluminum window, curtainwall, storefront and entrance systems comprising the exterior of buildings, primarily in the commercial, institutional and multi-family residential construction sectors.</w:t>
      </w:r>
    </w:p>
    <w:p>
      <w:pPr>
        <w:spacing w:after="0" w:line="2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Within our Architectural Framing Systems segment, we design, engineer and fabricate aluminum window, curtainwall, storefront and entrance systems. We also extrude aluminum and provide finishing services for metal components used in a variety of building materials applications, as well as plastic components for other markets.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Architectural Glass segment, we fabricate coated glass and apply high-performance coatings to uncoated glass to create a variety of aesthetic characteristics, unique designs and energy-efficient qualities. We also laminate and temper layers of glass and vinyl for protection and strength against hazards such as severe weather and blasts. Much of our high-performance glass 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made-to-order and is typically fabricated into insulating and/or laminated glass units for window, curtainwall, storefront or entrance systems.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Architectural Services segment delivers value by integrating technical capabilities, project management skills and field installation services, to provide design, engineering, fabrication and installation services for the exteriors of commercial buildings. Our ability to efficiently design high-quality window and curtainwall systems and effectively manage the installation of building façades enables our customers to meet schedule and cost requirements of their projects.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product and service offerings across these architectural segments allow architects to create distinctive looks for buildings such as office towers, hotels, education and athletic facilities, health care facilities, government buildings, retail centers, mixed use and multi-family residential buildings, while also meeting functional requirements such as energy efficiency, hurricane, blast and other impact resistance and/or sound control.</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Many of our architectural products and services help architects, developers, and building owners achieve their energy-efficiency and sustainability goals, by improving energy performance, thereby reducing greenhouse gas emissions, providing daylight and natural ventilation, and increasing comfort and safety for occupants. These products include high-performance thermal framing systems, energy efficient glass coatings, and sun control products such as sunshades and light shelves. Many of our framing systems products can be specified with recycled aluminum content and utilize environmentally friendly anodize and paint finishes. In addition, we offer a wide range of renovation solutions to help modernize aging buildings, providing significantly improved energy performance, while preserving historically accurate aesthetics.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LSO segment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LSO segment provides coated glass and acrylic primarily for use in custom picture framing, museum framing, wall decor and technical glass for other display applications. Products vary based on size and coatings to provide conservation-grade UV protection, anti-reflective and anti-static properties and/or security features.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Demand and Distribution Channels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Architectural Framing Systems, Architectural Glass and Architectural Services segments</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Demand for the products and services offered by our architectural segments is affected by changes in the North American commercial construction industry, as well as by changes in general economic conditions. Additionally, the Architectural Glass segment has Brazilian operations which are impacted by Brazil's commercial construction industry and general economic conditions.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look at several external indicators to analyze potential demand for our products and services, such as U.S. and Canadian job growth, office vacancy rates, credit and interest rates available for commercial construction projects, architectural billing statistics and material costs. We also rely on internal indicators to analyze demand, including our sales pipeline, which is made up of contracts in review, projects awarded or committed, and bidding activity. Our sales pipeline, together with ongoing feedback, analysis and data from our customers, architects and building owners, provide visibility into near- and medium-term future demand. Additionally, we evaluate data on U.S. and Canadian non-residential construction market activity, industry analysis and longer-term trends provided by external data sources.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architectural products and services are used in subsets of the construction industry differentiated by the following types of factors:</w:t>
      </w:r>
    </w:p>
    <w:p>
      <w:pPr>
        <w:spacing w:after="0" w:line="252" w:lineRule="exact"/>
        <w:rPr>
          <w:sz w:val="20"/>
          <w:szCs w:val="20"/>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Building type</w:t>
      </w:r>
      <w:r>
        <w:rPr>
          <w:rFonts w:ascii="Arial" w:cs="Arial" w:eastAsia="Arial" w:hAnsi="Arial"/>
          <w:sz w:val="18"/>
          <w:szCs w:val="18"/>
          <w:color w:val="auto"/>
        </w:rPr>
        <w:t xml:space="preserve"> - Our products and services are primarily used in commercial buildings (office buildings, hotels and retail centers), institutional buildings (education facilities, health care facilities and government buildings), and multi-family residential buildings (a subset of residential construction).</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Level of customization</w:t>
      </w:r>
      <w:r>
        <w:rPr>
          <w:rFonts w:ascii="Arial" w:cs="Arial" w:eastAsia="Arial" w:hAnsi="Arial"/>
          <w:sz w:val="18"/>
          <w:szCs w:val="18"/>
          <w:color w:val="auto"/>
        </w:rPr>
        <w:t xml:space="preserve"> - Many of our projects involve a high degree of customization, as the product or service is designed to meet customer-specified requirements for aesthetics, performance and size, and local building codes.</w:t>
      </w:r>
    </w:p>
    <w:p>
      <w:pPr>
        <w:spacing w:after="0" w:line="197"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Customers and distribution channels</w:t>
      </w:r>
      <w:r>
        <w:rPr>
          <w:rFonts w:ascii="Arial" w:cs="Arial" w:eastAsia="Arial" w:hAnsi="Arial"/>
          <w:sz w:val="16"/>
          <w:szCs w:val="16"/>
          <w:color w:val="auto"/>
        </w:rPr>
        <w:t xml:space="preserve"> - Our customers are mainly glazing subcontractors and general contractors, with project design being influenced by architects and building owners. Our high-performance architectural glass is primarily sold using both a direct sales force and independent sales representatives. Our installation services are sold by a direct sales force in certain metropolitan areas in the U.S. Our window, curtainwall, storefront and entrance systems are sold using a combination of direct sales forces, independent sales representatives and distributors.</w:t>
      </w:r>
    </w:p>
    <w:p>
      <w:pPr>
        <w:spacing w:after="0" w:line="184"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Geographic location</w:t>
      </w:r>
      <w:r>
        <w:rPr>
          <w:rFonts w:ascii="Arial" w:cs="Arial" w:eastAsia="Arial" w:hAnsi="Arial"/>
          <w:sz w:val="18"/>
          <w:szCs w:val="18"/>
          <w:color w:val="auto"/>
        </w:rPr>
        <w:t xml:space="preserve"> - We primarily supply architectural glass products and aluminum framing systems, including window, curtainwall, storefront and entrance systems, to customers in North America. We are one of only a few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architectural glass installation service companies in the U.S. to have a national presence and we have the ability to provide remote installation project management throughout the U.S. Our Architectural Glass segment also supplies architectural glass products to customers in Brazil and certain other international locations.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LSO segment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LSO segment, we have a leading brand of value-added coated glass and acrylic used in the custom picture-framing market and museum market. Under the Tru Vue brand, products are sold primarily in North America through national and regional retail chains using a direct sales force, as well as through local retailers using an independent distribution network. We also supply our glass, acrylic and other products to museums, galleries and other organizations in Europe and other international locations through independent distributors.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Architectural Framing Systems, Architectural Glass and Architectural Services segments</w:t>
      </w:r>
    </w:p>
    <w:p>
      <w:pPr>
        <w:spacing w:after="0" w:line="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North American commercial construction market is highly fragmented. Competitive factors include price, product quality, product attributes and performance, reliable service, on-time delivery, lead-time, warranty and the ability to provide project management, technical engineering and design services. To protect and enhance our competitive position, we maintain strong relationships with building owners and architects, who influence the selection of products and services on a project, and with general contractors, who initiate projects and develop specifications.</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is a great deal of competition in the North American commercial window and storefront manufacturing industry, and our Architectural Framing Systems segment competes against several national, regional and local aluminum window and storefront manufacturers, as well as regional paint and anodizing finishing companies. Our businesses compete by providing high-quality products, innovation, reliable on-time delivery and short lead times.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Architectural Glass segment, we experience competition from regional glass fabricators who can provide certain products with attributes similar to our products. Within the market sector for large, complex projects, we encounter competition from international companies and large regional fabricators, some of which have benefited from the relative strength of the U.S. dollar and lower fabrication costs in recent years. We differentiate ourselves by providing high-quality, innovative and customizable products, short lead times, and strong customer service.</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Architectural Services segment competes against national and regional glass installation companies. We distinguish ourselves from these competitors through our strong project management and our track record of regularly meeting each project's unique execution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LSO segment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attributes, price, quality, marketing and service are the primary competitive factors in the LSO segment. Our competitive strengths include our excellent relationships with customers, innovative marketing programs and the performance of our value-added products. We compete with certain European and U.S. valued-added glass and acrylic companies.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offer product and service warranties that we believe are competitive for the markets in which our products and services are sold. The nature and extent of these warranties depend upon the product or service, the market and, in some cases, the customer being served. Our standard warranties are generally from two to 10 years for our architectural glass, curtainwall and window system products, while we generally offer warranties of two years or less on our other products and services.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Materials used in the Architectural Framing Systems segment include aluminum billet and extrusions, fabricated glass, plastic extrusions, hardware, paint and chemicals. Raw materials used within the Architectural Glass segment include flat glass, vinyl, silicone sealants and lumber. Within the Architectural Services segment, materials used include fabricated glass, finished aluminum extrusions, fabricated metal panels and hardware. Materials used in the LSO segment are primarily glass and acrylic. Most of our raw materials are readily available from a variety of domestic and international 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Patents</w:t>
      </w:r>
    </w:p>
    <w:p>
      <w:pPr>
        <w:spacing w:after="0" w:line="1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several trademarks and trade names that we believe have significant value in the marketing of our products, including APOGEE</w:t>
      </w:r>
      <w:r>
        <w:rPr>
          <w:rFonts w:ascii="Arial" w:cs="Arial" w:eastAsia="Arial" w:hAnsi="Arial"/>
          <w:sz w:val="20"/>
          <w:szCs w:val="20"/>
          <w:color w:val="auto"/>
          <w:vertAlign w:val="superscript"/>
        </w:rPr>
        <w:t>®</w:t>
      </w:r>
      <w:r>
        <w:rPr>
          <w:rFonts w:ascii="Arial" w:cs="Arial" w:eastAsia="Arial" w:hAnsi="Arial"/>
          <w:sz w:val="16"/>
          <w:szCs w:val="16"/>
          <w:color w:val="auto"/>
        </w:rPr>
        <w:t>. Trademark registrations in the U.S. are generally for a term of 10 years, renewable every 10 years as long as the trademark is used in the regular course of trade.</w:t>
      </w:r>
    </w:p>
    <w:p>
      <w:pPr>
        <w:spacing w:after="0" w:line="12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Within the Architectural Framing Systems segment, LINETEC®, WAUSAU WINDOW AND WALL SYSTEMS</w:t>
      </w:r>
      <w:r>
        <w:rPr>
          <w:rFonts w:ascii="Arial" w:cs="Arial" w:eastAsia="Arial" w:hAnsi="Arial"/>
          <w:sz w:val="23"/>
          <w:szCs w:val="23"/>
          <w:color w:val="auto"/>
          <w:vertAlign w:val="superscript"/>
        </w:rPr>
        <w:t>®</w:t>
      </w:r>
      <w:r>
        <w:rPr>
          <w:rFonts w:ascii="Arial" w:cs="Arial" w:eastAsia="Arial" w:hAnsi="Arial"/>
          <w:sz w:val="18"/>
          <w:szCs w:val="18"/>
          <w:color w:val="auto"/>
        </w:rPr>
        <w:t>, TUBELITE</w:t>
      </w:r>
      <w:r>
        <w:rPr>
          <w:rFonts w:ascii="Arial" w:cs="Arial" w:eastAsia="Arial" w:hAnsi="Arial"/>
          <w:sz w:val="23"/>
          <w:szCs w:val="23"/>
          <w:color w:val="auto"/>
          <w:vertAlign w:val="superscript"/>
        </w:rPr>
        <w:t>®</w:t>
      </w:r>
      <w:r>
        <w:rPr>
          <w:rFonts w:ascii="Arial" w:cs="Arial" w:eastAsia="Arial" w:hAnsi="Arial"/>
          <w:sz w:val="18"/>
          <w:szCs w:val="18"/>
          <w:color w:val="auto"/>
        </w:rPr>
        <w:t>, ADVANTAGE BY WAUSAU</w:t>
      </w:r>
      <w:r>
        <w:rPr>
          <w:rFonts w:ascii="Arial" w:cs="Arial" w:eastAsia="Arial" w:hAnsi="Arial"/>
          <w:sz w:val="23"/>
          <w:szCs w:val="23"/>
          <w:color w:val="auto"/>
          <w:vertAlign w:val="superscript"/>
        </w:rPr>
        <w:t>®</w:t>
      </w:r>
      <w:r>
        <w:rPr>
          <w:rFonts w:ascii="Arial" w:cs="Arial" w:eastAsia="Arial" w:hAnsi="Arial"/>
          <w:sz w:val="18"/>
          <w:szCs w:val="18"/>
          <w:color w:val="auto"/>
        </w:rPr>
        <w:t>, 300ES</w:t>
      </w:r>
      <w:r>
        <w:rPr>
          <w:rFonts w:ascii="Arial" w:cs="Arial" w:eastAsia="Arial" w:hAnsi="Arial"/>
          <w:sz w:val="23"/>
          <w:szCs w:val="23"/>
          <w:color w:val="auto"/>
          <w:vertAlign w:val="superscript"/>
        </w:rPr>
        <w:t>®</w:t>
      </w:r>
      <w:r>
        <w:rPr>
          <w:rFonts w:ascii="Arial" w:cs="Arial" w:eastAsia="Arial" w:hAnsi="Arial"/>
          <w:sz w:val="18"/>
          <w:szCs w:val="18"/>
          <w:color w:val="auto"/>
        </w:rPr>
        <w:t>, FINISHER OF CHOICE</w:t>
      </w:r>
      <w:r>
        <w:rPr>
          <w:rFonts w:ascii="Arial" w:cs="Arial" w:eastAsia="Arial" w:hAnsi="Arial"/>
          <w:sz w:val="23"/>
          <w:szCs w:val="23"/>
          <w:color w:val="auto"/>
          <w:vertAlign w:val="superscript"/>
        </w:rPr>
        <w:t>®</w:t>
      </w:r>
      <w:r>
        <w:rPr>
          <w:rFonts w:ascii="Arial" w:cs="Arial" w:eastAsia="Arial" w:hAnsi="Arial"/>
          <w:sz w:val="18"/>
          <w:szCs w:val="18"/>
          <w:color w:val="auto"/>
        </w:rPr>
        <w:t>, THERML=BLOCK</w:t>
      </w:r>
      <w:r>
        <w:rPr>
          <w:rFonts w:ascii="Arial" w:cs="Arial" w:eastAsia="Arial" w:hAnsi="Arial"/>
          <w:sz w:val="23"/>
          <w:szCs w:val="23"/>
          <w:color w:val="auto"/>
          <w:vertAlign w:val="superscript"/>
        </w:rPr>
        <w:t>®</w:t>
      </w:r>
      <w:r>
        <w:rPr>
          <w:rFonts w:ascii="Arial" w:cs="Arial" w:eastAsia="Arial" w:hAnsi="Arial"/>
          <w:sz w:val="18"/>
          <w:szCs w:val="18"/>
          <w:color w:val="auto"/>
        </w:rPr>
        <w:t>, MAXBLOCK</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DFG</w:t>
      </w:r>
      <w:r>
        <w:rPr>
          <w:rFonts w:ascii="Arial" w:cs="Arial" w:eastAsia="Arial" w:hAnsi="Arial"/>
          <w:sz w:val="23"/>
          <w:szCs w:val="23"/>
          <w:color w:val="auto"/>
          <w:vertAlign w:val="superscript"/>
        </w:rPr>
        <w:t>®</w:t>
      </w:r>
      <w:r>
        <w:rPr>
          <w:rFonts w:ascii="Arial" w:cs="Arial" w:eastAsia="Arial" w:hAnsi="Arial"/>
          <w:sz w:val="18"/>
          <w:szCs w:val="18"/>
          <w:color w:val="auto"/>
        </w:rPr>
        <w:t>, ECOLUMINUM</w:t>
      </w:r>
      <w:r>
        <w:rPr>
          <w:rFonts w:ascii="Arial" w:cs="Arial" w:eastAsia="Arial" w:hAnsi="Arial"/>
          <w:sz w:val="23"/>
          <w:szCs w:val="23"/>
          <w:color w:val="auto"/>
          <w:vertAlign w:val="superscript"/>
        </w:rPr>
        <w:t>®</w:t>
      </w:r>
      <w:r>
        <w:rPr>
          <w:rFonts w:ascii="Arial" w:cs="Arial" w:eastAsia="Arial" w:hAnsi="Arial"/>
          <w:sz w:val="18"/>
          <w:szCs w:val="18"/>
          <w:color w:val="auto"/>
        </w:rPr>
        <w:t>, ALUMINATE</w:t>
      </w:r>
      <w:r>
        <w:rPr>
          <w:rFonts w:ascii="Arial" w:cs="Arial" w:eastAsia="Arial" w:hAnsi="Arial"/>
          <w:sz w:val="23"/>
          <w:szCs w:val="23"/>
          <w:color w:val="auto"/>
          <w:vertAlign w:val="superscript"/>
        </w:rPr>
        <w:t>®</w:t>
      </w:r>
      <w:r>
        <w:rPr>
          <w:rFonts w:ascii="Arial" w:cs="Arial" w:eastAsia="Arial" w:hAnsi="Arial"/>
          <w:sz w:val="18"/>
          <w:szCs w:val="18"/>
          <w:color w:val="auto"/>
        </w:rPr>
        <w:t>, GET THE POINT!</w:t>
      </w:r>
      <w:r>
        <w:rPr>
          <w:rFonts w:ascii="Arial" w:cs="Arial" w:eastAsia="Arial" w:hAnsi="Arial"/>
          <w:sz w:val="23"/>
          <w:szCs w:val="23"/>
          <w:color w:val="auto"/>
          <w:vertAlign w:val="superscript"/>
        </w:rPr>
        <w:t>®</w:t>
      </w:r>
      <w:r>
        <w:rPr>
          <w:rFonts w:ascii="Arial" w:cs="Arial" w:eastAsia="Arial" w:hAnsi="Arial"/>
          <w:sz w:val="18"/>
          <w:szCs w:val="18"/>
          <w:color w:val="auto"/>
        </w:rPr>
        <w:t>, FORCEFRONT</w:t>
      </w:r>
      <w:r>
        <w:rPr>
          <w:rFonts w:ascii="Arial" w:cs="Arial" w:eastAsia="Arial" w:hAnsi="Arial"/>
          <w:sz w:val="23"/>
          <w:szCs w:val="23"/>
          <w:color w:val="auto"/>
          <w:vertAlign w:val="superscript"/>
        </w:rPr>
        <w:t>®</w:t>
      </w:r>
      <w:r>
        <w:rPr>
          <w:rFonts w:ascii="Arial" w:cs="Arial" w:eastAsia="Arial" w:hAnsi="Arial"/>
          <w:sz w:val="18"/>
          <w:szCs w:val="18"/>
          <w:color w:val="auto"/>
        </w:rPr>
        <w:t>, SOTAWALL</w:t>
      </w:r>
      <w:r>
        <w:rPr>
          <w:rFonts w:ascii="Arial" w:cs="Arial" w:eastAsia="Arial" w:hAnsi="Arial"/>
          <w:sz w:val="23"/>
          <w:szCs w:val="23"/>
          <w:color w:val="auto"/>
          <w:vertAlign w:val="superscript"/>
        </w:rPr>
        <w:t>®</w:t>
      </w:r>
      <w:r>
        <w:rPr>
          <w:rFonts w:ascii="Arial" w:cs="Arial" w:eastAsia="Arial" w:hAnsi="Arial"/>
          <w:sz w:val="18"/>
          <w:szCs w:val="18"/>
          <w:color w:val="auto"/>
        </w:rPr>
        <w:t>, SOTA</w:t>
      </w:r>
      <w:r>
        <w:rPr>
          <w:rFonts w:ascii="Arial" w:cs="Arial" w:eastAsia="Arial" w:hAnsi="Arial"/>
          <w:sz w:val="23"/>
          <w:szCs w:val="23"/>
          <w:color w:val="auto"/>
          <w:vertAlign w:val="superscript"/>
        </w:rPr>
        <w:t>®</w:t>
      </w:r>
      <w:r>
        <w:rPr>
          <w:rFonts w:ascii="Arial" w:cs="Arial" w:eastAsia="Arial" w:hAnsi="Arial"/>
          <w:sz w:val="18"/>
          <w:szCs w:val="18"/>
          <w:color w:val="auto"/>
        </w:rPr>
        <w:t>, HYBRID-WALL</w:t>
      </w:r>
      <w:r>
        <w:rPr>
          <w:rFonts w:ascii="Arial" w:cs="Arial" w:eastAsia="Arial" w:hAnsi="Arial"/>
          <w:sz w:val="23"/>
          <w:szCs w:val="23"/>
          <w:color w:val="auto"/>
          <w:vertAlign w:val="superscript"/>
        </w:rPr>
        <w:t>®</w:t>
      </w:r>
      <w:r>
        <w:rPr>
          <w:rFonts w:ascii="Arial" w:cs="Arial" w:eastAsia="Arial" w:hAnsi="Arial"/>
          <w:sz w:val="18"/>
          <w:szCs w:val="18"/>
          <w:color w:val="auto"/>
        </w:rPr>
        <w:t>, EFCO</w:t>
      </w:r>
      <w:r>
        <w:rPr>
          <w:rFonts w:ascii="Arial" w:cs="Arial" w:eastAsia="Arial" w:hAnsi="Arial"/>
          <w:sz w:val="23"/>
          <w:szCs w:val="23"/>
          <w:color w:val="auto"/>
          <w:vertAlign w:val="superscript"/>
        </w:rPr>
        <w:t>®</w:t>
      </w:r>
      <w:r>
        <w:rPr>
          <w:rFonts w:ascii="Arial" w:cs="Arial" w:eastAsia="Arial" w:hAnsi="Arial"/>
          <w:sz w:val="18"/>
          <w:szCs w:val="18"/>
          <w:color w:val="auto"/>
        </w:rPr>
        <w:t>, TERRASTILE</w:t>
      </w:r>
      <w:r>
        <w:rPr>
          <w:rFonts w:ascii="Arial" w:cs="Arial" w:eastAsia="Arial" w:hAnsi="Arial"/>
          <w:sz w:val="23"/>
          <w:szCs w:val="23"/>
          <w:color w:val="auto"/>
          <w:vertAlign w:val="superscript"/>
        </w:rPr>
        <w:t>®</w:t>
      </w:r>
      <w:r>
        <w:rPr>
          <w:rFonts w:ascii="Arial" w:cs="Arial" w:eastAsia="Arial" w:hAnsi="Arial"/>
          <w:sz w:val="18"/>
          <w:szCs w:val="18"/>
          <w:color w:val="auto"/>
        </w:rPr>
        <w:t>, THERMASTILE</w:t>
      </w:r>
      <w:r>
        <w:rPr>
          <w:rFonts w:ascii="Arial" w:cs="Arial" w:eastAsia="Arial" w:hAnsi="Arial"/>
          <w:sz w:val="23"/>
          <w:szCs w:val="23"/>
          <w:color w:val="auto"/>
          <w:vertAlign w:val="superscript"/>
        </w:rPr>
        <w:t>®</w:t>
      </w:r>
      <w:r>
        <w:rPr>
          <w:rFonts w:ascii="Arial" w:cs="Arial" w:eastAsia="Arial" w:hAnsi="Arial"/>
          <w:sz w:val="18"/>
          <w:szCs w:val="18"/>
          <w:color w:val="auto"/>
        </w:rPr>
        <w:t>, TRIPLE SET</w:t>
      </w:r>
      <w:r>
        <w:rPr>
          <w:rFonts w:ascii="Arial" w:cs="Arial" w:eastAsia="Arial" w:hAnsi="Arial"/>
          <w:sz w:val="23"/>
          <w:szCs w:val="23"/>
          <w:color w:val="auto"/>
          <w:vertAlign w:val="superscript"/>
        </w:rPr>
        <w:t>®</w:t>
      </w:r>
      <w:r>
        <w:rPr>
          <w:rFonts w:ascii="Arial" w:cs="Arial" w:eastAsia="Arial" w:hAnsi="Arial"/>
          <w:sz w:val="18"/>
          <w:szCs w:val="18"/>
          <w:color w:val="auto"/>
        </w:rPr>
        <w:t>, ULTRADIZE</w:t>
      </w:r>
      <w:r>
        <w:rPr>
          <w:rFonts w:ascii="Arial" w:cs="Arial" w:eastAsia="Arial" w:hAnsi="Arial"/>
          <w:sz w:val="23"/>
          <w:szCs w:val="23"/>
          <w:color w:val="auto"/>
          <w:vertAlign w:val="superscript"/>
        </w:rPr>
        <w:t>®</w:t>
      </w:r>
      <w:r>
        <w:rPr>
          <w:rFonts w:ascii="Arial" w:cs="Arial" w:eastAsia="Arial" w:hAnsi="Arial"/>
          <w:sz w:val="18"/>
          <w:szCs w:val="18"/>
          <w:color w:val="auto"/>
        </w:rPr>
        <w:t>, ULTRAFLUR</w:t>
      </w:r>
      <w:r>
        <w:rPr>
          <w:rFonts w:ascii="Arial" w:cs="Arial" w:eastAsia="Arial" w:hAnsi="Arial"/>
          <w:sz w:val="23"/>
          <w:szCs w:val="23"/>
          <w:color w:val="auto"/>
          <w:vertAlign w:val="superscript"/>
        </w:rPr>
        <w:t>®</w:t>
      </w:r>
      <w:r>
        <w:rPr>
          <w:rFonts w:ascii="Arial" w:cs="Arial" w:eastAsia="Arial" w:hAnsi="Arial"/>
          <w:sz w:val="18"/>
          <w:szCs w:val="18"/>
          <w:color w:val="auto"/>
        </w:rPr>
        <w:t>, ULTRALINE</w:t>
      </w:r>
      <w:r>
        <w:rPr>
          <w:rFonts w:ascii="Arial" w:cs="Arial" w:eastAsia="Arial" w:hAnsi="Arial"/>
          <w:sz w:val="23"/>
          <w:szCs w:val="23"/>
          <w:color w:val="auto"/>
          <w:vertAlign w:val="superscript"/>
        </w:rPr>
        <w:t>®</w:t>
      </w:r>
      <w:r>
        <w:rPr>
          <w:rFonts w:ascii="Arial" w:cs="Arial" w:eastAsia="Arial" w:hAnsi="Arial"/>
          <w:sz w:val="18"/>
          <w:szCs w:val="18"/>
          <w:color w:val="auto"/>
        </w:rPr>
        <w:t>, ULTRAPON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XTHERM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registered trademarks. CUSTOM WINDOW™, INVENT™, INVENT.PLUS™, INVENT RETRO™, INVISION™, CLEARSTORY™, EPIC™, HERITAGE™, VISULINE™, SEAL™, SUPERWALL™, CROSSTRAK™, HP-Wall™, VersaTherm™, E-Strut™, E-Shade™, E-Lite™, Series 960 Wall™, Durastile™ and X Force™ are unregistered trademarks. ALUMICOR™, BUILDING EXCELLENCE™, TerraPorte 7600 Out-Swing accessABLE™, ThermaSlide™ 7000, Integra 6000™, ThermaSlide™ and SecureSash™ are unregistered trademarks in Canada.</w:t>
      </w:r>
    </w:p>
    <w:p>
      <w:pPr>
        <w:spacing w:after="0" w:line="165"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Within the Architectural Glass segment, VIRACON</w:t>
      </w:r>
      <w:r>
        <w:rPr>
          <w:rFonts w:ascii="Arial" w:cs="Arial" w:eastAsia="Arial" w:hAnsi="Arial"/>
          <w:sz w:val="23"/>
          <w:szCs w:val="23"/>
          <w:color w:val="auto"/>
          <w:vertAlign w:val="superscript"/>
        </w:rPr>
        <w:t>®</w:t>
      </w:r>
      <w:r>
        <w:rPr>
          <w:rFonts w:ascii="Arial" w:cs="Arial" w:eastAsia="Arial" w:hAnsi="Arial"/>
          <w:sz w:val="18"/>
          <w:szCs w:val="18"/>
          <w:color w:val="auto"/>
        </w:rPr>
        <w:t>, DIGITALDISTINCTIONS</w:t>
      </w:r>
      <w:r>
        <w:rPr>
          <w:rFonts w:ascii="Arial" w:cs="Arial" w:eastAsia="Arial" w:hAnsi="Arial"/>
          <w:sz w:val="23"/>
          <w:szCs w:val="23"/>
          <w:color w:val="auto"/>
          <w:vertAlign w:val="superscript"/>
        </w:rPr>
        <w:t>®</w:t>
      </w:r>
      <w:r>
        <w:rPr>
          <w:rFonts w:ascii="Arial" w:cs="Arial" w:eastAsia="Arial" w:hAnsi="Arial"/>
          <w:sz w:val="18"/>
          <w:szCs w:val="18"/>
          <w:color w:val="auto"/>
        </w:rPr>
        <w:t>, ROOMSIDE</w:t>
      </w:r>
      <w:r>
        <w:rPr>
          <w:rFonts w:ascii="Arial" w:cs="Arial" w:eastAsia="Arial" w:hAnsi="Arial"/>
          <w:sz w:val="23"/>
          <w:szCs w:val="23"/>
          <w:color w:val="auto"/>
          <w:vertAlign w:val="superscript"/>
        </w:rPr>
        <w:t>®</w:t>
      </w:r>
      <w:r>
        <w:rPr>
          <w:rFonts w:ascii="Arial" w:cs="Arial" w:eastAsia="Arial" w:hAnsi="Arial"/>
          <w:sz w:val="18"/>
          <w:szCs w:val="18"/>
          <w:color w:val="auto"/>
        </w:rPr>
        <w:t>, GLASS IS EVERYTHING</w:t>
      </w:r>
      <w:r>
        <w:rPr>
          <w:rFonts w:ascii="Arial" w:cs="Arial" w:eastAsia="Arial" w:hAnsi="Arial"/>
          <w:sz w:val="23"/>
          <w:szCs w:val="23"/>
          <w:color w:val="auto"/>
          <w:vertAlign w:val="superscript"/>
        </w:rPr>
        <w:t>®</w:t>
      </w:r>
      <w:r>
        <w:rPr>
          <w:rFonts w:ascii="Arial" w:cs="Arial" w:eastAsia="Arial" w:hAnsi="Arial"/>
          <w:sz w:val="18"/>
          <w:szCs w:val="18"/>
          <w:color w:val="auto"/>
        </w:rPr>
        <w:t>, CLEARPOINT</w:t>
      </w:r>
      <w:r>
        <w:rPr>
          <w:rFonts w:ascii="Arial" w:cs="Arial" w:eastAsia="Arial" w:hAnsi="Arial"/>
          <w:sz w:val="23"/>
          <w:szCs w:val="23"/>
          <w:color w:val="auto"/>
          <w:vertAlign w:val="superscript"/>
        </w:rPr>
        <w:t>®</w:t>
      </w:r>
      <w:r>
        <w:rPr>
          <w:rFonts w:ascii="Arial" w:cs="Arial" w:eastAsia="Arial" w:hAnsi="Arial"/>
          <w:sz w:val="18"/>
          <w:szCs w:val="18"/>
          <w:color w:val="auto"/>
        </w:rPr>
        <w:t>, CYBERSHIELD</w:t>
      </w:r>
      <w:r>
        <w:rPr>
          <w:rFonts w:ascii="Arial" w:cs="Arial" w:eastAsia="Arial" w:hAnsi="Arial"/>
          <w:sz w:val="23"/>
          <w:szCs w:val="23"/>
          <w:color w:val="auto"/>
          <w:vertAlign w:val="superscript"/>
        </w:rPr>
        <w:t>®</w:t>
      </w:r>
      <w:r>
        <w:rPr>
          <w:rFonts w:ascii="Arial" w:cs="Arial" w:eastAsia="Arial" w:hAnsi="Arial"/>
          <w:sz w:val="18"/>
          <w:szCs w:val="18"/>
          <w:color w:val="auto"/>
        </w:rPr>
        <w:t>, STORMGUARD</w:t>
      </w:r>
      <w:r>
        <w:rPr>
          <w:rFonts w:ascii="Arial" w:cs="Arial" w:eastAsia="Arial" w:hAnsi="Arial"/>
          <w:sz w:val="23"/>
          <w:szCs w:val="23"/>
          <w:color w:val="auto"/>
          <w:vertAlign w:val="superscript"/>
        </w:rPr>
        <w:t>®</w:t>
      </w:r>
      <w:r>
        <w:rPr>
          <w:rFonts w:ascii="Arial" w:cs="Arial" w:eastAsia="Arial" w:hAnsi="Arial"/>
          <w:sz w:val="18"/>
          <w:szCs w:val="18"/>
          <w:color w:val="auto"/>
        </w:rPr>
        <w:t>, ACCELERATING YOUR ARCHITECTURAL GLASS</w:t>
      </w:r>
      <w:r>
        <w:rPr>
          <w:rFonts w:ascii="Arial" w:cs="Arial" w:eastAsia="Arial" w:hAnsi="Arial"/>
          <w:sz w:val="23"/>
          <w:szCs w:val="23"/>
          <w:color w:val="auto"/>
          <w:vertAlign w:val="superscript"/>
        </w:rPr>
        <w:t>®</w:t>
      </w:r>
      <w:r>
        <w:rPr>
          <w:rFonts w:ascii="Arial" w:cs="Arial" w:eastAsia="Arial" w:hAnsi="Arial"/>
          <w:sz w:val="18"/>
          <w:szCs w:val="18"/>
          <w:color w:val="auto"/>
        </w:rPr>
        <w:t>, VELOCITY, AN APOGEE COMPANY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VTS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registered trademarks. VIRASPAN™ is an unregistered trademark. In addition, GLASSECVIRACON</w:t>
      </w:r>
      <w:r>
        <w:rPr>
          <w:rFonts w:ascii="Arial" w:cs="Arial" w:eastAsia="Arial" w:hAnsi="Arial"/>
          <w:sz w:val="23"/>
          <w:szCs w:val="23"/>
          <w:color w:val="auto"/>
          <w:vertAlign w:val="superscript"/>
        </w:rPr>
        <w:t>®</w:t>
      </w:r>
      <w:r>
        <w:rPr>
          <w:rFonts w:ascii="Arial" w:cs="Arial" w:eastAsia="Arial" w:hAnsi="Arial"/>
          <w:sz w:val="18"/>
          <w:szCs w:val="18"/>
          <w:color w:val="auto"/>
        </w:rPr>
        <w:t>, GLASSEC</w:t>
      </w:r>
      <w:r>
        <w:rPr>
          <w:rFonts w:ascii="Arial" w:cs="Arial" w:eastAsia="Arial" w:hAnsi="Arial"/>
          <w:sz w:val="23"/>
          <w:szCs w:val="23"/>
          <w:color w:val="auto"/>
          <w:vertAlign w:val="superscript"/>
        </w:rPr>
        <w:t>®</w:t>
      </w:r>
      <w:r>
        <w:rPr>
          <w:rFonts w:ascii="Arial" w:cs="Arial" w:eastAsia="Arial" w:hAnsi="Arial"/>
          <w:sz w:val="18"/>
          <w:szCs w:val="18"/>
          <w:color w:val="auto"/>
        </w:rPr>
        <w:t>, INSULATTO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GV PRIME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registered trademarks in Brazil.</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Within the Architectural Services segment, HARMON</w:t>
      </w:r>
      <w:r>
        <w:rPr>
          <w:rFonts w:ascii="Arial" w:cs="Arial" w:eastAsia="Arial" w:hAnsi="Arial"/>
          <w:sz w:val="22"/>
          <w:szCs w:val="22"/>
          <w:color w:val="auto"/>
          <w:vertAlign w:val="superscript"/>
        </w:rPr>
        <w:t>®</w:t>
      </w:r>
      <w:r>
        <w:rPr>
          <w:rFonts w:ascii="Arial" w:cs="Arial" w:eastAsia="Arial" w:hAnsi="Arial"/>
          <w:sz w:val="17"/>
          <w:szCs w:val="17"/>
          <w:color w:val="auto"/>
        </w:rPr>
        <w:t>, H DESIGN</w:t>
      </w:r>
      <w:r>
        <w:rPr>
          <w:rFonts w:ascii="Arial" w:cs="Arial" w:eastAsia="Arial" w:hAnsi="Arial"/>
          <w:sz w:val="22"/>
          <w:szCs w:val="22"/>
          <w:color w:val="auto"/>
          <w:vertAlign w:val="superscript"/>
        </w:rPr>
        <w:t>®</w:t>
      </w:r>
      <w:r>
        <w:rPr>
          <w:rFonts w:ascii="Arial" w:cs="Arial" w:eastAsia="Arial" w:hAnsi="Arial"/>
          <w:sz w:val="17"/>
          <w:szCs w:val="17"/>
          <w:color w:val="auto"/>
        </w:rPr>
        <w:t>, HARMON GLASS</w:t>
      </w:r>
      <w:r>
        <w:rPr>
          <w:rFonts w:ascii="Arial" w:cs="Arial" w:eastAsia="Arial" w:hAnsi="Arial"/>
          <w:sz w:val="22"/>
          <w:szCs w:val="22"/>
          <w:color w:val="auto"/>
          <w:vertAlign w:val="superscript"/>
        </w:rPr>
        <w:t>®</w:t>
      </w:r>
      <w:r>
        <w:rPr>
          <w:rFonts w:ascii="Arial" w:cs="Arial" w:eastAsia="Arial" w:hAnsi="Arial"/>
          <w:sz w:val="17"/>
          <w:szCs w:val="17"/>
          <w:color w:val="auto"/>
        </w:rPr>
        <w:t>, HI-7000</w:t>
      </w:r>
      <w:r>
        <w:rPr>
          <w:rFonts w:ascii="Arial" w:cs="Arial" w:eastAsia="Arial" w:hAnsi="Arial"/>
          <w:sz w:val="22"/>
          <w:szCs w:val="22"/>
          <w:color w:val="auto"/>
          <w:vertAlign w:val="superscript"/>
        </w:rPr>
        <w:t>®</w:t>
      </w:r>
      <w:r>
        <w:rPr>
          <w:rFonts w:ascii="Arial" w:cs="Arial" w:eastAsia="Arial" w:hAnsi="Arial"/>
          <w:sz w:val="17"/>
          <w:szCs w:val="17"/>
          <w:color w:val="auto"/>
        </w:rPr>
        <w:t>, and BUILDING TRUST IN EVERYTHING WE DO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UCW-8000™, HI-8500™, HI-9000™, SMU-6000™ and HPW-250™ are unregistered trademarks.</w:t>
      </w:r>
    </w:p>
    <w:p>
      <w:pPr>
        <w:spacing w:after="0" w:line="74"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Within the LSO segment, TRU VUE</w:t>
      </w:r>
      <w:r>
        <w:rPr>
          <w:rFonts w:ascii="Arial" w:cs="Arial" w:eastAsia="Arial" w:hAnsi="Arial"/>
          <w:sz w:val="23"/>
          <w:szCs w:val="23"/>
          <w:color w:val="auto"/>
          <w:vertAlign w:val="superscript"/>
        </w:rPr>
        <w:t>®</w:t>
      </w:r>
      <w:r>
        <w:rPr>
          <w:rFonts w:ascii="Arial" w:cs="Arial" w:eastAsia="Arial" w:hAnsi="Arial"/>
          <w:sz w:val="18"/>
          <w:szCs w:val="18"/>
          <w:color w:val="auto"/>
        </w:rPr>
        <w:t>, CONSERVATION CLEAR</w:t>
      </w:r>
      <w:r>
        <w:rPr>
          <w:rFonts w:ascii="Arial" w:cs="Arial" w:eastAsia="Arial" w:hAnsi="Arial"/>
          <w:sz w:val="23"/>
          <w:szCs w:val="23"/>
          <w:color w:val="auto"/>
          <w:vertAlign w:val="superscript"/>
        </w:rPr>
        <w:t>®</w:t>
      </w:r>
      <w:r>
        <w:rPr>
          <w:rFonts w:ascii="Arial" w:cs="Arial" w:eastAsia="Arial" w:hAnsi="Arial"/>
          <w:sz w:val="18"/>
          <w:szCs w:val="18"/>
          <w:color w:val="auto"/>
        </w:rPr>
        <w:t>, CONSERVATION REFLECTION CONTROL</w:t>
      </w:r>
      <w:r>
        <w:rPr>
          <w:rFonts w:ascii="Arial" w:cs="Arial" w:eastAsia="Arial" w:hAnsi="Arial"/>
          <w:sz w:val="23"/>
          <w:szCs w:val="23"/>
          <w:color w:val="auto"/>
          <w:vertAlign w:val="superscript"/>
        </w:rPr>
        <w:t>®</w:t>
      </w:r>
      <w:r>
        <w:rPr>
          <w:rFonts w:ascii="Arial" w:cs="Arial" w:eastAsia="Arial" w:hAnsi="Arial"/>
          <w:sz w:val="18"/>
          <w:szCs w:val="18"/>
          <w:color w:val="auto"/>
        </w:rPr>
        <w:t>, ULTRAVUE</w:t>
      </w:r>
      <w:r>
        <w:rPr>
          <w:rFonts w:ascii="Arial" w:cs="Arial" w:eastAsia="Arial" w:hAnsi="Arial"/>
          <w:sz w:val="23"/>
          <w:szCs w:val="23"/>
          <w:color w:val="auto"/>
          <w:vertAlign w:val="superscript"/>
        </w:rPr>
        <w:t>®</w:t>
      </w:r>
      <w:r>
        <w:rPr>
          <w:rFonts w:ascii="Arial" w:cs="Arial" w:eastAsia="Arial" w:hAnsi="Arial"/>
          <w:sz w:val="18"/>
          <w:szCs w:val="18"/>
          <w:color w:val="auto"/>
        </w:rPr>
        <w:t>, MUSEUM GLASS</w:t>
      </w:r>
      <w:r>
        <w:rPr>
          <w:rFonts w:ascii="Arial" w:cs="Arial" w:eastAsia="Arial" w:hAnsi="Arial"/>
          <w:sz w:val="23"/>
          <w:szCs w:val="23"/>
          <w:color w:val="auto"/>
          <w:vertAlign w:val="superscript"/>
        </w:rPr>
        <w:t>®</w:t>
      </w:r>
      <w:r>
        <w:rPr>
          <w:rFonts w:ascii="Arial" w:cs="Arial" w:eastAsia="Arial" w:hAnsi="Arial"/>
          <w:sz w:val="18"/>
          <w:szCs w:val="18"/>
          <w:color w:val="auto"/>
        </w:rPr>
        <w:t>, OPTIUM</w:t>
      </w:r>
      <w:r>
        <w:rPr>
          <w:rFonts w:ascii="Arial" w:cs="Arial" w:eastAsia="Arial" w:hAnsi="Arial"/>
          <w:sz w:val="23"/>
          <w:szCs w:val="23"/>
          <w:color w:val="auto"/>
          <w:vertAlign w:val="superscript"/>
        </w:rPr>
        <w:t>®</w:t>
      </w:r>
      <w:r>
        <w:rPr>
          <w:rFonts w:ascii="Arial" w:cs="Arial" w:eastAsia="Arial" w:hAnsi="Arial"/>
          <w:sz w:val="18"/>
          <w:szCs w:val="18"/>
          <w:color w:val="auto"/>
        </w:rPr>
        <w:t>, PREMIUM CLEAN</w:t>
      </w:r>
      <w:r>
        <w:rPr>
          <w:rFonts w:ascii="Arial" w:cs="Arial" w:eastAsia="Arial" w:hAnsi="Arial"/>
          <w:sz w:val="23"/>
          <w:szCs w:val="23"/>
          <w:color w:val="auto"/>
          <w:vertAlign w:val="superscript"/>
        </w:rPr>
        <w:t>®</w:t>
      </w:r>
      <w:r>
        <w:rPr>
          <w:rFonts w:ascii="Arial" w:cs="Arial" w:eastAsia="Arial" w:hAnsi="Arial"/>
          <w:sz w:val="18"/>
          <w:szCs w:val="18"/>
          <w:color w:val="auto"/>
        </w:rPr>
        <w:t>, REFLECTION CONTROL</w:t>
      </w:r>
      <w:r>
        <w:rPr>
          <w:rFonts w:ascii="Arial" w:cs="Arial" w:eastAsia="Arial" w:hAnsi="Arial"/>
          <w:sz w:val="23"/>
          <w:szCs w:val="23"/>
          <w:color w:val="auto"/>
          <w:vertAlign w:val="superscript"/>
        </w:rPr>
        <w:t>®</w:t>
      </w:r>
      <w:r>
        <w:rPr>
          <w:rFonts w:ascii="Arial" w:cs="Arial" w:eastAsia="Arial" w:hAnsi="Arial"/>
          <w:sz w:val="18"/>
          <w:szCs w:val="18"/>
          <w:color w:val="auto"/>
        </w:rPr>
        <w:t>, AR REFLECTION-FREE</w:t>
      </w:r>
      <w:r>
        <w:rPr>
          <w:rFonts w:ascii="Arial" w:cs="Arial" w:eastAsia="Arial" w:hAnsi="Arial"/>
          <w:sz w:val="23"/>
          <w:szCs w:val="23"/>
          <w:color w:val="auto"/>
          <w:vertAlign w:val="superscript"/>
        </w:rPr>
        <w:t>®</w:t>
      </w:r>
      <w:r>
        <w:rPr>
          <w:rFonts w:ascii="Arial" w:cs="Arial" w:eastAsia="Arial" w:hAnsi="Arial"/>
          <w:sz w:val="18"/>
          <w:szCs w:val="18"/>
          <w:color w:val="auto"/>
        </w:rPr>
        <w:t>, OPTIUM ACRYLIC</w:t>
      </w:r>
      <w:r>
        <w:rPr>
          <w:rFonts w:ascii="Arial" w:cs="Arial" w:eastAsia="Arial" w:hAnsi="Arial"/>
          <w:sz w:val="23"/>
          <w:szCs w:val="23"/>
          <w:color w:val="auto"/>
          <w:vertAlign w:val="superscript"/>
        </w:rPr>
        <w:t>®</w:t>
      </w:r>
      <w:r>
        <w:rPr>
          <w:rFonts w:ascii="Arial" w:cs="Arial" w:eastAsia="Arial" w:hAnsi="Arial"/>
          <w:sz w:val="18"/>
          <w:szCs w:val="18"/>
          <w:color w:val="auto"/>
        </w:rPr>
        <w:t>, OPTIUM MUSEUM ACRYLIC</w:t>
      </w:r>
      <w:r>
        <w:rPr>
          <w:rFonts w:ascii="Arial" w:cs="Arial" w:eastAsia="Arial" w:hAnsi="Arial"/>
          <w:sz w:val="23"/>
          <w:szCs w:val="23"/>
          <w:color w:val="auto"/>
          <w:vertAlign w:val="superscript"/>
        </w:rPr>
        <w:t>®</w:t>
      </w:r>
      <w:r>
        <w:rPr>
          <w:rFonts w:ascii="Arial" w:cs="Arial" w:eastAsia="Arial" w:hAnsi="Arial"/>
          <w:sz w:val="18"/>
          <w:szCs w:val="18"/>
          <w:color w:val="auto"/>
        </w:rPr>
        <w:t>, CONSERVATION MASTERPIECE</w:t>
      </w:r>
      <w:r>
        <w:rPr>
          <w:rFonts w:ascii="Arial" w:cs="Arial" w:eastAsia="Arial" w:hAnsi="Arial"/>
          <w:sz w:val="23"/>
          <w:szCs w:val="23"/>
          <w:color w:val="auto"/>
          <w:vertAlign w:val="superscript"/>
        </w:rPr>
        <w:t>®</w:t>
      </w:r>
      <w:r>
        <w:rPr>
          <w:rFonts w:ascii="Arial" w:cs="Arial" w:eastAsia="Arial" w:hAnsi="Arial"/>
          <w:sz w:val="18"/>
          <w:szCs w:val="18"/>
          <w:color w:val="auto"/>
        </w:rPr>
        <w:t>, CONSERVATION MASTERPIECE ACRYLIC</w:t>
      </w:r>
      <w:r>
        <w:rPr>
          <w:rFonts w:ascii="Arial" w:cs="Arial" w:eastAsia="Arial" w:hAnsi="Arial"/>
          <w:sz w:val="23"/>
          <w:szCs w:val="23"/>
          <w:color w:val="auto"/>
          <w:vertAlign w:val="superscript"/>
        </w:rPr>
        <w:t>®</w:t>
      </w:r>
      <w:r>
        <w:rPr>
          <w:rFonts w:ascii="Arial" w:cs="Arial" w:eastAsia="Arial" w:hAnsi="Arial"/>
          <w:sz w:val="18"/>
          <w:szCs w:val="18"/>
          <w:color w:val="auto"/>
        </w:rPr>
        <w:t>, TRU VUE AR</w:t>
      </w:r>
      <w:r>
        <w:rPr>
          <w:rFonts w:ascii="Arial" w:cs="Arial" w:eastAsia="Arial" w:hAnsi="Arial"/>
          <w:sz w:val="23"/>
          <w:szCs w:val="23"/>
          <w:color w:val="auto"/>
          <w:vertAlign w:val="superscript"/>
        </w:rPr>
        <w:t>®</w:t>
      </w:r>
      <w:r>
        <w:rPr>
          <w:rFonts w:ascii="Arial" w:cs="Arial" w:eastAsia="Arial" w:hAnsi="Arial"/>
          <w:sz w:val="18"/>
          <w:szCs w:val="18"/>
          <w:color w:val="auto"/>
        </w:rPr>
        <w:t>, STATICSHIELD®, TRULIFE</w:t>
      </w:r>
      <w:r>
        <w:rPr>
          <w:rFonts w:ascii="Arial" w:cs="Arial" w:eastAsia="Arial" w:hAnsi="Arial"/>
          <w:sz w:val="23"/>
          <w:szCs w:val="23"/>
          <w:color w:val="auto"/>
          <w:vertAlign w:val="superscript"/>
        </w:rPr>
        <w:t>®</w:t>
      </w:r>
      <w:r>
        <w:rPr>
          <w:rFonts w:ascii="Arial" w:cs="Arial" w:eastAsia="Arial" w:hAnsi="Arial"/>
          <w:sz w:val="18"/>
          <w:szCs w:val="18"/>
          <w:color w:val="auto"/>
        </w:rPr>
        <w:t>, and VISTA 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registered trademarks. TRULIFE INFINITY FRAME™, PREMIUM CLEAR</w:t>
      </w:r>
      <w:r>
        <w:rPr>
          <w:rFonts w:ascii="Arial" w:cs="Arial" w:eastAsia="Arial" w:hAnsi="Arial"/>
          <w:sz w:val="23"/>
          <w:szCs w:val="23"/>
          <w:color w:val="auto"/>
          <w:vertAlign w:val="superscript"/>
        </w:rPr>
        <w:t>™</w:t>
      </w:r>
      <w:r>
        <w:rPr>
          <w:rFonts w:ascii="Arial" w:cs="Arial" w:eastAsia="Arial" w:hAnsi="Arial"/>
          <w:sz w:val="18"/>
          <w:szCs w:val="18"/>
          <w:color w:val="auto"/>
        </w:rPr>
        <w:t>, THE DIFFERENCE IS CLEAR™ and TRU FRAMEABLE MOMENTS™ are unregistered trademarks and TRUBARRIER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pending federal registration.</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several patents pertaining to our glass coating methods and products, for hybrid window wall/curtainwall systems and methods of installation, and for our UV coating and etch processes for anti-reflective glass for the picture framing industry and fine art market. Despite being a point of differentiation from our competitors, no single patent is considered to be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Activity in the construction industry is impacted by the seasonal impact of weather and weather events in our operating locations, with activity in some markets reduced in winter due to inclement weather.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Requirements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Trade and contract-related receivables and other contract assets are the largest components of our working capital. Inventory requirements, mainly related to raw materials, are most significant in our Architectural Framing Systems and Architectural Glass segments.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In addition to backlog, we have a substantial amount of projects with short lead times that book-and-bill within the same reporting period and are not included in backlog. We have good visibility beyond backlog, as projects awarded, verbal commitments and bidding activities are not included in backlog.</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Architectural Framing Systems segment backlog as of year-end was $411.3 million, compared to $429.6 million at the end of the prior year, reflecting a decline in order volume. We expect approximately 60 percent of the backlog in this segment to be fulfilled in fiscal 2022, with the remainder expected to be filled in fiscal 2023 and beyond; however, the timing of backlog may be impacted by project delays.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Architectural Glass segment backlog as of year-end was $43.5 million, net of intersegment eliminations, compared to $31.0 million at the end of the prior year, due to extended lead times and order activity. We expect this backlog to be fulfilled in fiscal 2022.</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Backlog in the Architectural Services segment as of year-end was $570.9 million, compared to $659.7 million at the end of the prior year, due to timing of firm orders, signed contracts and the broader industry slow-down that occurred in fiscal 2021. We expect approximately 50 percent of the backlog in this segment to be filled during fiscal 2022, with the remainder expected to be filled in fiscal 2023 and beyond; however, the timing of backlog may be impacted by project delays.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Backlog is not a significant metric for the LSO segment, as orders are typically booked and billed within a short time-frame.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Government Regulations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subject to extensive regulation under environmental and occupational safety and health laws and regulations in the United States and in other countries in which we operate. These laws and regulations relate to, among other things, our use and storage of hazardous materials in our manufacturing operations and associated air emissions and discharges to surface and underground waters. We have several continuing programs designed to ensure compliance with foreign, federal, state and local environmental and occupational safety and health laws and regulations. We contract with outside vendors to collect and dispose of waste at our production facilities in compliance with applicable environmental laws. In addition, we have procedures in place that enable us to properly manage the regulated materials used in and wastes created by our manufacturing processes. We believe we are currently in material compliance with all such laws and regulations. While we will continue to incur costs for compliance with government regulations for our ongoing operations, we do not expect these to have a material effect upon our capital expenditures, earnings or competitive position. At one manufacturing facility in our Architectural Framing Systems segment, we are continuing to work to remediate historical environmental impacts. These remediation activities are being conducted without significant disruption to our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ongoing COVID-19 pandemic continues to cause uncertainty in global markets. During fiscal 2021, we experienced delays in commercial construction projects and orders because of COVID-19 and other disruptions to our business, including various physical distancing and health-related precautions, and we were required to close operations at two facilities in our LSO segment for a portion of the year due to governmental orders. Earlier in the pandemic, we were impacted by quarantine-related absenteeism among our production workforce, resulting in labor constraints at some of our facilities. While our efforts to mitigate the impacts of the pandemic have evolved positively, the extent to which COVID-19 will continue to impact our business will depend in part on the effectiveness of ongoing public health initiatives, which have been buoyed by vaccine production and distribution.</w:t>
      </w:r>
    </w:p>
    <w:p>
      <w:pPr>
        <w:spacing w:after="0" w:line="19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response to this pandemic, we took several cost actions, including a merit and hiring freeze, temporary pay reductions, temporary suspension of the Company's 401(k) matching program, and made short term reductions in capital expenses, while emphasizing spending controls across the company. These temporary cost actions were mostly lifted during the fourth quarter of fiscal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had approximately 6,100 employees on February 27, 2021, down from 7,200 employees on February 29, 2020. As of February 27, 2021, approximately 560 of these employees were represented by U.S. labor unions.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for qualified employees in the markets and industries in which we operate is strong, and the success of our Company depends on our ability to attract, select, develop and retain a productive and engaged workforce. Investing in our employees and their well-being, offering competitive compensation and benefits, promoting diversity and inclusion, and adopting positive human capital management practices are critical components of our corporate strategy.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Wellness and Safety</w:t>
      </w:r>
    </w:p>
    <w:p>
      <w:pPr>
        <w:spacing w:after="0" w:line="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safety of our employees is integral to our Company. Providing a safe and secure work environment is one of our highest priorities and we devote significant time and resources to workplace safety. Our safety program is directed by our Risk Roundtable, comprised of safety leaders from across our Company. This group meets quarterly to review safety performance, share best practices, set goals and objectives for the organization, and plan safety culture assessments. In support of our safety efforts, we identify, assess and investigate incidents and injury data, and each year set goals to improve key safety performance indicators. We train, promote, consult and communicate with our workforce during this process.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a comprehensive health and wellness program for our employees. In addition to standard health programs including medical insurance and preventive care, we have a variety of resources available to employees relating to physical and mental wellness.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has magnified the importance of keeping our employees safe and healthy. In response to the pandemic, we have taken actions consistent with recommendations of the U.S. Centers for Disease Control and Prevention to protect our workforce. We will continue to emphasize the health and safety of our employees going forward.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diversity, equity and inclusion program promotes a workplace where each employee’s abilities are recognized, respected, and utilized to further the Company’s goals. Our aim is to create an environment where people feel included as a part of a team</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because of their diversity of outlooks, perspectives, and characteristics, which ultimately adds value for our company. We strive to create a culture of inclusion, reduce bias in our talent practices, and invest in and engage with our communities. We conduct diversity and code of conduct trainings with employees and managers to promote an inclusive and diverse workplace, where all individuals feel respected and part of a team regardless of their race, national origin, ethnicity, gender, age, religion, disability, sexual orientation or gender identity.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Management and Development</w:t>
      </w:r>
    </w:p>
    <w:p>
      <w:pPr>
        <w:spacing w:after="0" w:line="1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talent management program is focused on developing employees and leaders to meet the Company’s evolving needs. Managers actively engage with their employees to provide coaching and feedback and identify training and development opportunities to improve performance in the employee’s current role and to position the employee for future growth. Training and development opportunities include new-hire training, job specific training, stretch assignments, and safety training. The company also offers leadership development opportunities, such as our Apogee Leadership Program, along with technical training for engineers, designers and sales staff. In addition, the company offers an education assistance program in which certain eligible employees receive tuition reimbursement to help defray the costs associated with their continuing education. Our executive leadership and Human Resources teams regularly conduct talent reviews and succession planning to assist with meeting critical talent and leadership needs.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Sales</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Information regarding export and international sales is included in Item 8, Financial Statements and Supplementary Data, within Note 15 of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maintains a website at </w:t>
      </w:r>
      <w:r>
        <w:rPr>
          <w:rFonts w:ascii="Arial" w:cs="Arial" w:eastAsia="Arial" w:hAnsi="Arial"/>
          <w:sz w:val="18"/>
          <w:szCs w:val="18"/>
          <w:u w:val="single" w:color="auto"/>
          <w:color w:val="0000FF"/>
        </w:rPr>
        <w:t>www.apog.com</w:t>
      </w:r>
      <w:r>
        <w:rPr>
          <w:rFonts w:ascii="Arial" w:cs="Arial" w:eastAsia="Arial" w:hAnsi="Arial"/>
          <w:sz w:val="18"/>
          <w:szCs w:val="18"/>
          <w:color w:val="auto"/>
        </w:rPr>
        <w:t xml:space="preserve">. Through a link to a third-party content provider, our website provides free access to the Company's Annual Reports on Form 10-K, Quarterly Reports on Form 10-Q, Current Reports on Form 8-K and, if applicable, amendments to those reports filed or furnished pursuant to Section 13(a) or 15(d) of the Securities Exchange Act of 1934, as amended (the Exchange Act), as soon as reasonably practicable after electronic filing such material with, or furnishing it to, the Securities and Exchange Commission (SEC). These reports are also available on the SEC's website at </w:t>
      </w:r>
      <w:r>
        <w:rPr>
          <w:rFonts w:ascii="Arial" w:cs="Arial" w:eastAsia="Arial" w:hAnsi="Arial"/>
          <w:sz w:val="18"/>
          <w:szCs w:val="18"/>
          <w:u w:val="single" w:color="auto"/>
          <w:color w:val="0000FF"/>
        </w:rPr>
        <w:t>www.sec.gov</w:t>
      </w:r>
      <w:r>
        <w:rPr>
          <w:rFonts w:ascii="Arial" w:cs="Arial" w:eastAsia="Arial" w:hAnsi="Arial"/>
          <w:sz w:val="18"/>
          <w:szCs w:val="18"/>
          <w:color w:val="auto"/>
        </w:rPr>
        <w:t>. Also available on our website are various corporate governance documents, including our Code of Business Ethics and Conduct, Corporate Governance Guidelines, and charters for the Audit, Compensation, and Nominating and Corporate Governance Committees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6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820" w:type="dxa"/>
            <w:vAlign w:val="bottom"/>
          </w:tcPr>
          <w:p>
            <w:pPr>
              <w:jc w:val="center"/>
              <w:ind w:left="154"/>
              <w:spacing w:after="0"/>
              <w:rPr>
                <w:sz w:val="20"/>
                <w:szCs w:val="20"/>
                <w:color w:val="auto"/>
              </w:rPr>
            </w:pPr>
            <w:r>
              <w:rPr>
                <w:rFonts w:ascii="Arial" w:cs="Arial" w:eastAsia="Arial" w:hAnsi="Arial"/>
                <w:sz w:val="18"/>
                <w:szCs w:val="18"/>
                <w:b w:val="1"/>
                <w:bCs w:val="1"/>
                <w:color w:val="auto"/>
                <w:w w:val="88"/>
              </w:rPr>
              <w:t>Age</w:t>
            </w:r>
          </w:p>
        </w:tc>
        <w:tc>
          <w:tcPr>
            <w:tcW w:w="8700" w:type="dxa"/>
            <w:vAlign w:val="bottom"/>
            <w:gridSpan w:val="2"/>
          </w:tcPr>
          <w:p>
            <w:pPr>
              <w:ind w:left="140"/>
              <w:spacing w:after="0"/>
              <w:rPr>
                <w:sz w:val="20"/>
                <w:szCs w:val="20"/>
                <w:color w:val="auto"/>
              </w:rPr>
            </w:pPr>
            <w:r>
              <w:rPr>
                <w:rFonts w:ascii="Arial" w:cs="Arial" w:eastAsia="Arial" w:hAnsi="Arial"/>
                <w:sz w:val="18"/>
                <w:szCs w:val="18"/>
                <w:b w:val="1"/>
                <w:bCs w:val="1"/>
                <w:color w:val="auto"/>
              </w:rPr>
              <w:t>Positions with Apogee Enterprises and Past Experience</w:t>
            </w:r>
          </w:p>
        </w:tc>
      </w:tr>
      <w:tr>
        <w:trPr>
          <w:trHeight w:val="198"/>
        </w:trPr>
        <w:tc>
          <w:tcPr>
            <w:tcW w:w="60" w:type="dxa"/>
            <w:vAlign w:val="bottom"/>
          </w:tcPr>
          <w:p>
            <w:pPr>
              <w:spacing w:after="0"/>
              <w:rPr>
                <w:sz w:val="17"/>
                <w:szCs w:val="17"/>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Ty R. Silberhorn</w:t>
            </w:r>
          </w:p>
        </w:tc>
        <w:tc>
          <w:tcPr>
            <w:tcW w:w="82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94"/>
              </w:rPr>
              <w:t>53</w:t>
            </w: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3"/>
              </w:rPr>
              <w:t>Chief Executive Officer of the Company since January 2021. Prior to joining the Company, Mr. Silberhorn worked for 3M,</w:t>
            </w:r>
          </w:p>
        </w:tc>
        <w:tc>
          <w:tcPr>
            <w:tcW w:w="40" w:type="dxa"/>
            <w:vAlign w:val="bottom"/>
          </w:tcPr>
          <w:p>
            <w:pPr>
              <w:spacing w:after="0"/>
              <w:rPr>
                <w:sz w:val="17"/>
                <w:szCs w:val="17"/>
                <w:color w:val="auto"/>
              </w:rPr>
            </w:pPr>
          </w:p>
        </w:tc>
      </w:tr>
      <w:tr>
        <w:trPr>
          <w:trHeight w:val="189"/>
        </w:trPr>
        <w:tc>
          <w:tcPr>
            <w:tcW w:w="60" w:type="dxa"/>
            <w:vAlign w:val="bottom"/>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6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w w:val="98"/>
              </w:rPr>
              <w:t>a diversified global manufacturer and technology company, most recently serving as Senior Vice President of 3M's</w:t>
            </w:r>
          </w:p>
        </w:tc>
        <w:tc>
          <w:tcPr>
            <w:tcW w:w="40" w:type="dxa"/>
            <w:vAlign w:val="bottom"/>
          </w:tcPr>
          <w:p>
            <w:pPr>
              <w:spacing w:after="0"/>
              <w:rPr>
                <w:sz w:val="16"/>
                <w:szCs w:val="16"/>
                <w:color w:val="auto"/>
              </w:rPr>
            </w:pPr>
          </w:p>
        </w:tc>
      </w:tr>
      <w:tr>
        <w:trPr>
          <w:trHeight w:val="189"/>
        </w:trPr>
        <w:tc>
          <w:tcPr>
            <w:tcW w:w="60" w:type="dxa"/>
            <w:vAlign w:val="bottom"/>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6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w w:val="92"/>
              </w:rPr>
              <w:t>Transformation, Technologies and Services from April 2019 through December 2020. Prior to this position and since 2001,</w:t>
            </w:r>
          </w:p>
        </w:tc>
        <w:tc>
          <w:tcPr>
            <w:tcW w:w="40" w:type="dxa"/>
            <w:vAlign w:val="bottom"/>
          </w:tcPr>
          <w:p>
            <w:pPr>
              <w:spacing w:after="0"/>
              <w:rPr>
                <w:sz w:val="16"/>
                <w:szCs w:val="16"/>
                <w:color w:val="auto"/>
              </w:rPr>
            </w:pPr>
          </w:p>
        </w:tc>
      </w:tr>
      <w:tr>
        <w:trPr>
          <w:trHeight w:val="189"/>
        </w:trPr>
        <w:tc>
          <w:tcPr>
            <w:tcW w:w="60" w:type="dxa"/>
            <w:vAlign w:val="bottom"/>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6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w w:val="95"/>
              </w:rPr>
              <w:t>he held several 3M global business unit leadership roles, serving as Vice President and General Manager for divisions</w:t>
            </w:r>
          </w:p>
        </w:tc>
        <w:tc>
          <w:tcPr>
            <w:tcW w:w="40" w:type="dxa"/>
            <w:vAlign w:val="bottom"/>
          </w:tcPr>
          <w:p>
            <w:pPr>
              <w:spacing w:after="0"/>
              <w:rPr>
                <w:sz w:val="16"/>
                <w:szCs w:val="16"/>
                <w:color w:val="auto"/>
              </w:rPr>
            </w:pPr>
          </w:p>
        </w:tc>
      </w:tr>
      <w:tr>
        <w:trPr>
          <w:trHeight w:val="234"/>
        </w:trPr>
        <w:tc>
          <w:tcPr>
            <w:tcW w:w="6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within Safety &amp; Industrial, Transportation &amp; Electronics, and the Consumer business groups.</w:t>
            </w:r>
          </w:p>
        </w:tc>
        <w:tc>
          <w:tcPr>
            <w:tcW w:w="40" w:type="dxa"/>
            <w:vAlign w:val="bottom"/>
          </w:tcPr>
          <w:p>
            <w:pPr>
              <w:spacing w:after="0"/>
              <w:rPr>
                <w:sz w:val="20"/>
                <w:szCs w:val="20"/>
                <w:color w:val="auto"/>
              </w:rPr>
            </w:pPr>
          </w:p>
        </w:tc>
      </w:tr>
      <w:tr>
        <w:trPr>
          <w:trHeight w:val="162"/>
        </w:trPr>
        <w:tc>
          <w:tcPr>
            <w:tcW w:w="60" w:type="dxa"/>
            <w:vAlign w:val="bottom"/>
          </w:tcPr>
          <w:p>
            <w:pPr>
              <w:spacing w:after="0"/>
              <w:rPr>
                <w:sz w:val="14"/>
                <w:szCs w:val="14"/>
                <w:color w:val="auto"/>
              </w:rPr>
            </w:pPr>
          </w:p>
        </w:tc>
        <w:tc>
          <w:tcPr>
            <w:tcW w:w="1660" w:type="dxa"/>
            <w:vAlign w:val="bottom"/>
          </w:tcPr>
          <w:p>
            <w:pPr>
              <w:ind w:left="20"/>
              <w:spacing w:after="0" w:line="162" w:lineRule="exact"/>
              <w:rPr>
                <w:sz w:val="20"/>
                <w:szCs w:val="20"/>
                <w:color w:val="auto"/>
              </w:rPr>
            </w:pPr>
            <w:r>
              <w:rPr>
                <w:rFonts w:ascii="Arial" w:cs="Arial" w:eastAsia="Arial" w:hAnsi="Arial"/>
                <w:sz w:val="17"/>
                <w:szCs w:val="17"/>
                <w:color w:val="auto"/>
              </w:rPr>
              <w:t>Curtis Dobler</w:t>
            </w:r>
          </w:p>
        </w:tc>
        <w:tc>
          <w:tcPr>
            <w:tcW w:w="820" w:type="dxa"/>
            <w:vAlign w:val="bottom"/>
          </w:tcPr>
          <w:p>
            <w:pPr>
              <w:jc w:val="center"/>
              <w:ind w:left="154"/>
              <w:spacing w:after="0" w:line="162" w:lineRule="exact"/>
              <w:rPr>
                <w:sz w:val="20"/>
                <w:szCs w:val="20"/>
                <w:color w:val="auto"/>
              </w:rPr>
            </w:pPr>
            <w:r>
              <w:rPr>
                <w:rFonts w:ascii="Arial" w:cs="Arial" w:eastAsia="Arial" w:hAnsi="Arial"/>
                <w:sz w:val="17"/>
                <w:szCs w:val="17"/>
                <w:color w:val="auto"/>
                <w:w w:val="94"/>
              </w:rPr>
              <w:t>55</w:t>
            </w:r>
          </w:p>
        </w:tc>
        <w:tc>
          <w:tcPr>
            <w:tcW w:w="8660" w:type="dxa"/>
            <w:vAlign w:val="bottom"/>
          </w:tcPr>
          <w:p>
            <w:pPr>
              <w:ind w:left="140"/>
              <w:spacing w:after="0" w:line="162" w:lineRule="exact"/>
              <w:rPr>
                <w:sz w:val="20"/>
                <w:szCs w:val="20"/>
                <w:color w:val="auto"/>
              </w:rPr>
            </w:pPr>
            <w:r>
              <w:rPr>
                <w:rFonts w:ascii="Arial" w:cs="Arial" w:eastAsia="Arial" w:hAnsi="Arial"/>
                <w:sz w:val="17"/>
                <w:szCs w:val="17"/>
                <w:color w:val="auto"/>
                <w:w w:val="91"/>
              </w:rPr>
              <w:t>Executive Vice President and Chief Human Resources Officer since April 2019. Executive Vice President and Chief Human</w:t>
            </w:r>
          </w:p>
        </w:tc>
        <w:tc>
          <w:tcPr>
            <w:tcW w:w="4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700" w:type="dxa"/>
            <w:vAlign w:val="bottom"/>
            <w:gridSpan w:val="2"/>
          </w:tcPr>
          <w:p>
            <w:pPr>
              <w:ind w:left="140"/>
              <w:spacing w:after="0" w:line="162" w:lineRule="exact"/>
              <w:rPr>
                <w:sz w:val="20"/>
                <w:szCs w:val="20"/>
                <w:color w:val="auto"/>
              </w:rPr>
            </w:pPr>
            <w:r>
              <w:rPr>
                <w:rFonts w:ascii="Arial" w:cs="Arial" w:eastAsia="Arial" w:hAnsi="Arial"/>
                <w:sz w:val="17"/>
                <w:szCs w:val="17"/>
                <w:color w:val="auto"/>
                <w:w w:val="95"/>
              </w:rPr>
              <w:t>Resources Officer at Associated Materials, Inc., a manufacturer and distributor of exterior residential building products,</w:t>
            </w:r>
          </w:p>
        </w:tc>
      </w:tr>
      <w:tr>
        <w:trPr>
          <w:trHeight w:val="216"/>
        </w:trPr>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00" w:type="dxa"/>
            <w:vAlign w:val="bottom"/>
            <w:gridSpan w:val="2"/>
          </w:tcPr>
          <w:p>
            <w:pPr>
              <w:ind w:left="140"/>
              <w:spacing w:after="0"/>
              <w:rPr>
                <w:sz w:val="20"/>
                <w:szCs w:val="20"/>
                <w:color w:val="auto"/>
              </w:rPr>
            </w:pPr>
            <w:r>
              <w:rPr>
                <w:rFonts w:ascii="Arial" w:cs="Arial" w:eastAsia="Arial" w:hAnsi="Arial"/>
                <w:sz w:val="17"/>
                <w:szCs w:val="17"/>
                <w:color w:val="auto"/>
              </w:rPr>
              <w:t>from 2015 through 2019.</w:t>
            </w:r>
          </w:p>
        </w:tc>
      </w:tr>
      <w:tr>
        <w:trPr>
          <w:trHeight w:val="162"/>
        </w:trPr>
        <w:tc>
          <w:tcPr>
            <w:tcW w:w="60" w:type="dxa"/>
            <w:vAlign w:val="bottom"/>
          </w:tcPr>
          <w:p>
            <w:pPr>
              <w:spacing w:after="0"/>
              <w:rPr>
                <w:sz w:val="14"/>
                <w:szCs w:val="14"/>
                <w:color w:val="auto"/>
              </w:rPr>
            </w:pPr>
          </w:p>
        </w:tc>
        <w:tc>
          <w:tcPr>
            <w:tcW w:w="16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Meghan M. Elliott</w:t>
            </w:r>
          </w:p>
        </w:tc>
        <w:tc>
          <w:tcPr>
            <w:tcW w:w="820" w:type="dxa"/>
            <w:vAlign w:val="bottom"/>
            <w:shd w:val="clear" w:color="auto" w:fill="CCEEFF"/>
          </w:tcPr>
          <w:p>
            <w:pPr>
              <w:jc w:val="center"/>
              <w:ind w:left="154"/>
              <w:spacing w:after="0" w:line="162" w:lineRule="exact"/>
              <w:rPr>
                <w:sz w:val="20"/>
                <w:szCs w:val="20"/>
                <w:color w:val="auto"/>
              </w:rPr>
            </w:pPr>
            <w:r>
              <w:rPr>
                <w:rFonts w:ascii="Arial" w:cs="Arial" w:eastAsia="Arial" w:hAnsi="Arial"/>
                <w:sz w:val="17"/>
                <w:szCs w:val="17"/>
                <w:color w:val="auto"/>
                <w:w w:val="94"/>
              </w:rPr>
              <w:t>44</w:t>
            </w:r>
          </w:p>
        </w:tc>
        <w:tc>
          <w:tcPr>
            <w:tcW w:w="8660" w:type="dxa"/>
            <w:vAlign w:val="bottom"/>
            <w:shd w:val="clear" w:color="auto" w:fill="CCEEFF"/>
          </w:tcPr>
          <w:p>
            <w:pPr>
              <w:ind w:left="140"/>
              <w:spacing w:after="0" w:line="162" w:lineRule="exact"/>
              <w:rPr>
                <w:sz w:val="20"/>
                <w:szCs w:val="20"/>
                <w:color w:val="auto"/>
              </w:rPr>
            </w:pPr>
            <w:r>
              <w:rPr>
                <w:rFonts w:ascii="Arial" w:cs="Arial" w:eastAsia="Arial" w:hAnsi="Arial"/>
                <w:sz w:val="17"/>
                <w:szCs w:val="17"/>
                <w:color w:val="auto"/>
                <w:w w:val="94"/>
              </w:rPr>
              <w:t>Vice President, General Counsel and Secretary of the Company since June 2020. Prior to this role, Ms. Elliot served as</w:t>
            </w:r>
          </w:p>
        </w:tc>
        <w:tc>
          <w:tcPr>
            <w:tcW w:w="40" w:type="dxa"/>
            <w:vAlign w:val="bottom"/>
          </w:tcPr>
          <w:p>
            <w:pPr>
              <w:spacing w:after="0"/>
              <w:rPr>
                <w:sz w:val="14"/>
                <w:szCs w:val="14"/>
                <w:color w:val="auto"/>
              </w:rPr>
            </w:pPr>
          </w:p>
        </w:tc>
      </w:tr>
      <w:tr>
        <w:trPr>
          <w:trHeight w:val="216"/>
        </w:trPr>
        <w:tc>
          <w:tcPr>
            <w:tcW w:w="6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Assistant General Counsel for the Company since 2014.</w:t>
            </w:r>
          </w:p>
        </w:tc>
        <w:tc>
          <w:tcPr>
            <w:tcW w:w="40" w:type="dxa"/>
            <w:vAlign w:val="bottom"/>
          </w:tcPr>
          <w:p>
            <w:pPr>
              <w:spacing w:after="0"/>
              <w:rPr>
                <w:sz w:val="18"/>
                <w:szCs w:val="18"/>
                <w:color w:val="auto"/>
              </w:rPr>
            </w:pPr>
          </w:p>
        </w:tc>
      </w:tr>
      <w:tr>
        <w:trPr>
          <w:trHeight w:val="198"/>
        </w:trPr>
        <w:tc>
          <w:tcPr>
            <w:tcW w:w="60" w:type="dxa"/>
            <w:vAlign w:val="bottom"/>
          </w:tcPr>
          <w:p>
            <w:pPr>
              <w:spacing w:after="0"/>
              <w:rPr>
                <w:sz w:val="17"/>
                <w:szCs w:val="17"/>
                <w:color w:val="auto"/>
              </w:rPr>
            </w:pPr>
          </w:p>
        </w:tc>
        <w:tc>
          <w:tcPr>
            <w:tcW w:w="1660" w:type="dxa"/>
            <w:vAlign w:val="bottom"/>
          </w:tcPr>
          <w:p>
            <w:pPr>
              <w:ind w:left="20"/>
              <w:spacing w:after="0"/>
              <w:rPr>
                <w:sz w:val="20"/>
                <w:szCs w:val="20"/>
                <w:color w:val="auto"/>
              </w:rPr>
            </w:pPr>
            <w:r>
              <w:rPr>
                <w:rFonts w:ascii="Arial" w:cs="Arial" w:eastAsia="Arial" w:hAnsi="Arial"/>
                <w:sz w:val="17"/>
                <w:szCs w:val="17"/>
                <w:color w:val="auto"/>
              </w:rPr>
              <w:t>Nisheet Gupta</w:t>
            </w:r>
          </w:p>
        </w:tc>
        <w:tc>
          <w:tcPr>
            <w:tcW w:w="820" w:type="dxa"/>
            <w:vAlign w:val="bottom"/>
          </w:tcPr>
          <w:p>
            <w:pPr>
              <w:jc w:val="center"/>
              <w:ind w:left="154"/>
              <w:spacing w:after="0"/>
              <w:rPr>
                <w:sz w:val="20"/>
                <w:szCs w:val="20"/>
                <w:color w:val="auto"/>
              </w:rPr>
            </w:pPr>
            <w:r>
              <w:rPr>
                <w:rFonts w:ascii="Arial" w:cs="Arial" w:eastAsia="Arial" w:hAnsi="Arial"/>
                <w:sz w:val="17"/>
                <w:szCs w:val="17"/>
                <w:color w:val="auto"/>
                <w:w w:val="94"/>
              </w:rPr>
              <w:t>46</w:t>
            </w:r>
          </w:p>
        </w:tc>
        <w:tc>
          <w:tcPr>
            <w:tcW w:w="8700" w:type="dxa"/>
            <w:vAlign w:val="bottom"/>
            <w:gridSpan w:val="2"/>
          </w:tcPr>
          <w:p>
            <w:pPr>
              <w:ind w:left="140"/>
              <w:spacing w:after="0"/>
              <w:rPr>
                <w:sz w:val="20"/>
                <w:szCs w:val="20"/>
                <w:color w:val="auto"/>
              </w:rPr>
            </w:pPr>
            <w:r>
              <w:rPr>
                <w:rFonts w:ascii="Arial" w:cs="Arial" w:eastAsia="Arial" w:hAnsi="Arial"/>
                <w:sz w:val="17"/>
                <w:szCs w:val="17"/>
                <w:color w:val="auto"/>
                <w:w w:val="94"/>
              </w:rPr>
              <w:t>Executive Vice President and Chief Financial Officer of the Company since June 2020. Prior to joining the Company, Mr.</w:t>
            </w:r>
          </w:p>
        </w:tc>
      </w:tr>
      <w:tr>
        <w:trPr>
          <w:trHeight w:val="189"/>
        </w:trPr>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700" w:type="dxa"/>
            <w:vAlign w:val="bottom"/>
            <w:gridSpan w:val="2"/>
          </w:tcPr>
          <w:p>
            <w:pPr>
              <w:ind w:left="140"/>
              <w:spacing w:after="0" w:line="189" w:lineRule="exact"/>
              <w:rPr>
                <w:sz w:val="20"/>
                <w:szCs w:val="20"/>
                <w:color w:val="auto"/>
              </w:rPr>
            </w:pPr>
            <w:r>
              <w:rPr>
                <w:rFonts w:ascii="Arial" w:cs="Arial" w:eastAsia="Arial" w:hAnsi="Arial"/>
                <w:sz w:val="17"/>
                <w:szCs w:val="17"/>
                <w:color w:val="auto"/>
                <w:w w:val="95"/>
              </w:rPr>
              <w:t>Gupta served Vice President of Global Finance Operations at Land O’Lakes, a leading agribusiness and food company,</w:t>
            </w:r>
          </w:p>
        </w:tc>
      </w:tr>
      <w:tr>
        <w:trPr>
          <w:trHeight w:val="189"/>
        </w:trPr>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700" w:type="dxa"/>
            <w:vAlign w:val="bottom"/>
            <w:gridSpan w:val="2"/>
          </w:tcPr>
          <w:p>
            <w:pPr>
              <w:ind w:left="140"/>
              <w:spacing w:after="0" w:line="189" w:lineRule="exact"/>
              <w:rPr>
                <w:sz w:val="20"/>
                <w:szCs w:val="20"/>
                <w:color w:val="auto"/>
              </w:rPr>
            </w:pPr>
            <w:r>
              <w:rPr>
                <w:rFonts w:ascii="Arial" w:cs="Arial" w:eastAsia="Arial" w:hAnsi="Arial"/>
                <w:sz w:val="17"/>
                <w:szCs w:val="17"/>
                <w:color w:val="auto"/>
              </w:rPr>
              <w:t>since 2017. Prior to joining Land O’ Lakes, Mr. Gupta worked at Diebold Nixdorf, a banking solutions and retail</w:t>
            </w:r>
          </w:p>
        </w:tc>
      </w:tr>
      <w:tr>
        <w:trPr>
          <w:trHeight w:val="189"/>
        </w:trPr>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700" w:type="dxa"/>
            <w:vAlign w:val="bottom"/>
            <w:gridSpan w:val="2"/>
          </w:tcPr>
          <w:p>
            <w:pPr>
              <w:ind w:left="140"/>
              <w:spacing w:after="0" w:line="189" w:lineRule="exact"/>
              <w:rPr>
                <w:sz w:val="20"/>
                <w:szCs w:val="20"/>
                <w:color w:val="auto"/>
              </w:rPr>
            </w:pPr>
            <w:r>
              <w:rPr>
                <w:rFonts w:ascii="Arial" w:cs="Arial" w:eastAsia="Arial" w:hAnsi="Arial"/>
                <w:sz w:val="17"/>
                <w:szCs w:val="17"/>
                <w:color w:val="auto"/>
                <w:w w:val="97"/>
              </w:rPr>
              <w:t>technology systems company, as Vice President, Finance, Global Transformation from 2016 to 2017, Vice President,</w:t>
            </w:r>
          </w:p>
        </w:tc>
      </w:tr>
      <w:tr>
        <w:trPr>
          <w:trHeight w:val="189"/>
        </w:trPr>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700" w:type="dxa"/>
            <w:vAlign w:val="bottom"/>
            <w:gridSpan w:val="2"/>
          </w:tcPr>
          <w:p>
            <w:pPr>
              <w:ind w:left="140"/>
              <w:spacing w:after="0" w:line="189" w:lineRule="exact"/>
              <w:rPr>
                <w:sz w:val="20"/>
                <w:szCs w:val="20"/>
                <w:color w:val="auto"/>
              </w:rPr>
            </w:pPr>
            <w:r>
              <w:rPr>
                <w:rFonts w:ascii="Arial" w:cs="Arial" w:eastAsia="Arial" w:hAnsi="Arial"/>
                <w:sz w:val="17"/>
                <w:szCs w:val="17"/>
                <w:color w:val="auto"/>
                <w:w w:val="96"/>
              </w:rPr>
              <w:t>Finance and Chief Financial Officer, International from 2014 to 2016 and in various roles of increasing responsibility in</w:t>
            </w:r>
          </w:p>
        </w:tc>
      </w:tr>
      <w:tr>
        <w:trPr>
          <w:trHeight w:val="216"/>
        </w:trPr>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00" w:type="dxa"/>
            <w:vAlign w:val="bottom"/>
            <w:gridSpan w:val="2"/>
          </w:tcPr>
          <w:p>
            <w:pPr>
              <w:ind w:left="140"/>
              <w:spacing w:after="0"/>
              <w:rPr>
                <w:sz w:val="20"/>
                <w:szCs w:val="20"/>
                <w:color w:val="auto"/>
              </w:rPr>
            </w:pPr>
            <w:r>
              <w:rPr>
                <w:rFonts w:ascii="Arial" w:cs="Arial" w:eastAsia="Arial" w:hAnsi="Arial"/>
                <w:sz w:val="17"/>
                <w:szCs w:val="17"/>
                <w:color w:val="auto"/>
              </w:rPr>
              <w:t>Diebold Nixdorf’s financial organization, from 2011 to 2014.</w:t>
            </w:r>
          </w:p>
        </w:tc>
      </w:tr>
      <w:tr>
        <w:trPr>
          <w:trHeight w:val="233"/>
        </w:trPr>
        <w:tc>
          <w:tcPr>
            <w:tcW w:w="60" w:type="dxa"/>
            <w:vAlign w:val="bottom"/>
          </w:tcPr>
          <w:p>
            <w:pPr>
              <w:spacing w:after="0"/>
              <w:rPr>
                <w:sz w:val="20"/>
                <w:szCs w:val="20"/>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Maureen Hayes</w:t>
            </w:r>
          </w:p>
        </w:tc>
        <w:tc>
          <w:tcPr>
            <w:tcW w:w="82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94"/>
              </w:rPr>
              <w:t>58</w:t>
            </w: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Chief Information Officer of the Company since 2012.</w:t>
            </w:r>
          </w:p>
        </w:tc>
        <w:tc>
          <w:tcPr>
            <w:tcW w:w="40" w:type="dxa"/>
            <w:vAlign w:val="bottom"/>
          </w:tcPr>
          <w:p>
            <w:pPr>
              <w:spacing w:after="0"/>
              <w:rPr>
                <w:sz w:val="20"/>
                <w:szCs w:val="20"/>
                <w:color w:val="auto"/>
              </w:rPr>
            </w:pPr>
          </w:p>
        </w:tc>
      </w:tr>
      <w:tr>
        <w:trPr>
          <w:trHeight w:val="162"/>
        </w:trPr>
        <w:tc>
          <w:tcPr>
            <w:tcW w:w="60" w:type="dxa"/>
            <w:vAlign w:val="bottom"/>
          </w:tcPr>
          <w:p>
            <w:pPr>
              <w:spacing w:after="0"/>
              <w:rPr>
                <w:sz w:val="14"/>
                <w:szCs w:val="14"/>
                <w:color w:val="auto"/>
              </w:rPr>
            </w:pPr>
          </w:p>
        </w:tc>
        <w:tc>
          <w:tcPr>
            <w:tcW w:w="1660" w:type="dxa"/>
            <w:vAlign w:val="bottom"/>
          </w:tcPr>
          <w:p>
            <w:pPr>
              <w:ind w:left="20"/>
              <w:spacing w:after="0" w:line="162" w:lineRule="exact"/>
              <w:rPr>
                <w:sz w:val="20"/>
                <w:szCs w:val="20"/>
                <w:color w:val="auto"/>
              </w:rPr>
            </w:pPr>
            <w:r>
              <w:rPr>
                <w:rFonts w:ascii="Arial" w:cs="Arial" w:eastAsia="Arial" w:hAnsi="Arial"/>
                <w:sz w:val="17"/>
                <w:szCs w:val="17"/>
                <w:color w:val="auto"/>
              </w:rPr>
              <w:t>Gary R. Johnson</w:t>
            </w:r>
          </w:p>
        </w:tc>
        <w:tc>
          <w:tcPr>
            <w:tcW w:w="820" w:type="dxa"/>
            <w:vAlign w:val="bottom"/>
          </w:tcPr>
          <w:p>
            <w:pPr>
              <w:jc w:val="center"/>
              <w:ind w:left="154"/>
              <w:spacing w:after="0" w:line="162" w:lineRule="exact"/>
              <w:rPr>
                <w:sz w:val="20"/>
                <w:szCs w:val="20"/>
                <w:color w:val="auto"/>
              </w:rPr>
            </w:pPr>
            <w:r>
              <w:rPr>
                <w:rFonts w:ascii="Arial" w:cs="Arial" w:eastAsia="Arial" w:hAnsi="Arial"/>
                <w:sz w:val="17"/>
                <w:szCs w:val="17"/>
                <w:color w:val="auto"/>
                <w:w w:val="94"/>
              </w:rPr>
              <w:t>59</w:t>
            </w:r>
          </w:p>
        </w:tc>
        <w:tc>
          <w:tcPr>
            <w:tcW w:w="8660" w:type="dxa"/>
            <w:vAlign w:val="bottom"/>
          </w:tcPr>
          <w:p>
            <w:pPr>
              <w:ind w:left="140"/>
              <w:spacing w:after="0" w:line="162" w:lineRule="exact"/>
              <w:rPr>
                <w:sz w:val="20"/>
                <w:szCs w:val="20"/>
                <w:color w:val="auto"/>
              </w:rPr>
            </w:pPr>
            <w:r>
              <w:rPr>
                <w:rFonts w:ascii="Arial" w:cs="Arial" w:eastAsia="Arial" w:hAnsi="Arial"/>
                <w:sz w:val="17"/>
                <w:szCs w:val="17"/>
                <w:color w:val="auto"/>
                <w:w w:val="97"/>
              </w:rPr>
              <w:t>Senior Vice President of the Company since 2018, Treasurer and Vice President since 2001 and an employee of the</w:t>
            </w:r>
          </w:p>
        </w:tc>
        <w:tc>
          <w:tcPr>
            <w:tcW w:w="40" w:type="dxa"/>
            <w:vAlign w:val="bottom"/>
          </w:tcPr>
          <w:p>
            <w:pPr>
              <w:spacing w:after="0"/>
              <w:rPr>
                <w:sz w:val="14"/>
                <w:szCs w:val="14"/>
                <w:color w:val="auto"/>
              </w:rPr>
            </w:pPr>
          </w:p>
        </w:tc>
      </w:tr>
      <w:tr>
        <w:trPr>
          <w:trHeight w:val="216"/>
        </w:trPr>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00" w:type="dxa"/>
            <w:vAlign w:val="bottom"/>
            <w:gridSpan w:val="2"/>
          </w:tcPr>
          <w:p>
            <w:pPr>
              <w:ind w:left="140"/>
              <w:spacing w:after="0"/>
              <w:rPr>
                <w:sz w:val="20"/>
                <w:szCs w:val="20"/>
                <w:color w:val="auto"/>
              </w:rPr>
            </w:pPr>
            <w:r>
              <w:rPr>
                <w:rFonts w:ascii="Arial" w:cs="Arial" w:eastAsia="Arial" w:hAnsi="Arial"/>
                <w:sz w:val="17"/>
                <w:szCs w:val="17"/>
                <w:color w:val="auto"/>
              </w:rPr>
              <w:t>Company since 1995.</w:t>
            </w:r>
          </w:p>
        </w:tc>
      </w:tr>
      <w:tr>
        <w:trPr>
          <w:trHeight w:val="198"/>
        </w:trPr>
        <w:tc>
          <w:tcPr>
            <w:tcW w:w="60" w:type="dxa"/>
            <w:vAlign w:val="bottom"/>
          </w:tcPr>
          <w:p>
            <w:pPr>
              <w:spacing w:after="0"/>
              <w:rPr>
                <w:sz w:val="17"/>
                <w:szCs w:val="17"/>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Greg J. Sachs</w:t>
            </w:r>
          </w:p>
        </w:tc>
        <w:tc>
          <w:tcPr>
            <w:tcW w:w="82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94"/>
              </w:rPr>
              <w:t>51</w:t>
            </w: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3"/>
              </w:rPr>
              <w:t>Chief Procurement Officer of the Company since January 2020. Prior to joining the Company, Mr. Sachs served as Chief</w:t>
            </w:r>
          </w:p>
        </w:tc>
        <w:tc>
          <w:tcPr>
            <w:tcW w:w="40" w:type="dxa"/>
            <w:vAlign w:val="bottom"/>
          </w:tcPr>
          <w:p>
            <w:pPr>
              <w:spacing w:after="0"/>
              <w:rPr>
                <w:sz w:val="17"/>
                <w:szCs w:val="17"/>
                <w:color w:val="auto"/>
              </w:rPr>
            </w:pPr>
          </w:p>
        </w:tc>
      </w:tr>
      <w:tr>
        <w:trPr>
          <w:trHeight w:val="189"/>
        </w:trPr>
        <w:tc>
          <w:tcPr>
            <w:tcW w:w="60" w:type="dxa"/>
            <w:vAlign w:val="bottom"/>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6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w w:val="92"/>
              </w:rPr>
              <w:t>Procurement Officer at Resideo Technologies, Inc., a provider of critical comfort, residential thermal solutions and security</w:t>
            </w:r>
          </w:p>
        </w:tc>
        <w:tc>
          <w:tcPr>
            <w:tcW w:w="40" w:type="dxa"/>
            <w:vAlign w:val="bottom"/>
          </w:tcPr>
          <w:p>
            <w:pPr>
              <w:spacing w:after="0"/>
              <w:rPr>
                <w:sz w:val="16"/>
                <w:szCs w:val="16"/>
                <w:color w:val="auto"/>
              </w:rPr>
            </w:pPr>
          </w:p>
        </w:tc>
      </w:tr>
      <w:tr>
        <w:trPr>
          <w:trHeight w:val="189"/>
        </w:trPr>
        <w:tc>
          <w:tcPr>
            <w:tcW w:w="60" w:type="dxa"/>
            <w:vAlign w:val="bottom"/>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6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w w:val="94"/>
              </w:rPr>
              <w:t>solutions, from 2018 through 2020, and previously worked for Honeywell International, Inc. as Chief Procurement Officer</w:t>
            </w:r>
          </w:p>
        </w:tc>
        <w:tc>
          <w:tcPr>
            <w:tcW w:w="40" w:type="dxa"/>
            <w:vAlign w:val="bottom"/>
          </w:tcPr>
          <w:p>
            <w:pPr>
              <w:spacing w:after="0"/>
              <w:rPr>
                <w:sz w:val="16"/>
                <w:szCs w:val="16"/>
                <w:color w:val="auto"/>
              </w:rPr>
            </w:pPr>
          </w:p>
        </w:tc>
      </w:tr>
      <w:tr>
        <w:trPr>
          <w:trHeight w:val="234"/>
        </w:trPr>
        <w:tc>
          <w:tcPr>
            <w:tcW w:w="6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from 2016 through 2018 and as Global Vice President of Sourcing from 2014 through 2016.</w:t>
            </w:r>
          </w:p>
        </w:tc>
        <w:tc>
          <w:tcPr>
            <w:tcW w:w="40" w:type="dxa"/>
            <w:vAlign w:val="bottom"/>
          </w:tcPr>
          <w:p>
            <w:pPr>
              <w:spacing w:after="0"/>
              <w:rPr>
                <w:sz w:val="20"/>
                <w:szCs w:val="20"/>
                <w:color w:val="auto"/>
              </w:rPr>
            </w:pPr>
          </w:p>
        </w:tc>
      </w:tr>
      <w:tr>
        <w:trPr>
          <w:trHeight w:val="850"/>
        </w:trPr>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60" w:type="dxa"/>
            <w:vAlign w:val="bottom"/>
          </w:tcPr>
          <w:p>
            <w:pPr>
              <w:ind w:left="30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faces many risks. Any of the risks discussed below, or elsewhere in this Form 10-K or our other filings with the Securities and Exchange Commission, could have a material adverse impact on our business, financial condition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Risks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The novel coronavirus (COVID-19) pandemic, efforts to mitigate the pandemic, and the related weakening economic conditions, have impacted our business and could have a significant negative impact on our operations, liquidity, financial condition and financial results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early 2020, a novel strain of coronavirus, COVID-19, started to impact the global economic environment causing extreme volatility and uncertainty in global markets. In March 2020, the World Health Organization declared COVID-19 to be a global pandemic and we started to see certain impacts to our business. This contagious disease outbreak, which has continued to spread, and the related adverse public health developments, and government orders to "stay in place," have adversely affected work forces, economies and financial markets globally. Quarantines and "stay in place" orders, the timing and length of containment and eradication solutions, travel restrictions, absenteeism by infected workers, labor shortages or other disruptions to our supply chain or to our customers, have adversely impacted our sales and operating results and have resulted in some continued project delays. In addition, the pandemic contributed to an economic downturn that could affect the ability of our customers to obtain financing for projects, which could therefore impact demand for our products and services. Order lead times could be extended or delayed and our pricing or pricing by our suppliers for needed materials could increase. Some critical materials, products or services may become unavailable if the regional or global spread were significant enough to prevent alternative sourcing.</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we have experienced delays in commercial construction projects due to COVID-19. While the construction and construction-related industries are considered an "essential service" in most jurisdictions in which we operate, site closures or project delays have occurred and increased social distancing and health-related precautions are required on many work sites, which may cause additional project delays and additional costs to be incurred. Within the LSO segment, we also experienced the temporary closure of many of our customer's retail locations. We also were required temporarily to shut down our factories in this segment to comply with government "stay in place" orders.</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this global pandemic to continue to have an impact on our future revenue and results of operations, the size and duration of which we are currently unable to predict. The global outbreak of COVID-19 continues to evolve rapidly. The extent to which COVID-19 will impact our business will depend on future developments, which are highly uncertain and cannot be predicted with confidence, such as the ultimate severity and spread of the disease, the intensity and duration of outbreaks, travel restrictions and social distancing requirements in the United States and other countries, business closures or business disruptions, and the effectiveness of actions taken in the United States and other countries to contain, treat and eradicate the disease.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speed and frequency of continuously evolving developments with respect to this pandemic, we cannot reasonably estimate the magnitude of the impact to our future results of operations, liquidity or financial position. To the extent that our customers and suppliers are adversely impacted by the COVID-19 outbreak, this could reduce the availability, or result in delays, of materials or supplies, or delays in customer payments, which in turn could materially interrupt our business operations and/or impact our results of operations and liquidity.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Industry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North American and global economic and industry-related business conditions materially affect our sales and results of operations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Architectural Framing Systems, Architectural Glass and Architectural Services segments are significantly influenced by North American economic conditions and the cyclical nature of the North American commercial construction industry. The commercial construction industry is impacted by macroeconomic trends, such as availability of credit, employment levels, consumer confidence, interest rates and commodity prices. In addition, changes in architectural design trends, demographic trends, and/or remote work trends could negatively impact demand for our products. To the extent changes in these factors negatively impact the overall commercial construction industry, our revenue and profits could be significantly reduced.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LSO segment primarily depends on the strength of the retail custom picture framing industry. This industry is dependent on consumer confidence and the conditions of the U.S. economy. A decline in consumer confidence, whether as a result of an economic slowdown (due to COVID-19 concerns discussed above or otherwise), uncertainty regarding the future or other factors, could result in a decrease in net sales and operating income of this segment.</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Global instability and uncertainty arising from events outside of our control, such as significant natural disasters, political crises, public health crises and pandemics, and/or other catastrophic events could materially affect our results of operations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Natural disasters, political crises, public health crises, such as the current COVID-19 pandemic, and other catastrophic events or other events outside of our control may damage our facilities or the facilities of third parties on which we depend, have broader adverse impacts on the commercial construction market, consumer confidence and spending, and/or impact both the well-being of our employees and our ability to operate our facilities. These types of disruptions or other events outside of our control could affect our business negatively, cause delays or cancellation of commercial construction projects or cause us to temporarily close our facilities, harming our operating results. In addition, if any of our facilities, including our manufacturing, finishing or distribution facilities, or the facilities of our suppliers, third-party service providers, or customers, is affected by natural disasters, political crises, public health crises, or other catastrophic events or events outside of our control, our business and operating results could suffer.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competitors or specific actions of our existing competitors could materially harm our business</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We operate in competitive industries in which the actions of our existing competitors or new competitors could result in loss of customers and/or market share. Changes in our competitors' products, prices or services could negatively impact our share of demand, net sales or margins.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Architectural Framing Systems and Architectural Glass segments have seen an increase in imports of products into the U.S. from international suppliers due to the relative strength of the U.S. dollar. If foreign imports occur at increased levels for extended periods of time, our net sales and margins in those segments could be negatively impacted.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LSO segment competes with several international specialty glass manufacturers and international and domestic acrylic suppliers. If these competitors are able to successfully improve their product attributes, service capabilities and production capacity and/or increase their sales and marketing focus in the U.S. custom picture framing market, this segment's net sales and margins could be negatively impacted.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customer dependence in the LSO segment creates a significant risk of reduced demand for our products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LSO segment is highly dependent on a relatively small number of customers for its sales, while working to grow in new markets and with new customers. Accordingly, loss of a significant customer, a significant reduction in pricing, or a shift to a less favorable mix of value-added picture framing glass or acrylic products for one or more of those customers could materially reduce LSO net sales and operating results. Many customers in this segment temporarily closed retail outlets, during a portion of fiscal 2021, as a result of "stay in place" orders within the United States, resulting in reduced demand for our product. We are unable to estimate the severity or longer-term impact resulting from this COVID-19 pandemic on our business in this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If we are not able effectively to utilize and manage our manufacturing capacity, our results of operations will be negatively affected</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Near-term performance depends, to a significant degree, on our ability to provide sufficient available capacity and appropriately utilize existing production capacity. The failure to successfully maintain existing capacity, or manage unanticipated interruptions in production, successfully implement planned capacity expansions, and/or make timely investments in additional physical capacity and supporting technology systems could adversely affect our operating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of key personnel and inability to source sufficient labor could adversely affect our operating results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depends on the skills of the Company's leadership, construction project managers and other key technical personnel, and our ability to secure sufficient manufacturing and installation labor. In recent years, strong residential and commercial construction and low U.S. unemployment has caused increased competition for experienced construction project managers and other labor. If we are unable to retain existing employees, provide a safe and healthy working environment, and/or recruit and train additional employees with the requisite skills and experience, our operating results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If we are unable to manage our supply chain effectively, including availability and price of materials used in our products, our results of operations will be negatively affected</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Architectural Framing Systems and Architectural Services segments use aluminum as a significant input to their products. While we structure many of our supply agreements in a way to moderate the effects of fluctuations in the market for raw aluminum and we endeavor to adjust our pricing to offset potential impacts, operating results could be negatively impacted by price movements in the market for raw aluminum. In recent years, we have seen increased volatility in the price of aluminum that we purchase from both domestic and international sources. Due to our Architectural Framing Systems segment presence in Canada, we have significant cross-border activity, as our Canadian businesses purchase inputs from U.S.-based suppliers and sell to U.S.-based customers. A significant change in U.S. trade policy with Canada could, therefore, have an adverse impact on our net sales and operating results.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Architectural Glass and LSO segments use raw glass as a significant input to their products. We periodically experience a tighter supply of raw glass when there is growth in automotive manufacturing and residential and non-residential construction. Failure to acquire a sufficient amount of raw glass on terms as favorable as current terms, including as a result of a significant unplanned downtime or shift in strategy at one or more of our key suppliers, could negatively impact our operating results.</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suppliers are subject to the fluctuations in general economic cycles. Global economic conditions may impact their ability to operate their businesses, including recent impacts from the evolving COVID-19 pandemic. They may also be impacted by the increasing costs or availability of raw materials, labor and distribution, resulting in demands for less attractive contract terms or an inability for them to meet our requirements or conduct their own businesses. The performance and financial condition of one or more suppliers may cause us to alter our business terms or to cease doing business with a particular supplier or suppliers, or change our sourcing practices generally, which could in turn adversely affect our business and financial condition.</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encounter problems with distribution, our ability to deliver our products to market could be adversely affected. Our operations are vulnerable to interruptions in the event of work stoppages, whether due to health concerns, such as COVID-19 or otherwise, labor disputes or shortages, and natural disasters that may affect our distribution and transportation to job sites. Moreover, our distribution system includes computer-controlled and automated equipment, which may be subject to a number of risks related to data and system security or computer viruses, the proper operation of software and hardware, power interruptions or other system failures. If we encounter problems with our distribution systems, our ability to meet customer and consumer expectations, manage inventory, manage transportation-related costs, complete sales and achieve operating efficiencies could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quality issues and product liability claims could adversely affect our operating results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manufacture and/or install a significant portion of our products based on the specific requirements of each customer. We believe that future orders of our products or services will depend on our ability to maintain the performance, reliability, quality and timely delivery standards required by our customers. We have in the past and are currently subject to product liability and warranty claims, including certain legal claims related to a commercial sealant product formerly incorporated into our products. If our products have performance, reliability or quality problems, or products are installed using incompatible glazing materials or installed improperly (by us or a customer), we may experience additional warranty expense; reduced or canceled orders; higher manufacturing or installation costs; or delays in the collection of accounts receivable. Additionally, product liability and warranty claims, including relating to the performance, reliability or quality of our products and services, could result in costly and time-consuming litigation that could require significant time and attention of management and involve significant monetary damages that could negatively impact our operating results. There is also no assurance that the number and value of product liability and warranty claims will not increase as compared to historical claim rates, or that our warranty reserve at any particular time is sufficient. No assurance can be given that coverage under insurance policies, if applicable, will be adequate to cover future product liability claims against us. If we are unable to recover on an insurance claims, in whole or in part, or if we exhaust our available insurance coverage at some point in the future, then we might be forced to expend legal fees and settlement or judgment costs, which could negatively impact our profitability, results of operations, cash flows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Project management and installation issues could adversely affect our operating results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Some of our segments are awarded fixed-price contracts that include material supply and installation services. Often, bids are required before all aspects of a construction project are known. An underestimate in the amount of labor required and/or cost of materials for a project; a change in the timing of the delivery of product; system design errors; difficulties or errors in execution; or significant project delays, caused by us or other trades, could result in failure to achieve the expected results. Any one or more of such issues could result in losses on individual contracts that could negatively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acquisitions and integration activities could adversely affect our operating results</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have completed and may complete additional acquisitions in the future to accelerate the execution of our growth strategies, including new geographies, adjacent market sectors and new product introductions. There are risks inherent in completing acquisitions, including:</w:t>
      </w:r>
    </w:p>
    <w:p>
      <w:pPr>
        <w:spacing w:after="0" w:line="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management’s attention from existing business activities;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 customers and suppliers of the acquired businesses or adverse effects on relationships with existing customers and suppliers;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adverse impact on overall profitability if the acquired business does not achieve the return on investment projected at the time of acquisition; and</w:t>
      </w:r>
    </w:p>
    <w:p>
      <w:pPr>
        <w:spacing w:after="0" w:line="32" w:lineRule="exact"/>
        <w:rPr>
          <w:rFonts w:ascii="Arial" w:cs="Arial" w:eastAsia="Arial" w:hAnsi="Arial"/>
          <w:sz w:val="16"/>
          <w:szCs w:val="16"/>
          <w:color w:val="auto"/>
        </w:rPr>
      </w:pPr>
    </w:p>
    <w:p>
      <w:pPr>
        <w:jc w:val="both"/>
        <w:ind w:left="660" w:right="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the acquired assets and liabilities, inaccurate assessment of additional post-acquisition capital investments; undisclosed, contingent or other liabilities; problems executing backlog of material supply or installation projects; unanticipated costs; and an inability to recover or manage such liabilities and costs.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If one or more of these risks were to arise in a material manner, our operating results could be negatively impacted.</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Difficulties in maintaining our information technology systems, and potential security threats, could negatively affect our operating results and/or our reputation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are dependent upon various information technology systems that are used to process, transmit and store electronic information, and to manage or support our manufacturing operations and a variety of other business processes and activities. We could encounter difficulties in maintaining our existing systems, and developing and implementing new systems. Such difficulties could lead to disruption in business operations and/or significant additional expenses that could adversely affect our results.</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information technology security threats are increasing in frequency and sophistication. Our information technology and Internet based systems have been in the past, and may be in the future, subject to attempts to gain unauthorized access, breach, malfeasance or other system disruptions, none of which have been material to us to date. These threats pose a risk to the security of our systems and networks, and the confidentiality, availability and integrity of our data. Should such an attack succeed, it could lead to the compromise of confidential information, manipulation and destruction of data and product specifications, production downtimes, disruption in the availability of financial data, or misrepresentation of information via digital media. The occurrence of any of these events could adversely affect our reputation and could result in litigation, regulatory action, project delay claims, and increased costs and operational consequences of implementing further data protection systems.</w:t>
      </w:r>
    </w:p>
    <w:p>
      <w:pPr>
        <w:spacing w:after="0" w:line="20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i w:val="1"/>
          <w:iCs w:val="1"/>
          <w:u w:val="single" w:color="auto"/>
          <w:color w:val="auto"/>
        </w:rPr>
        <w:t>Violations of legal and regulatory compliance requirements, including environmental laws, and changes in existing legal and regulatory requirements, may have a negative impact on our business and results of operations.</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a legal and regulatory framework imposed under federal and state laws and regulatory agencies, including laws and regulations that apply specifically to U.S. public companies and laws and regulations applicable to our manufacturing and construction site operations. Our efforts to comply with evolving laws, regulations, and reporting standards may increase our general and administrative expenses, divert management time and attention, or limit our operational flexibility, all of which could have a material adverse effect on our business, financial position, and results of operations. Additionally, new laws, rules, and regulations, or changes to existing laws or their interpretations, could create added legal and compliance costs and uncertainty for us.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hazardous materials in our manufacturing operations, and have air and water emissions that require controls. Accordingly, we are also subject to federal, state and local environmental laws and regulations, including those governing the storage and use of hazardous materials and disposal of wastes. A violation of such laws and regulations, or a release of such substances, may expose us to various claims, including claims by third parties, as well as remediation costs and fines.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Due to our self-insurance programs, we may have a material adverse effect on our operating results in the event of a material product liability claim</w:t>
      </w:r>
    </w:p>
    <w:p>
      <w:pPr>
        <w:spacing w:after="0" w:line="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obtain third-party insurance to provide coverage for potential risk in areas such as employment practices, workers' compensation, directors and officers, automobile, architect's and engineer's errors and omissions, product rework and general liability, as well as medical insurance and various other coverages. However, we retain a high amount of risk on a self-insured basis, partially through our wholly-owned insurance subsidiary. Therefore, a material architectural product liability event could have a material adverse effect on our operating results.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effects could negatively affect our sales and operating income</w:t>
      </w:r>
    </w:p>
    <w:p>
      <w:pPr>
        <w:spacing w:after="0" w:line="2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When the U.S. dollar strengthens against foreign currencies, imports of products into the U.S. produced by international competitors become more price competitive and exports of our U.S.-fabricated products become less price competitive. If we are not able to counteract these types of price pressures through superior quality and service, our net sales and operating income could be negatively impacted. Additionally, our international subsidiaries report their results of operations and financial position in their relevant functional currencies (local country currency), which are then translated into U.S. dollars. As the relationship between these currencies and the U.S. dollar changes, there could be a negative impact on our reported results and financial position.</w:t>
      </w:r>
    </w:p>
    <w:p>
      <w:pPr>
        <w:spacing w:after="0" w:line="19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i w:val="1"/>
          <w:iCs w:val="1"/>
          <w:u w:val="single" w:color="auto"/>
          <w:color w:val="auto"/>
        </w:rPr>
        <w:t>Results can differ significantly from our expectations and the expectations of analysts, which could have an adverse affect on the market price of our common stock</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sales and earnings guidance and resulting external analyst estimates are largely based on our view of our business and the broader commercial construction market. Further, there is additional risk in our ability to accurately forecast and provide guidance in the current environment, given the evolving conditions as a result of the COVID-19 pandemic and related economic downturn. Failure to meet our guidance or analyst expectations for net sales and earnings would have an adverse impact on the market price of our common stock.</w:t>
      </w: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u w:val="single" w:color="auto"/>
          <w:color w:val="auto"/>
        </w:rPr>
        <w:t>We may experience further impairment of our goodwill and indefinite-lived intangible assets, in the future, which could adversely impact our financial condition and results of operations</w:t>
      </w:r>
    </w:p>
    <w:p>
      <w:pPr>
        <w:jc w:val="both"/>
        <w:spacing w:after="0" w:line="260" w:lineRule="auto"/>
        <w:rPr>
          <w:sz w:val="20"/>
          <w:szCs w:val="20"/>
          <w:color w:val="auto"/>
        </w:rPr>
      </w:pPr>
      <w:r>
        <w:rPr>
          <w:rFonts w:ascii="Arial" w:cs="Arial" w:eastAsia="Arial" w:hAnsi="Arial"/>
          <w:sz w:val="17"/>
          <w:szCs w:val="17"/>
          <w:color w:val="auto"/>
        </w:rPr>
        <w:t>Our assets include a significant amount of goodwill and indefinite-lived intangible assets. We evaluate goodwill and indefinite-lived intangible assets for impairment annually in our fiscal fourth quarter, or more frequently if events or changes in circumstances indicate that the carrying value of a reporting unit may not be recoverable. The assessment of impairment involves significant judgment and projections about future performance.</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analysis performed in the fourth quarter of fiscal 2021, we determined impairment of goodwill at two of our reporting units within the Architectural Framing Systems segment, EFCO and Sotawall, and we determined impairment of the EFCO tradename. As a result, we recorded a goodwill impairment expense of $63.8 million and an indefinite-lived intangible asset impairment expense of $6.3 million. Refer to additional information included within Notes 1 and 6 to the Financial Statements contained in Item 8 within this Annual Report on Form 10-K.</w:t>
      </w:r>
    </w:p>
    <w:p>
      <w:pPr>
        <w:spacing w:after="0" w:line="2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discounted cash flow projections and revenue projections used in these analyses are dependent upon achieving forecasted levels of revenue and profitability. If revenue or profitability were to fall below forecasted levels, or if market conditions were to decline in a material or sustained manner, further impairment could be indicated at these or our other reporting units and we could incur an additional non-cash impairment expense that would negatively impact our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by segment, the Company's major properties as of February 27,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Property Location</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Owned/ Leased</w:t>
            </w:r>
          </w:p>
        </w:tc>
        <w:tc>
          <w:tcPr>
            <w:tcW w:w="120" w:type="dxa"/>
            <w:vAlign w:val="bottom"/>
            <w:tcBorders>
              <w:bottom w:val="single" w:sz="8" w:color="CCEEFF"/>
            </w:tcBorders>
          </w:tcPr>
          <w:p>
            <w:pPr>
              <w:spacing w:after="0"/>
              <w:rPr>
                <w:sz w:val="18"/>
                <w:szCs w:val="18"/>
                <w:color w:val="auto"/>
              </w:rPr>
            </w:pPr>
          </w:p>
        </w:tc>
        <w:tc>
          <w:tcPr>
            <w:tcW w:w="3720" w:type="dxa"/>
            <w:vAlign w:val="bottom"/>
            <w:tcBorders>
              <w:bottom w:val="single" w:sz="8" w:color="auto"/>
            </w:tcBorders>
          </w:tcPr>
          <w:p>
            <w:pPr>
              <w:ind w:left="1540"/>
              <w:spacing w:after="0"/>
              <w:rPr>
                <w:sz w:val="20"/>
                <w:szCs w:val="20"/>
                <w:color w:val="auto"/>
              </w:rPr>
            </w:pPr>
            <w:r>
              <w:rPr>
                <w:rFonts w:ascii="Arial" w:cs="Arial" w:eastAsia="Arial" w:hAnsi="Arial"/>
                <w:sz w:val="16"/>
                <w:szCs w:val="16"/>
                <w:b w:val="1"/>
                <w:bCs w:val="1"/>
                <w:color w:val="auto"/>
              </w:rPr>
              <w:t>Function</w:t>
            </w: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6"/>
                <w:szCs w:val="16"/>
                <w:i w:val="1"/>
                <w:iCs w:val="1"/>
                <w:color w:val="auto"/>
                <w:w w:val="90"/>
              </w:rPr>
              <w:t>Architectural Framing Systems segment</w:t>
            </w:r>
          </w:p>
        </w:tc>
        <w:tc>
          <w:tcPr>
            <w:tcW w:w="3040" w:type="dxa"/>
            <w:vAlign w:val="bottom"/>
            <w:tcBorders>
              <w:bottom w:val="single" w:sz="8" w:color="CCEEFF"/>
            </w:tcBorders>
            <w:gridSpan w:val="2"/>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72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5640" w:type="dxa"/>
            <w:vAlign w:val="bottom"/>
            <w:gridSpan w:val="4"/>
          </w:tcPr>
          <w:p>
            <w:pPr>
              <w:spacing w:after="0"/>
              <w:rPr>
                <w:sz w:val="20"/>
                <w:szCs w:val="20"/>
                <w:color w:val="auto"/>
              </w:rPr>
            </w:pPr>
            <w:r>
              <w:rPr>
                <w:rFonts w:ascii="Arial" w:cs="Arial" w:eastAsia="Arial" w:hAnsi="Arial"/>
                <w:sz w:val="16"/>
                <w:szCs w:val="16"/>
                <w:color w:val="auto"/>
              </w:rPr>
              <w:t>Wausau, WI</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Owned</w:t>
            </w:r>
          </w:p>
        </w:tc>
        <w:tc>
          <w:tcPr>
            <w:tcW w:w="3720" w:type="dxa"/>
            <w:vAlign w:val="bottom"/>
          </w:tcPr>
          <w:p>
            <w:pPr>
              <w:ind w:left="20"/>
              <w:spacing w:after="0"/>
              <w:rPr>
                <w:sz w:val="20"/>
                <w:szCs w:val="20"/>
                <w:color w:val="auto"/>
              </w:rPr>
            </w:pPr>
            <w:r>
              <w:rPr>
                <w:rFonts w:ascii="Arial" w:cs="Arial" w:eastAsia="Arial" w:hAnsi="Arial"/>
                <w:sz w:val="16"/>
                <w:szCs w:val="16"/>
                <w:color w:val="auto"/>
              </w:rPr>
              <w:t>Manufacturing/Administrative</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Stratford, WI</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Owned</w:t>
            </w: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t>
            </w:r>
          </w:p>
        </w:tc>
      </w:tr>
      <w:tr>
        <w:trPr>
          <w:trHeight w:val="213"/>
        </w:trPr>
        <w:tc>
          <w:tcPr>
            <w:tcW w:w="20" w:type="dxa"/>
            <w:vAlign w:val="bottom"/>
          </w:tcPr>
          <w:p>
            <w:pPr>
              <w:spacing w:after="0"/>
              <w:rPr>
                <w:sz w:val="18"/>
                <w:szCs w:val="18"/>
                <w:color w:val="auto"/>
              </w:rPr>
            </w:pPr>
          </w:p>
        </w:tc>
        <w:tc>
          <w:tcPr>
            <w:tcW w:w="5640" w:type="dxa"/>
            <w:vAlign w:val="bottom"/>
            <w:gridSpan w:val="4"/>
          </w:tcPr>
          <w:p>
            <w:pPr>
              <w:spacing w:after="0"/>
              <w:rPr>
                <w:sz w:val="20"/>
                <w:szCs w:val="20"/>
                <w:color w:val="auto"/>
              </w:rPr>
            </w:pPr>
            <w:r>
              <w:rPr>
                <w:rFonts w:ascii="Arial" w:cs="Arial" w:eastAsia="Arial" w:hAnsi="Arial"/>
                <w:sz w:val="16"/>
                <w:szCs w:val="16"/>
                <w:color w:val="auto"/>
              </w:rPr>
              <w:t>Reed City, MI</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Owned</w:t>
            </w:r>
          </w:p>
        </w:tc>
        <w:tc>
          <w:tcPr>
            <w:tcW w:w="3720" w:type="dxa"/>
            <w:vAlign w:val="bottom"/>
          </w:tcPr>
          <w:p>
            <w:pPr>
              <w:ind w:left="20"/>
              <w:spacing w:after="0"/>
              <w:rPr>
                <w:sz w:val="20"/>
                <w:szCs w:val="20"/>
                <w:color w:val="auto"/>
              </w:rPr>
            </w:pPr>
            <w:r>
              <w:rPr>
                <w:rFonts w:ascii="Arial" w:cs="Arial" w:eastAsia="Arial" w:hAnsi="Arial"/>
                <w:sz w:val="16"/>
                <w:szCs w:val="16"/>
                <w:color w:val="auto"/>
              </w:rPr>
              <w:t>Manufacturing</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Walker, MI</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Leased</w:t>
            </w: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Manufacturing/Administrative</w:t>
            </w:r>
          </w:p>
        </w:tc>
      </w:tr>
      <w:tr>
        <w:trPr>
          <w:trHeight w:val="213"/>
        </w:trPr>
        <w:tc>
          <w:tcPr>
            <w:tcW w:w="20" w:type="dxa"/>
            <w:vAlign w:val="bottom"/>
          </w:tcPr>
          <w:p>
            <w:pPr>
              <w:spacing w:after="0"/>
              <w:rPr>
                <w:sz w:val="18"/>
                <w:szCs w:val="18"/>
                <w:color w:val="auto"/>
              </w:rPr>
            </w:pPr>
          </w:p>
        </w:tc>
        <w:tc>
          <w:tcPr>
            <w:tcW w:w="5640" w:type="dxa"/>
            <w:vAlign w:val="bottom"/>
            <w:gridSpan w:val="4"/>
          </w:tcPr>
          <w:p>
            <w:pPr>
              <w:spacing w:after="0"/>
              <w:rPr>
                <w:sz w:val="20"/>
                <w:szCs w:val="20"/>
                <w:color w:val="auto"/>
              </w:rPr>
            </w:pPr>
            <w:r>
              <w:rPr>
                <w:rFonts w:ascii="Arial" w:cs="Arial" w:eastAsia="Arial" w:hAnsi="Arial"/>
                <w:sz w:val="16"/>
                <w:szCs w:val="16"/>
                <w:color w:val="auto"/>
              </w:rPr>
              <w:t>Dallas, TX</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Leased</w:t>
            </w:r>
          </w:p>
        </w:tc>
        <w:tc>
          <w:tcPr>
            <w:tcW w:w="3720" w:type="dxa"/>
            <w:vAlign w:val="bottom"/>
          </w:tcPr>
          <w:p>
            <w:pPr>
              <w:ind w:left="20"/>
              <w:spacing w:after="0"/>
              <w:rPr>
                <w:sz w:val="20"/>
                <w:szCs w:val="20"/>
                <w:color w:val="auto"/>
              </w:rPr>
            </w:pPr>
            <w:r>
              <w:rPr>
                <w:rFonts w:ascii="Arial" w:cs="Arial" w:eastAsia="Arial" w:hAnsi="Arial"/>
                <w:sz w:val="16"/>
                <w:szCs w:val="16"/>
                <w:color w:val="auto"/>
              </w:rPr>
              <w:t>Manufacturing</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Toronto, ON Canada</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Leased</w:t>
            </w: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Manufacturing/Warehouse/Administrative</w:t>
            </w:r>
          </w:p>
        </w:tc>
      </w:tr>
      <w:tr>
        <w:trPr>
          <w:trHeight w:val="213"/>
        </w:trPr>
        <w:tc>
          <w:tcPr>
            <w:tcW w:w="20" w:type="dxa"/>
            <w:vAlign w:val="bottom"/>
          </w:tcPr>
          <w:p>
            <w:pPr>
              <w:spacing w:after="0"/>
              <w:rPr>
                <w:sz w:val="18"/>
                <w:szCs w:val="18"/>
                <w:color w:val="auto"/>
              </w:rPr>
            </w:pPr>
          </w:p>
        </w:tc>
        <w:tc>
          <w:tcPr>
            <w:tcW w:w="5640" w:type="dxa"/>
            <w:vAlign w:val="bottom"/>
            <w:gridSpan w:val="4"/>
          </w:tcPr>
          <w:p>
            <w:pPr>
              <w:spacing w:after="0"/>
              <w:rPr>
                <w:sz w:val="20"/>
                <w:szCs w:val="20"/>
                <w:color w:val="auto"/>
              </w:rPr>
            </w:pPr>
            <w:r>
              <w:rPr>
                <w:rFonts w:ascii="Arial" w:cs="Arial" w:eastAsia="Arial" w:hAnsi="Arial"/>
                <w:sz w:val="16"/>
                <w:szCs w:val="16"/>
                <w:color w:val="auto"/>
              </w:rPr>
              <w:t>Brampton, ON Canada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Leased</w:t>
            </w:r>
          </w:p>
        </w:tc>
        <w:tc>
          <w:tcPr>
            <w:tcW w:w="3720" w:type="dxa"/>
            <w:vAlign w:val="bottom"/>
          </w:tcPr>
          <w:p>
            <w:pPr>
              <w:ind w:left="20"/>
              <w:spacing w:after="0"/>
              <w:rPr>
                <w:sz w:val="20"/>
                <w:szCs w:val="20"/>
                <w:color w:val="auto"/>
              </w:rPr>
            </w:pPr>
            <w:r>
              <w:rPr>
                <w:rFonts w:ascii="Arial" w:cs="Arial" w:eastAsia="Arial" w:hAnsi="Arial"/>
                <w:sz w:val="16"/>
                <w:szCs w:val="16"/>
                <w:color w:val="auto"/>
              </w:rPr>
              <w:t>Manufacturing/Warehouse/Administrative</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Monett, MO</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Owned</w:t>
            </w: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Manufacturing/Warehouse/Administrative</w:t>
            </w:r>
          </w:p>
        </w:tc>
      </w:tr>
      <w:tr>
        <w:trPr>
          <w:trHeight w:val="175"/>
        </w:trPr>
        <w:tc>
          <w:tcPr>
            <w:tcW w:w="20" w:type="dxa"/>
            <w:vAlign w:val="bottom"/>
          </w:tcPr>
          <w:p>
            <w:pPr>
              <w:spacing w:after="0"/>
              <w:rPr>
                <w:sz w:val="15"/>
                <w:szCs w:val="15"/>
                <w:color w:val="auto"/>
              </w:rPr>
            </w:pPr>
          </w:p>
        </w:tc>
        <w:tc>
          <w:tcPr>
            <w:tcW w:w="5640" w:type="dxa"/>
            <w:vAlign w:val="bottom"/>
            <w:gridSpan w:val="4"/>
          </w:tcPr>
          <w:p>
            <w:pPr>
              <w:spacing w:after="0" w:line="175" w:lineRule="exact"/>
              <w:rPr>
                <w:sz w:val="20"/>
                <w:szCs w:val="20"/>
                <w:color w:val="auto"/>
              </w:rPr>
            </w:pPr>
            <w:r>
              <w:rPr>
                <w:rFonts w:ascii="Arial" w:cs="Arial" w:eastAsia="Arial" w:hAnsi="Arial"/>
                <w:sz w:val="16"/>
                <w:szCs w:val="16"/>
                <w:i w:val="1"/>
                <w:iCs w:val="1"/>
                <w:color w:val="auto"/>
              </w:rPr>
              <w:t>Architectural Glass segment</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Owatonna, MN</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Owned</w:t>
            </w: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Manufacturing/Administrative</w:t>
            </w:r>
          </w:p>
        </w:tc>
      </w:tr>
      <w:tr>
        <w:trPr>
          <w:trHeight w:val="213"/>
        </w:trPr>
        <w:tc>
          <w:tcPr>
            <w:tcW w:w="20" w:type="dxa"/>
            <w:vAlign w:val="bottom"/>
          </w:tcPr>
          <w:p>
            <w:pPr>
              <w:spacing w:after="0"/>
              <w:rPr>
                <w:sz w:val="18"/>
                <w:szCs w:val="18"/>
                <w:color w:val="auto"/>
              </w:rPr>
            </w:pPr>
          </w:p>
        </w:tc>
        <w:tc>
          <w:tcPr>
            <w:tcW w:w="5640" w:type="dxa"/>
            <w:vAlign w:val="bottom"/>
            <w:gridSpan w:val="4"/>
          </w:tcPr>
          <w:p>
            <w:pPr>
              <w:spacing w:after="0"/>
              <w:rPr>
                <w:sz w:val="20"/>
                <w:szCs w:val="20"/>
                <w:color w:val="auto"/>
              </w:rPr>
            </w:pPr>
            <w:r>
              <w:rPr>
                <w:rFonts w:ascii="Arial" w:cs="Arial" w:eastAsia="Arial" w:hAnsi="Arial"/>
                <w:sz w:val="16"/>
                <w:szCs w:val="16"/>
                <w:color w:val="auto"/>
              </w:rPr>
              <w:t>Statesboro, GA</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Owned</w:t>
            </w:r>
          </w:p>
        </w:tc>
        <w:tc>
          <w:tcPr>
            <w:tcW w:w="3720" w:type="dxa"/>
            <w:vAlign w:val="bottom"/>
          </w:tcPr>
          <w:p>
            <w:pPr>
              <w:ind w:left="20"/>
              <w:spacing w:after="0"/>
              <w:rPr>
                <w:sz w:val="20"/>
                <w:szCs w:val="20"/>
                <w:color w:val="auto"/>
              </w:rPr>
            </w:pPr>
            <w:r>
              <w:rPr>
                <w:rFonts w:ascii="Arial" w:cs="Arial" w:eastAsia="Arial" w:hAnsi="Arial"/>
                <w:sz w:val="16"/>
                <w:szCs w:val="16"/>
                <w:color w:val="auto"/>
              </w:rPr>
              <w:t>Manufacturing/Warehouse</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Dallas, TX</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Leased</w:t>
            </w: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Manufacturing/Warehouse</w:t>
            </w:r>
          </w:p>
        </w:tc>
      </w:tr>
      <w:tr>
        <w:trPr>
          <w:trHeight w:val="273"/>
        </w:trPr>
        <w:tc>
          <w:tcPr>
            <w:tcW w:w="2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Arial" w:cs="Arial" w:eastAsia="Arial" w:hAnsi="Arial"/>
                <w:sz w:val="16"/>
                <w:szCs w:val="16"/>
                <w:color w:val="auto"/>
              </w:rPr>
              <w:t>Nazaré Paulista, Brazil</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85"/>
              </w:rPr>
              <w:t>Owned</w:t>
            </w:r>
            <w:r>
              <w:rPr>
                <w:rFonts w:ascii="Arial" w:cs="Arial" w:eastAsia="Arial" w:hAnsi="Arial"/>
                <w:sz w:val="21"/>
                <w:szCs w:val="21"/>
                <w:color w:val="auto"/>
                <w:w w:val="85"/>
                <w:vertAlign w:val="superscript"/>
              </w:rPr>
              <w:t>(1)</w:t>
            </w:r>
          </w:p>
        </w:tc>
        <w:tc>
          <w:tcPr>
            <w:tcW w:w="3720" w:type="dxa"/>
            <w:vAlign w:val="bottom"/>
          </w:tcPr>
          <w:p>
            <w:pPr>
              <w:ind w:left="20"/>
              <w:spacing w:after="0"/>
              <w:rPr>
                <w:sz w:val="20"/>
                <w:szCs w:val="20"/>
                <w:color w:val="auto"/>
              </w:rPr>
            </w:pPr>
            <w:r>
              <w:rPr>
                <w:rFonts w:ascii="Arial" w:cs="Arial" w:eastAsia="Arial" w:hAnsi="Arial"/>
                <w:sz w:val="16"/>
                <w:szCs w:val="16"/>
                <w:color w:val="auto"/>
              </w:rPr>
              <w:t>Manufacturing/Administrative</w:t>
            </w: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Property Location</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Owned/ Leased</w:t>
            </w:r>
          </w:p>
        </w:tc>
        <w:tc>
          <w:tcPr>
            <w:tcW w:w="120" w:type="dxa"/>
            <w:vAlign w:val="bottom"/>
            <w:tcBorders>
              <w:bottom w:val="single" w:sz="8" w:color="CCEEFF"/>
            </w:tcBorders>
          </w:tcPr>
          <w:p>
            <w:pPr>
              <w:spacing w:after="0"/>
              <w:rPr>
                <w:sz w:val="18"/>
                <w:szCs w:val="18"/>
                <w:color w:val="auto"/>
              </w:rPr>
            </w:pPr>
          </w:p>
        </w:tc>
        <w:tc>
          <w:tcPr>
            <w:tcW w:w="3720" w:type="dxa"/>
            <w:vAlign w:val="bottom"/>
            <w:tcBorders>
              <w:bottom w:val="single" w:sz="8" w:color="auto"/>
            </w:tcBorders>
          </w:tcPr>
          <w:p>
            <w:pPr>
              <w:ind w:left="1540"/>
              <w:spacing w:after="0"/>
              <w:rPr>
                <w:sz w:val="20"/>
                <w:szCs w:val="20"/>
                <w:color w:val="auto"/>
              </w:rPr>
            </w:pPr>
            <w:r>
              <w:rPr>
                <w:rFonts w:ascii="Arial" w:cs="Arial" w:eastAsia="Arial" w:hAnsi="Arial"/>
                <w:sz w:val="16"/>
                <w:szCs w:val="16"/>
                <w:b w:val="1"/>
                <w:bCs w:val="1"/>
                <w:color w:val="auto"/>
              </w:rPr>
              <w:t>Function</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auto"/>
            </w:tcBorders>
            <w:gridSpan w:val="3"/>
            <w:shd w:val="clear" w:color="auto" w:fill="CCEEFF"/>
          </w:tcPr>
          <w:p>
            <w:pPr>
              <w:spacing w:after="0" w:line="172" w:lineRule="exact"/>
              <w:rPr>
                <w:sz w:val="20"/>
                <w:szCs w:val="20"/>
                <w:color w:val="auto"/>
              </w:rPr>
            </w:pPr>
            <w:r>
              <w:rPr>
                <w:rFonts w:ascii="Arial" w:cs="Arial" w:eastAsia="Arial" w:hAnsi="Arial"/>
                <w:sz w:val="16"/>
                <w:szCs w:val="16"/>
                <w:i w:val="1"/>
                <w:iCs w:val="1"/>
                <w:color w:val="auto"/>
                <w:w w:val="90"/>
              </w:rPr>
              <w:t>Architectural Services segment</w:t>
            </w:r>
          </w:p>
        </w:tc>
        <w:tc>
          <w:tcPr>
            <w:tcW w:w="3620" w:type="dxa"/>
            <w:vAlign w:val="bottom"/>
            <w:tcBorders>
              <w:bottom w:val="single" w:sz="8" w:color="CCEEFF"/>
            </w:tcBorders>
            <w:gridSpan w:val="2"/>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72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5640" w:type="dxa"/>
            <w:vAlign w:val="bottom"/>
            <w:gridSpan w:val="5"/>
          </w:tcPr>
          <w:p>
            <w:pPr>
              <w:spacing w:after="0"/>
              <w:rPr>
                <w:sz w:val="20"/>
                <w:szCs w:val="20"/>
                <w:color w:val="auto"/>
              </w:rPr>
            </w:pPr>
            <w:r>
              <w:rPr>
                <w:rFonts w:ascii="Arial" w:cs="Arial" w:eastAsia="Arial" w:hAnsi="Arial"/>
                <w:sz w:val="16"/>
                <w:szCs w:val="16"/>
                <w:color w:val="auto"/>
              </w:rPr>
              <w:t>Minneapolis, MN</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Leased</w:t>
            </w:r>
          </w:p>
        </w:tc>
        <w:tc>
          <w:tcPr>
            <w:tcW w:w="3720" w:type="dxa"/>
            <w:vAlign w:val="bottom"/>
          </w:tcPr>
          <w:p>
            <w:pPr>
              <w:ind w:left="20"/>
              <w:spacing w:after="0"/>
              <w:rPr>
                <w:sz w:val="20"/>
                <w:szCs w:val="20"/>
                <w:color w:val="auto"/>
              </w:rPr>
            </w:pPr>
            <w:r>
              <w:rPr>
                <w:rFonts w:ascii="Arial" w:cs="Arial" w:eastAsia="Arial" w:hAnsi="Arial"/>
                <w:sz w:val="16"/>
                <w:szCs w:val="16"/>
                <w:color w:val="auto"/>
              </w:rPr>
              <w:t>Administrative</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West Chester, OH</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Leased</w:t>
            </w: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t>
            </w:r>
          </w:p>
        </w:tc>
      </w:tr>
      <w:tr>
        <w:trPr>
          <w:trHeight w:val="213"/>
        </w:trPr>
        <w:tc>
          <w:tcPr>
            <w:tcW w:w="20" w:type="dxa"/>
            <w:vAlign w:val="bottom"/>
          </w:tcPr>
          <w:p>
            <w:pPr>
              <w:spacing w:after="0"/>
              <w:rPr>
                <w:sz w:val="18"/>
                <w:szCs w:val="18"/>
                <w:color w:val="auto"/>
              </w:rPr>
            </w:pPr>
          </w:p>
        </w:tc>
        <w:tc>
          <w:tcPr>
            <w:tcW w:w="5640" w:type="dxa"/>
            <w:vAlign w:val="bottom"/>
            <w:gridSpan w:val="5"/>
          </w:tcPr>
          <w:p>
            <w:pPr>
              <w:spacing w:after="0"/>
              <w:rPr>
                <w:sz w:val="20"/>
                <w:szCs w:val="20"/>
                <w:color w:val="auto"/>
              </w:rPr>
            </w:pPr>
            <w:r>
              <w:rPr>
                <w:rFonts w:ascii="Arial" w:cs="Arial" w:eastAsia="Arial" w:hAnsi="Arial"/>
                <w:sz w:val="16"/>
                <w:szCs w:val="16"/>
                <w:color w:val="auto"/>
              </w:rPr>
              <w:t>Mesquite, TX</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Leased</w:t>
            </w:r>
          </w:p>
        </w:tc>
        <w:tc>
          <w:tcPr>
            <w:tcW w:w="3720" w:type="dxa"/>
            <w:vAlign w:val="bottom"/>
          </w:tcPr>
          <w:p>
            <w:pPr>
              <w:ind w:left="20"/>
              <w:spacing w:after="0"/>
              <w:rPr>
                <w:sz w:val="20"/>
                <w:szCs w:val="20"/>
                <w:color w:val="auto"/>
              </w:rPr>
            </w:pPr>
            <w:r>
              <w:rPr>
                <w:rFonts w:ascii="Arial" w:cs="Arial" w:eastAsia="Arial" w:hAnsi="Arial"/>
                <w:sz w:val="16"/>
                <w:szCs w:val="16"/>
                <w:color w:val="auto"/>
              </w:rPr>
              <w:t>Manufacturing</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Glen Burnie, MD</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Leased</w:t>
            </w: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w:t>
            </w:r>
          </w:p>
        </w:tc>
      </w:tr>
      <w:tr>
        <w:trPr>
          <w:trHeight w:val="213"/>
        </w:trPr>
        <w:tc>
          <w:tcPr>
            <w:tcW w:w="20" w:type="dxa"/>
            <w:vAlign w:val="bottom"/>
          </w:tcPr>
          <w:p>
            <w:pPr>
              <w:spacing w:after="0"/>
              <w:rPr>
                <w:sz w:val="18"/>
                <w:szCs w:val="18"/>
                <w:color w:val="auto"/>
              </w:rPr>
            </w:pPr>
          </w:p>
        </w:tc>
        <w:tc>
          <w:tcPr>
            <w:tcW w:w="5640" w:type="dxa"/>
            <w:vAlign w:val="bottom"/>
            <w:gridSpan w:val="5"/>
          </w:tcPr>
          <w:p>
            <w:pPr>
              <w:spacing w:after="0"/>
              <w:rPr>
                <w:sz w:val="20"/>
                <w:szCs w:val="20"/>
                <w:color w:val="auto"/>
              </w:rPr>
            </w:pPr>
            <w:r>
              <w:rPr>
                <w:rFonts w:ascii="Arial" w:cs="Arial" w:eastAsia="Arial" w:hAnsi="Arial"/>
                <w:sz w:val="16"/>
                <w:szCs w:val="16"/>
                <w:color w:val="auto"/>
              </w:rPr>
              <w:t>Orlando, FL</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Leased</w:t>
            </w:r>
          </w:p>
        </w:tc>
        <w:tc>
          <w:tcPr>
            <w:tcW w:w="3720" w:type="dxa"/>
            <w:vAlign w:val="bottom"/>
          </w:tcPr>
          <w:p>
            <w:pPr>
              <w:ind w:left="20"/>
              <w:spacing w:after="0"/>
              <w:rPr>
                <w:sz w:val="20"/>
                <w:szCs w:val="20"/>
                <w:color w:val="auto"/>
              </w:rPr>
            </w:pPr>
            <w:r>
              <w:rPr>
                <w:rFonts w:ascii="Arial" w:cs="Arial" w:eastAsia="Arial" w:hAnsi="Arial"/>
                <w:sz w:val="16"/>
                <w:szCs w:val="16"/>
                <w:color w:val="auto"/>
              </w:rPr>
              <w:t>Manufacturing</w:t>
            </w:r>
          </w:p>
        </w:tc>
      </w:tr>
      <w:tr>
        <w:trPr>
          <w:trHeight w:val="199"/>
        </w:trPr>
        <w:tc>
          <w:tcPr>
            <w:tcW w:w="20" w:type="dxa"/>
            <w:vAlign w:val="bottom"/>
            <w:shd w:val="clear" w:color="auto" w:fill="CCEEFF"/>
          </w:tcPr>
          <w:p>
            <w:pPr>
              <w:spacing w:after="0"/>
              <w:rPr>
                <w:sz w:val="17"/>
                <w:szCs w:val="17"/>
                <w:color w:val="auto"/>
              </w:rPr>
            </w:pPr>
          </w:p>
        </w:tc>
        <w:tc>
          <w:tcPr>
            <w:tcW w:w="5640" w:type="dxa"/>
            <w:vAlign w:val="bottom"/>
            <w:gridSpan w:val="5"/>
            <w:shd w:val="clear" w:color="auto" w:fill="CCEEFF"/>
          </w:tcPr>
          <w:p>
            <w:pPr>
              <w:spacing w:after="0" w:line="178" w:lineRule="exact"/>
              <w:rPr>
                <w:sz w:val="20"/>
                <w:szCs w:val="20"/>
                <w:color w:val="auto"/>
              </w:rPr>
            </w:pPr>
            <w:r>
              <w:rPr>
                <w:rFonts w:ascii="Arial" w:cs="Arial" w:eastAsia="Arial" w:hAnsi="Arial"/>
                <w:sz w:val="16"/>
                <w:szCs w:val="16"/>
                <w:i w:val="1"/>
                <w:iCs w:val="1"/>
                <w:color w:val="auto"/>
              </w:rPr>
              <w:t>LSO segment</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McCook, IL</w:t>
            </w:r>
          </w:p>
        </w:tc>
        <w:tc>
          <w:tcPr>
            <w:tcW w:w="4780" w:type="dxa"/>
            <w:vAlign w:val="bottom"/>
            <w:tcBorders>
              <w:top w:val="single" w:sz="8" w:color="CCEEFF"/>
            </w:tcBorders>
            <w:gridSpan w:val="3"/>
          </w:tcPr>
          <w:p>
            <w:pPr>
              <w:spacing w:after="0"/>
              <w:rPr>
                <w:sz w:val="18"/>
                <w:szCs w:val="18"/>
                <w:color w:val="auto"/>
              </w:rPr>
            </w:pPr>
          </w:p>
        </w:tc>
        <w:tc>
          <w:tcPr>
            <w:tcW w:w="18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87"/>
              </w:rPr>
              <w:t>Leased</w:t>
            </w:r>
          </w:p>
        </w:tc>
        <w:tc>
          <w:tcPr>
            <w:tcW w:w="37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Manufacturing/Warehouse/Administrative</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Faribault, MN</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Owned</w:t>
            </w: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Manufacturing/Administrative</w:t>
            </w:r>
          </w:p>
        </w:tc>
      </w:tr>
      <w:tr>
        <w:trPr>
          <w:trHeight w:val="175"/>
        </w:trPr>
        <w:tc>
          <w:tcPr>
            <w:tcW w:w="20" w:type="dxa"/>
            <w:vAlign w:val="bottom"/>
          </w:tcPr>
          <w:p>
            <w:pPr>
              <w:spacing w:after="0"/>
              <w:rPr>
                <w:sz w:val="15"/>
                <w:szCs w:val="15"/>
                <w:color w:val="auto"/>
              </w:rPr>
            </w:pPr>
          </w:p>
        </w:tc>
        <w:tc>
          <w:tcPr>
            <w:tcW w:w="5640" w:type="dxa"/>
            <w:vAlign w:val="bottom"/>
            <w:gridSpan w:val="5"/>
          </w:tcPr>
          <w:p>
            <w:pPr>
              <w:spacing w:after="0" w:line="175" w:lineRule="exact"/>
              <w:rPr>
                <w:sz w:val="20"/>
                <w:szCs w:val="20"/>
                <w:color w:val="auto"/>
              </w:rPr>
            </w:pPr>
            <w:r>
              <w:rPr>
                <w:rFonts w:ascii="Arial" w:cs="Arial" w:eastAsia="Arial" w:hAnsi="Arial"/>
                <w:sz w:val="16"/>
                <w:szCs w:val="16"/>
                <w:i w:val="1"/>
                <w:iCs w:val="1"/>
                <w:color w:val="auto"/>
              </w:rPr>
              <w:t>Other</w:t>
            </w: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Minneapolis, MN</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Leased</w:t>
            </w: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r>
    </w:tbl>
    <w:p>
      <w:pPr>
        <w:spacing w:after="0" w:line="62" w:lineRule="exact"/>
        <w:rPr>
          <w:sz w:val="20"/>
          <w:szCs w:val="20"/>
          <w:color w:val="auto"/>
        </w:rPr>
      </w:pPr>
    </w:p>
    <w:p>
      <w:pPr>
        <w:ind w:left="320" w:hanging="312"/>
        <w:spacing w:after="0"/>
        <w:tabs>
          <w:tab w:leader="none" w:pos="320" w:val="left"/>
        </w:tabs>
        <w:numPr>
          <w:ilvl w:val="0"/>
          <w:numId w:val="8"/>
        </w:numPr>
        <w:rPr>
          <w:rFonts w:ascii="Arial" w:cs="Arial" w:eastAsia="Arial" w:hAnsi="Arial"/>
          <w:sz w:val="9"/>
          <w:szCs w:val="9"/>
          <w:color w:val="auto"/>
        </w:rPr>
      </w:pPr>
      <w:r>
        <w:rPr>
          <w:rFonts w:ascii="Arial" w:cs="Arial" w:eastAsia="Arial" w:hAnsi="Arial"/>
          <w:sz w:val="14"/>
          <w:szCs w:val="14"/>
          <w:color w:val="auto"/>
        </w:rPr>
        <w:t>This is an owned facility; however, the land is leased from the city.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From time to time,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Apogee common stock is traded on the NASDAQ Stock Market under the ticker symbol "APOG". As of April 7, 2021, there were 1,136 shareholders of record and 9,112 shareholders for whom securities firms acted as nominees.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Quarterly, the Board of Directors evaluates declaring dividends based on operating results, available funds and the Company's financial condition. Cash dividends have been paid each quarter since 1974. The chart below shows quarterly and annual cumulative cash dividends per share for the past three fiscal years.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3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6"/>
                <w:szCs w:val="16"/>
                <w:b w:val="1"/>
                <w:bCs w:val="1"/>
                <w:color w:val="auto"/>
              </w:rPr>
              <w:t>First</w:t>
            </w:r>
          </w:p>
        </w:tc>
        <w:tc>
          <w:tcPr>
            <w:tcW w:w="28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30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Third</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Fourth</w:t>
            </w: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0.1875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0.7625</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0.1750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0.1750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0.1875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0.7125</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0.6475</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Company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made by the Company of its own stock during the fourth quarter of fiscal 2021:</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of</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Shares that May Yet</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4"/>
                <w:szCs w:val="14"/>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Average Price Paid</w:t>
            </w:r>
          </w:p>
        </w:tc>
        <w:tc>
          <w:tcPr>
            <w:tcW w:w="17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Part of Publicly</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Be Purchased under</w:t>
            </w:r>
          </w:p>
        </w:tc>
        <w:tc>
          <w:tcPr>
            <w:tcW w:w="0" w:type="dxa"/>
            <w:vAlign w:val="bottom"/>
          </w:tcPr>
          <w:p>
            <w:pPr>
              <w:spacing w:after="0"/>
              <w:rPr>
                <w:sz w:val="1"/>
                <w:szCs w:val="1"/>
                <w:color w:val="auto"/>
              </w:rPr>
            </w:pPr>
          </w:p>
        </w:tc>
      </w:tr>
      <w:tr>
        <w:trPr>
          <w:trHeight w:val="162"/>
        </w:trPr>
        <w:tc>
          <w:tcPr>
            <w:tcW w:w="4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7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Announced Plans or</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the Plans or Programs</w:t>
            </w:r>
          </w:p>
        </w:tc>
        <w:tc>
          <w:tcPr>
            <w:tcW w:w="0" w:type="dxa"/>
            <w:vAlign w:val="bottom"/>
          </w:tcPr>
          <w:p>
            <w:pPr>
              <w:spacing w:after="0"/>
              <w:rPr>
                <w:sz w:val="1"/>
                <w:szCs w:val="1"/>
                <w:color w:val="auto"/>
              </w:rPr>
            </w:pPr>
          </w:p>
        </w:tc>
      </w:tr>
      <w:tr>
        <w:trPr>
          <w:trHeight w:val="213"/>
        </w:trPr>
        <w:tc>
          <w:tcPr>
            <w:tcW w:w="4400" w:type="dxa"/>
            <w:vAlign w:val="bottom"/>
            <w:gridSpan w:val="2"/>
            <w:vMerge w:val="continue"/>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 Purchased (a)</w:t>
            </w: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per Share</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Programs (b)</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7"/>
              </w:rPr>
              <w:t>(b)</w:t>
            </w:r>
          </w:p>
        </w:tc>
        <w:tc>
          <w:tcPr>
            <w:tcW w:w="0" w:type="dxa"/>
            <w:vAlign w:val="bottom"/>
          </w:tcPr>
          <w:p>
            <w:pPr>
              <w:spacing w:after="0"/>
              <w:rPr>
                <w:sz w:val="1"/>
                <w:szCs w:val="1"/>
                <w:color w:val="auto"/>
              </w:rPr>
            </w:pPr>
          </w:p>
        </w:tc>
      </w:tr>
      <w:tr>
        <w:trPr>
          <w:trHeight w:val="226"/>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29, 2020 through December 26, 2020</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1,443,059</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December 27, 2020 through January 23, 2021</w:t>
            </w:r>
          </w:p>
        </w:tc>
        <w:tc>
          <w:tcPr>
            <w:tcW w:w="1620" w:type="dxa"/>
            <w:vAlign w:val="bottom"/>
          </w:tcPr>
          <w:p>
            <w:pPr>
              <w:jc w:val="right"/>
              <w:spacing w:after="0"/>
              <w:rPr>
                <w:sz w:val="20"/>
                <w:szCs w:val="20"/>
                <w:color w:val="auto"/>
              </w:rPr>
            </w:pPr>
            <w:r>
              <w:rPr>
                <w:rFonts w:ascii="Arial" w:cs="Arial" w:eastAsia="Arial" w:hAnsi="Arial"/>
                <w:sz w:val="18"/>
                <w:szCs w:val="18"/>
                <w:color w:val="auto"/>
              </w:rPr>
              <w:t>167,567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160,139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1,282,920</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24, 2021 through February 27, 2021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197,680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165,536</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1,117,384</w:t>
            </w:r>
          </w:p>
        </w:tc>
        <w:tc>
          <w:tcPr>
            <w:tcW w:w="0" w:type="dxa"/>
            <w:vAlign w:val="bottom"/>
          </w:tcPr>
          <w:p>
            <w:pPr>
              <w:spacing w:after="0"/>
              <w:rPr>
                <w:sz w:val="1"/>
                <w:szCs w:val="1"/>
                <w:color w:val="auto"/>
              </w:rPr>
            </w:pPr>
          </w:p>
        </w:tc>
      </w:tr>
      <w:tr>
        <w:trPr>
          <w:trHeight w:val="223"/>
        </w:trPr>
        <w:tc>
          <w:tcPr>
            <w:tcW w:w="44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365,247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325,675</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1,117,384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80" w:hanging="10"/>
        <w:spacing w:after="0" w:line="275" w:lineRule="auto"/>
        <w:tabs>
          <w:tab w:leader="none" w:pos="41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shares in this column represent the total number of shares that were repurchased by us pursuant to our publicly announced repurchase program, plus the shares surrendered to us by plan participants to satisfy withholding tax obligations related to share-based compensation.</w:t>
      </w:r>
    </w:p>
    <w:p>
      <w:pPr>
        <w:spacing w:after="0" w:line="199" w:lineRule="exact"/>
        <w:rPr>
          <w:rFonts w:ascii="Arial" w:cs="Arial" w:eastAsia="Arial" w:hAnsi="Arial"/>
          <w:sz w:val="16"/>
          <w:szCs w:val="16"/>
          <w:color w:val="auto"/>
        </w:rPr>
      </w:pPr>
    </w:p>
    <w:p>
      <w:pPr>
        <w:jc w:val="both"/>
        <w:ind w:left="180" w:hanging="10"/>
        <w:spacing w:after="0" w:line="286" w:lineRule="auto"/>
        <w:tabs>
          <w:tab w:leader="none" w:pos="43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and January 14, 2020; and by 2,000,000 shares, announced on October 3, 2018. The repurchase program does not have an expiration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graph below compares the cumulative total shareholder return on a $100 investment in our common stock for the last five fiscal years with the cumulative total return on a $100 investment in the Russell 2000 Index, a broad equity market index, and the Standard &amp; Poor's Small Cap 600 Growth Index, an index that includes companies of similar market capitalization. The graph assumes an investment at the close of trading on February 26, 2016, and also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-5080</wp:posOffset>
            </wp:positionV>
            <wp:extent cx="4509135" cy="3257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0913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22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Apogee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S&amp;P Small Cap 600 Growth Index</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217.10</w:t>
            </w: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selected the Standard &amp; Poor's Small Cap 600 Growth Index as an index of companies with similar market capitalization because we are unable to identify a peer group of companies similar to us in size and scope of business activities or a widely recognized published industry index that accurately reflects our diverse business activities. Most of our direct competitors in our various business units are either privately owned or divisions of larger, publicly owned companies.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should be read in conjunction with Management's Discussion and Analysis of Financial Condition and Results of Operations, included in Item 7 of this Annual Report on Form 10-K, and our consolidated financial statements and related notes, included in Item 8 of this Annual Report on Form 10-K.</w:t>
      </w:r>
    </w:p>
    <w:p>
      <w:pPr>
        <w:spacing w:after="0" w:line="10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Fiscal Year</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3"/>
        </w:trPr>
        <w:tc>
          <w:tcPr>
            <w:tcW w:w="3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per share data and percentages)</w:t>
            </w:r>
          </w:p>
        </w:tc>
        <w:tc>
          <w:tcPr>
            <w:tcW w:w="260" w:type="dxa"/>
            <w:vAlign w:val="bottom"/>
          </w:tcPr>
          <w:p>
            <w:pPr>
              <w:spacing w:after="0"/>
              <w:rPr>
                <w:sz w:val="18"/>
                <w:szCs w:val="18"/>
                <w:color w:val="auto"/>
              </w:rPr>
            </w:pPr>
          </w:p>
        </w:tc>
        <w:tc>
          <w:tcPr>
            <w:tcW w:w="1080" w:type="dxa"/>
            <w:vAlign w:val="bottom"/>
          </w:tcPr>
          <w:p>
            <w:pPr>
              <w:jc w:val="right"/>
              <w:ind w:right="379"/>
              <w:spacing w:after="0" w:line="213" w:lineRule="exact"/>
              <w:rPr>
                <w:sz w:val="20"/>
                <w:szCs w:val="20"/>
                <w:color w:val="auto"/>
              </w:rPr>
            </w:pPr>
            <w:r>
              <w:rPr>
                <w:rFonts w:ascii="Arial" w:cs="Arial" w:eastAsia="Arial" w:hAnsi="Arial"/>
                <w:sz w:val="16"/>
                <w:szCs w:val="16"/>
                <w:b w:val="1"/>
                <w:bCs w:val="1"/>
                <w:color w:val="auto"/>
              </w:rPr>
              <w:t>2021</w:t>
            </w:r>
            <w:r>
              <w:rPr>
                <w:rFonts w:ascii="Arial" w:cs="Arial" w:eastAsia="Arial" w:hAnsi="Arial"/>
                <w:sz w:val="21"/>
                <w:szCs w:val="21"/>
                <w:b w:val="1"/>
                <w:bCs w:val="1"/>
                <w:color w:val="auto"/>
                <w:vertAlign w:val="superscript"/>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79"/>
              <w:spacing w:after="0" w:line="213" w:lineRule="exact"/>
              <w:rPr>
                <w:sz w:val="20"/>
                <w:szCs w:val="20"/>
                <w:color w:val="auto"/>
              </w:rPr>
            </w:pPr>
            <w:r>
              <w:rPr>
                <w:rFonts w:ascii="Arial" w:cs="Arial" w:eastAsia="Arial" w:hAnsi="Arial"/>
                <w:sz w:val="16"/>
                <w:szCs w:val="16"/>
                <w:b w:val="1"/>
                <w:bCs w:val="1"/>
                <w:color w:val="auto"/>
              </w:rPr>
              <w:t>2018</w:t>
            </w:r>
            <w:r>
              <w:rPr>
                <w:rFonts w:ascii="Arial" w:cs="Arial" w:eastAsia="Arial" w:hAnsi="Arial"/>
                <w:sz w:val="21"/>
                <w:szCs w:val="21"/>
                <w:b w:val="1"/>
                <w:bCs w:val="1"/>
                <w:color w:val="auto"/>
                <w:vertAlign w:val="superscript"/>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22"/>
              <w:spacing w:after="0" w:line="212" w:lineRule="exact"/>
              <w:rPr>
                <w:sz w:val="20"/>
                <w:szCs w:val="20"/>
                <w:color w:val="auto"/>
              </w:rPr>
            </w:pPr>
            <w:r>
              <w:rPr>
                <w:rFonts w:ascii="Arial" w:cs="Arial" w:eastAsia="Arial" w:hAnsi="Arial"/>
                <w:sz w:val="24"/>
                <w:szCs w:val="24"/>
                <w:b w:val="1"/>
                <w:bCs w:val="1"/>
                <w:color w:val="auto"/>
                <w:vertAlign w:val="subscript"/>
              </w:rPr>
              <w:t>2017</w:t>
            </w:r>
            <w:r>
              <w:rPr>
                <w:rFonts w:ascii="Arial" w:cs="Arial" w:eastAsia="Arial" w:hAnsi="Arial"/>
                <w:sz w:val="9"/>
                <w:szCs w:val="9"/>
                <w:b w:val="1"/>
                <w:bCs w:val="1"/>
                <w:color w:val="auto"/>
              </w:rPr>
              <w:t>(3)(4)</w:t>
            </w:r>
          </w:p>
        </w:tc>
      </w:tr>
      <w:tr>
        <w:trPr>
          <w:trHeight w:val="209"/>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Results of Operations Data</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3"/>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1,230,774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1,387,439</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1,402,637</w:t>
            </w:r>
          </w:p>
        </w:tc>
        <w:tc>
          <w:tcPr>
            <w:tcW w:w="1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1,326,173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1,114,533</w:t>
            </w:r>
          </w:p>
        </w:tc>
      </w:tr>
      <w:tr>
        <w:trPr>
          <w:trHeight w:val="21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275,689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318,959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293,565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333,518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292,023</w:t>
            </w:r>
          </w:p>
        </w:tc>
      </w:tr>
      <w:tr>
        <w:trPr>
          <w:trHeight w:val="213"/>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25,527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87,848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67,284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114,284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122,225</w:t>
            </w:r>
          </w:p>
        </w:tc>
      </w:tr>
      <w:tr>
        <w:trPr>
          <w:trHeight w:val="21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61,914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45,694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79,488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85,790</w:t>
            </w:r>
          </w:p>
        </w:tc>
      </w:tr>
      <w:tr>
        <w:trPr>
          <w:trHeight w:val="213"/>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Earnings per share - basic</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2.98</w:t>
            </w:r>
          </w:p>
        </w:tc>
      </w:tr>
      <w:tr>
        <w:trPr>
          <w:trHeight w:val="21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per share - diluted</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2.97</w:t>
            </w:r>
          </w:p>
        </w:tc>
      </w:tr>
      <w:tr>
        <w:trPr>
          <w:trHeight w:val="213"/>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Cash dividends per share</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0.7625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0.7125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0.6475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0.5775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0.5150</w:t>
            </w:r>
          </w:p>
        </w:tc>
      </w:tr>
      <w:tr>
        <w:trPr>
          <w:trHeight w:val="21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0"/>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1,015,099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1,128,991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1,068,168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1,022,320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784,658</w:t>
            </w:r>
          </w:p>
        </w:tc>
      </w:tr>
      <w:tr>
        <w:trPr>
          <w:trHeight w:val="21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217,900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245,724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215,860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65,400</w:t>
            </w:r>
          </w:p>
        </w:tc>
      </w:tr>
      <w:tr>
        <w:trPr>
          <w:trHeight w:val="213"/>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Shareholders' equity</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492,745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516,778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496,317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511,355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color w:val="auto"/>
              </w:rPr>
              <w:t>470,577</w:t>
            </w:r>
          </w:p>
        </w:tc>
      </w:tr>
      <w:tr>
        <w:trPr>
          <w:trHeight w:val="21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Gross profit as a percentage of sales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26.2 %</w:t>
            </w:r>
          </w:p>
        </w:tc>
      </w:tr>
      <w:tr>
        <w:trPr>
          <w:trHeight w:val="21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as a percentage of sales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73"/>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Return on average invested capital</w:t>
            </w:r>
            <w:r>
              <w:rPr>
                <w:rFonts w:ascii="Arial" w:cs="Arial" w:eastAsia="Arial" w:hAnsi="Arial"/>
                <w:sz w:val="21"/>
                <w:szCs w:val="21"/>
                <w:color w:val="auto"/>
                <w:vertAlign w:val="superscript"/>
              </w:rPr>
              <w:t>(5)</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14.3 %</w:t>
            </w:r>
          </w:p>
        </w:tc>
      </w:tr>
    </w:tbl>
    <w:p>
      <w:pPr>
        <w:ind w:left="640" w:hanging="308"/>
        <w:spacing w:after="0" w:line="216" w:lineRule="auto"/>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$70.1 million impairment expense on goodwill and indefinite-lived intangible assets.</w:t>
      </w:r>
    </w:p>
    <w:p>
      <w:pPr>
        <w:ind w:left="640" w:hanging="308"/>
        <w:spacing w:after="0" w:line="187" w:lineRule="auto"/>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the acquisition of EFCO in June 2017.</w:t>
      </w:r>
    </w:p>
    <w:p>
      <w:pPr>
        <w:ind w:left="640" w:hanging="308"/>
        <w:spacing w:after="0" w:line="187" w:lineRule="auto"/>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Fiscal 2017 contained 53 weeks. Each of the other periods presented contained 52 weeks.</w:t>
      </w:r>
    </w:p>
    <w:p>
      <w:pPr>
        <w:ind w:left="640" w:hanging="308"/>
        <w:spacing w:after="0" w:line="187" w:lineRule="auto"/>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the acquisition of Sotawall in December 2016.</w:t>
      </w:r>
    </w:p>
    <w:p>
      <w:pPr>
        <w:jc w:val="both"/>
        <w:ind w:left="660" w:hanging="328"/>
        <w:spacing w:after="0" w:line="229" w:lineRule="auto"/>
        <w:tabs>
          <w:tab w:leader="none" w:pos="64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Return on average invested capital is a non-GAAP financial measure that we define as [operating income x 0.75]/average invested capital. We believe this measure is useful in understanding operational performance over time. This non-GAAP measure should be viewed in addition to, and not as an alternative to, the reported financial results of the company prepared in accordance with GAAP. Other companies may calculate this measure differently from us, thereby limiting the usefulness of the measure for comparison with others.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Annual Report on Form 10-K, including Management's Discussion and Analysis,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in this Form 10-K. From time to time, we also may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0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in this Form 10-K, all of which are incorporated by reference into this Item 7.</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are a leader in the design and development of value-added glass and metal products and services. Our four reporting segments are: Architectural Framing Systems, Architectural Glass, Architectural Services and Large-Scale Optical Technologies (LSO).</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2021, we responded quickly to a challenging environment for our business, driven by the evolving and ongoing impacts of the COVID-19 pandemic and slowness in certain of our end markets. We adapted our business operations so we could continue to serve customers, while keeping the health and safety of our employees a top priority. We focused on driving improvements throughout our business, while using this year to begin positioning the company for sustainable growth and improved profitability in the future. In particular, we paid down a significant percentage of our long-term debt and strengthened our financial position, giving us better financial flexibility going forward. We also made progress on actions to improve our overall cost structure.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Fiscal 2021 summary of results:</w:t>
      </w:r>
    </w:p>
    <w:p>
      <w:pPr>
        <w:spacing w:after="0" w:line="23" w:lineRule="exact"/>
        <w:rPr>
          <w:sz w:val="20"/>
          <w:szCs w:val="20"/>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net sales were $1.2 billion, a decrease of 11 percent over fiscal 2020.</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income was $25.5 million, a decrease of 71 percent from $87.8 million in the prior year.</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Diluted EPS was $0.59, compared to $2.32 in the prior year, a decrease of 75 percent.</w:t>
      </w:r>
    </w:p>
    <w:p>
      <w:pPr>
        <w:spacing w:after="0" w:line="9" w:lineRule="exact"/>
        <w:rPr>
          <w:rFonts w:ascii="Arial" w:cs="Arial" w:eastAsia="Arial" w:hAnsi="Arial"/>
          <w:sz w:val="18"/>
          <w:szCs w:val="18"/>
          <w:color w:val="auto"/>
        </w:rPr>
      </w:pPr>
    </w:p>
    <w:p>
      <w:pPr>
        <w:ind w:left="460" w:right="20" w:hanging="331"/>
        <w:spacing w:after="0" w:line="290" w:lineRule="auto"/>
        <w:tabs>
          <w:tab w:leader="none" w:pos="4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operating income was $87.1 million, a decrease of 3 percent compared to the prior year, and adjusted diluted EPS was $2.40 in fiscal 2021, an increase of 1 percent compared to the prior year. Refer to the table below for a reconciliation to GAAP of these adjusted amounts.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Adjusted operating income and adjusted earnings per diluted share (adjusted diluted EPS) are supplemental non-GAAP financial measures provided by the Company to assess performance on a more comparable basis from period-to-period by excluding amounts that management does not consider part of core operating results. Management uses these non-GAAP measures to evaluate the Company’s historical and prospective financial performance, measure operational profitability on a consistent basis, and provide enhanced transparency to the investment community. These non-GAAP measures should be viewed in addition to, and not as an alternative to, the reported financial results of the company prepared in accordance with GAAP. Other companies may calculate these measures differently, thereby limiting the usefulness of the measures for comparison with other companies.</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340" w:type="dxa"/>
            <w:vAlign w:val="bottom"/>
            <w:gridSpan w:val="8"/>
          </w:tcPr>
          <w:p>
            <w:pPr>
              <w:jc w:val="center"/>
              <w:ind w:right="680"/>
              <w:spacing w:after="0"/>
              <w:rPr>
                <w:sz w:val="20"/>
                <w:szCs w:val="20"/>
                <w:color w:val="auto"/>
              </w:rPr>
            </w:pPr>
            <w:r>
              <w:rPr>
                <w:rFonts w:ascii="Arial" w:cs="Arial" w:eastAsia="Arial" w:hAnsi="Arial"/>
                <w:sz w:val="16"/>
                <w:szCs w:val="16"/>
                <w:b w:val="1"/>
                <w:bCs w:val="1"/>
                <w:color w:val="auto"/>
                <w:w w:val="93"/>
              </w:rPr>
              <w:t>Reconciliation of Non-GAAP Financial Information</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9720" w:type="dxa"/>
            <w:vAlign w:val="bottom"/>
            <w:gridSpan w:val="12"/>
          </w:tcPr>
          <w:p>
            <w:pPr>
              <w:jc w:val="center"/>
              <w:ind w:left="1396"/>
              <w:spacing w:after="0"/>
              <w:rPr>
                <w:sz w:val="20"/>
                <w:szCs w:val="20"/>
                <w:color w:val="auto"/>
              </w:rPr>
            </w:pPr>
            <w:r>
              <w:rPr>
                <w:rFonts w:ascii="Arial" w:cs="Arial" w:eastAsia="Arial" w:hAnsi="Arial"/>
                <w:sz w:val="16"/>
                <w:szCs w:val="16"/>
                <w:b w:val="1"/>
                <w:bCs w:val="1"/>
                <w:color w:val="auto"/>
                <w:w w:val="92"/>
              </w:rPr>
              <w:t>Adjusted Operating Income and Adjusted Net Earnings per Diluted Common Share</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6"/>
                <w:szCs w:val="16"/>
                <w:color w:val="auto"/>
                <w:w w:val="93"/>
              </w:rPr>
              <w:t>(Unaudited)</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6"/>
                <w:szCs w:val="16"/>
                <w:b w:val="1"/>
                <w:bCs w:val="1"/>
                <w:color w:val="auto"/>
              </w:rPr>
              <w:t>Diluted per share amounts</w:t>
            </w:r>
          </w:p>
        </w:tc>
      </w:tr>
      <w:tr>
        <w:trPr>
          <w:trHeight w:val="213"/>
        </w:trPr>
        <w:tc>
          <w:tcPr>
            <w:tcW w:w="3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5"/>
          </w:tcPr>
          <w:p>
            <w:pPr>
              <w:ind w:left="1040"/>
              <w:spacing w:after="0"/>
              <w:rPr>
                <w:sz w:val="20"/>
                <w:szCs w:val="20"/>
                <w:color w:val="auto"/>
              </w:rPr>
            </w:pPr>
            <w:r>
              <w:rPr>
                <w:rFonts w:ascii="Arial" w:cs="Arial" w:eastAsia="Arial" w:hAnsi="Arial"/>
                <w:sz w:val="16"/>
                <w:szCs w:val="16"/>
                <w:b w:val="1"/>
                <w:bCs w:val="1"/>
                <w:color w:val="auto"/>
              </w:rPr>
              <w:t>Year-ended</w:t>
            </w:r>
          </w:p>
        </w:tc>
        <w:tc>
          <w:tcPr>
            <w:tcW w:w="120" w:type="dxa"/>
            <w:vAlign w:val="bottom"/>
          </w:tcPr>
          <w:p>
            <w:pPr>
              <w:spacing w:after="0"/>
              <w:rPr>
                <w:sz w:val="18"/>
                <w:szCs w:val="18"/>
                <w:color w:val="auto"/>
              </w:rPr>
            </w:pPr>
          </w:p>
        </w:tc>
        <w:tc>
          <w:tcPr>
            <w:tcW w:w="2960" w:type="dxa"/>
            <w:vAlign w:val="bottom"/>
            <w:gridSpan w:val="4"/>
          </w:tcPr>
          <w:p>
            <w:pPr>
              <w:jc w:val="right"/>
              <w:ind w:right="1055"/>
              <w:spacing w:after="0"/>
              <w:rPr>
                <w:sz w:val="20"/>
                <w:szCs w:val="20"/>
                <w:color w:val="auto"/>
              </w:rPr>
            </w:pPr>
            <w:r>
              <w:rPr>
                <w:rFonts w:ascii="Arial" w:cs="Arial" w:eastAsia="Arial" w:hAnsi="Arial"/>
                <w:sz w:val="16"/>
                <w:szCs w:val="16"/>
                <w:b w:val="1"/>
                <w:bCs w:val="1"/>
                <w:color w:val="auto"/>
              </w:rPr>
              <w:t>Year-ended</w:t>
            </w:r>
          </w:p>
        </w:tc>
      </w:tr>
      <w:tr>
        <w:trPr>
          <w:trHeight w:val="209"/>
        </w:trPr>
        <w:tc>
          <w:tcPr>
            <w:tcW w:w="3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3"/>
              </w:rPr>
              <w:t>February 29, 2020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3"/>
              </w:rPr>
              <w:t>February 29, 2020</w:t>
            </w:r>
          </w:p>
        </w:tc>
      </w:tr>
      <w:tr>
        <w:trPr>
          <w:trHeight w:val="212"/>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87,848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w:t>
            </w:r>
          </w:p>
        </w:tc>
      </w:tr>
      <w:tr>
        <w:trPr>
          <w:trHeight w:val="216"/>
        </w:trPr>
        <w:tc>
          <w:tcPr>
            <w:tcW w:w="3780" w:type="dxa"/>
            <w:vAlign w:val="bottom"/>
          </w:tcPr>
          <w:p>
            <w:pPr>
              <w:ind w:left="20"/>
              <w:spacing w:after="0"/>
              <w:rPr>
                <w:sz w:val="20"/>
                <w:szCs w:val="20"/>
                <w:color w:val="auto"/>
              </w:rPr>
            </w:pPr>
            <w:r>
              <w:rPr>
                <w:rFonts w:ascii="Arial" w:cs="Arial" w:eastAsia="Arial" w:hAnsi="Arial"/>
                <w:sz w:val="17"/>
                <w:szCs w:val="17"/>
                <w:color w:val="auto"/>
                <w:w w:val="91"/>
              </w:rPr>
              <w:t>Impairment expense on goodwill and intangible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70,069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3780" w:type="dxa"/>
            <w:vAlign w:val="bottom"/>
          </w:tcPr>
          <w:p>
            <w:pPr>
              <w:ind w:left="20"/>
              <w:spacing w:after="0"/>
              <w:rPr>
                <w:sz w:val="20"/>
                <w:szCs w:val="20"/>
                <w:color w:val="auto"/>
              </w:rPr>
            </w:pPr>
            <w:r>
              <w:rPr>
                <w:rFonts w:ascii="Arial" w:cs="Arial" w:eastAsia="Arial" w:hAnsi="Arial"/>
                <w:sz w:val="17"/>
                <w:szCs w:val="17"/>
                <w:color w:val="auto"/>
              </w:rPr>
              <w:t>Gain on sale of building</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COVID-19</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3780" w:type="dxa"/>
            <w:vAlign w:val="bottom"/>
          </w:tcPr>
          <w:p>
            <w:pPr>
              <w:ind w:left="20"/>
              <w:spacing w:after="0"/>
              <w:rPr>
                <w:sz w:val="20"/>
                <w:szCs w:val="20"/>
                <w:color w:val="auto"/>
              </w:rPr>
            </w:pPr>
            <w:r>
              <w:rPr>
                <w:rFonts w:ascii="Arial" w:cs="Arial" w:eastAsia="Arial" w:hAnsi="Arial"/>
                <w:sz w:val="17"/>
                <w:szCs w:val="17"/>
                <w:color w:val="auto"/>
              </w:rPr>
              <w:t>Post-acquisition and acquired project matters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(0.02)</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Cooperation agreement advisory costs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r>
      <w:tr>
        <w:trPr>
          <w:trHeight w:val="216"/>
        </w:trPr>
        <w:tc>
          <w:tcPr>
            <w:tcW w:w="378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Income tax impact on above adjustments </w:t>
            </w:r>
            <w:r>
              <w:rPr>
                <w:rFonts w:ascii="Arial" w:cs="Arial" w:eastAsia="Arial" w:hAnsi="Arial"/>
                <w:sz w:val="22"/>
                <w:szCs w:val="22"/>
                <w:color w:val="auto"/>
                <w:vertAlign w:val="superscript"/>
              </w:rPr>
              <w:t>(1)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108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1480" w:type="dxa"/>
            <w:vAlign w:val="bottom"/>
            <w:gridSpan w:val="2"/>
          </w:tcPr>
          <w:p>
            <w:pPr>
              <w:ind w:left="106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(0.02)</w:t>
            </w:r>
          </w:p>
        </w:tc>
      </w:tr>
      <w:tr>
        <w:trPr>
          <w:trHeight w:val="235"/>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operating income</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jc w:val="both"/>
        <w:ind w:left="40" w:right="40" w:hanging="1"/>
        <w:spacing w:after="0" w:line="215" w:lineRule="auto"/>
        <w:tabs>
          <w:tab w:leader="none" w:pos="2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Income tax impact calculated using an estimated statutory tax rate of 25%, which reflects the estimated blended statutory tax rate for the jurisdiction in which the charge or income occurred. Income tax impact excludes the amount of each charge that is non-deductible in the applicable jurisdiction. In prior periods, tax impacts were calculated using an effective tax rate. All such periods were recalculated herein using the 25% estimated statutory tax rate for consistency and comparability with the current period presentation. This change did not have a significant impact on the income tax impact or the adjusted net earnings or adjusted earnings per diluted common share amounts that had been reported for the three months or twelve months ended February 29, 2020.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20"/>
                <w:szCs w:val="20"/>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80" w:type="dxa"/>
            <w:vAlign w:val="bottom"/>
            <w:gridSpan w:val="2"/>
          </w:tcPr>
          <w:p>
            <w:pPr>
              <w:ind w:left="220"/>
              <w:spacing w:after="0"/>
              <w:rPr>
                <w:sz w:val="20"/>
                <w:szCs w:val="20"/>
                <w:color w:val="auto"/>
              </w:rPr>
            </w:pPr>
            <w:r>
              <w:rPr>
                <w:rFonts w:ascii="Arial" w:cs="Arial" w:eastAsia="Arial" w:hAnsi="Arial"/>
                <w:sz w:val="16"/>
                <w:szCs w:val="16"/>
                <w:b w:val="1"/>
                <w:bCs w:val="1"/>
                <w:color w:val="auto"/>
              </w:rPr>
              <w:t>2021 vs. 2020</w:t>
            </w:r>
          </w:p>
        </w:tc>
        <w:tc>
          <w:tcPr>
            <w:tcW w:w="1360" w:type="dxa"/>
            <w:vAlign w:val="bottom"/>
          </w:tcPr>
          <w:p>
            <w:pPr>
              <w:jc w:val="right"/>
              <w:ind w:right="155"/>
              <w:spacing w:after="0"/>
              <w:rPr>
                <w:sz w:val="20"/>
                <w:szCs w:val="20"/>
                <w:color w:val="auto"/>
              </w:rPr>
            </w:pPr>
            <w:r>
              <w:rPr>
                <w:rFonts w:ascii="Arial" w:cs="Arial" w:eastAsia="Arial" w:hAnsi="Arial"/>
                <w:sz w:val="16"/>
                <w:szCs w:val="16"/>
                <w:b w:val="1"/>
                <w:bCs w:val="1"/>
                <w:color w:val="auto"/>
              </w:rPr>
              <w:t>2020 vs. 2019</w:t>
            </w:r>
          </w:p>
        </w:tc>
      </w:tr>
      <w:tr>
        <w:trPr>
          <w:trHeight w:val="223"/>
        </w:trPr>
        <w:tc>
          <w:tcPr>
            <w:tcW w:w="4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7"/>
              </w:rPr>
              <w:t>1,230,774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7"/>
              </w:rPr>
              <w:t>1,387,439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7"/>
              </w:rPr>
              <w:t>1,402,637</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Compared to Fiscal 2020</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Net sales in fiscal 2021 decreased by 11.3 percent compared to fiscal 2020, reflecting end market softness and COVID-19 related volume declines in the Architectural Framing Systems, Architectural Glass and LSO segments, partially offset by increased volume in the Architectural Services segment, driven by execution of projects in backlog.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Compared to Fiscal 2019</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in fiscal 2020 decreased by 1.1 percent compared to fiscal 2019, driven by expected project timing-related decreases within the Architectural Services segment and by lower volumes at certain businesses within the Architectural Framing Systems segment, partially offset by improved volume in the Architectural Glass segment.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between various components of operations, as a percentage of net sales, is provided below.</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820" w:type="dxa"/>
            <w:vAlign w:val="bottom"/>
            <w:gridSpan w:val="2"/>
          </w:tcPr>
          <w:p>
            <w:pPr>
              <w:ind w:left="20"/>
              <w:spacing w:after="0"/>
              <w:rPr>
                <w:sz w:val="20"/>
                <w:szCs w:val="20"/>
                <w:color w:val="auto"/>
              </w:rPr>
            </w:pPr>
            <w:r>
              <w:rPr>
                <w:rFonts w:ascii="Arial" w:cs="Arial" w:eastAsia="Arial" w:hAnsi="Arial"/>
                <w:sz w:val="14"/>
                <w:szCs w:val="14"/>
                <w:i w:val="1"/>
                <w:iCs w:val="1"/>
                <w:color w:val="auto"/>
              </w:rPr>
              <w:t>(Percentage of net sales)</w:t>
            </w: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 expense on goodwill and intangible assets</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Effective income tax rate</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20" w:type="dxa"/>
            <w:vAlign w:val="bottom"/>
            <w:gridSpan w:val="2"/>
            <w:vMerge w:val="continue"/>
          </w:tcPr>
          <w:p>
            <w:pPr>
              <w:spacing w:after="0"/>
              <w:rPr>
                <w:sz w:val="17"/>
                <w:szCs w:val="17"/>
                <w:color w:val="auto"/>
              </w:rPr>
            </w:pPr>
          </w:p>
        </w:tc>
        <w:tc>
          <w:tcPr>
            <w:tcW w:w="1380" w:type="dxa"/>
            <w:vAlign w:val="bottom"/>
          </w:tcPr>
          <w:p>
            <w:pPr>
              <w:jc w:val="right"/>
              <w:spacing w:after="0" w:line="204" w:lineRule="exact"/>
              <w:rPr>
                <w:sz w:val="20"/>
                <w:szCs w:val="20"/>
                <w:color w:val="auto"/>
              </w:rPr>
            </w:pPr>
            <w:r>
              <w:rPr>
                <w:rFonts w:ascii="Arial" w:cs="Arial" w:eastAsia="Arial" w:hAnsi="Arial"/>
                <w:sz w:val="18"/>
                <w:szCs w:val="18"/>
                <w:color w:val="auto"/>
              </w:rPr>
              <w:t>31.7 %</w:t>
            </w:r>
          </w:p>
        </w:tc>
        <w:tc>
          <w:tcPr>
            <w:tcW w:w="120" w:type="dxa"/>
            <w:vAlign w:val="bottom"/>
          </w:tcPr>
          <w:p>
            <w:pPr>
              <w:spacing w:after="0"/>
              <w:rPr>
                <w:sz w:val="17"/>
                <w:szCs w:val="17"/>
                <w:color w:val="auto"/>
              </w:rPr>
            </w:pPr>
          </w:p>
        </w:tc>
        <w:tc>
          <w:tcPr>
            <w:tcW w:w="1360" w:type="dxa"/>
            <w:vAlign w:val="bottom"/>
          </w:tcPr>
          <w:p>
            <w:pPr>
              <w:jc w:val="right"/>
              <w:spacing w:after="0" w:line="204" w:lineRule="exact"/>
              <w:rPr>
                <w:sz w:val="20"/>
                <w:szCs w:val="20"/>
                <w:color w:val="auto"/>
              </w:rPr>
            </w:pPr>
            <w:r>
              <w:rPr>
                <w:rFonts w:ascii="Arial" w:cs="Arial" w:eastAsia="Arial" w:hAnsi="Arial"/>
                <w:sz w:val="18"/>
                <w:szCs w:val="18"/>
                <w:color w:val="auto"/>
              </w:rPr>
              <w:t>22.4 %</w:t>
            </w:r>
          </w:p>
        </w:tc>
        <w:tc>
          <w:tcPr>
            <w:tcW w:w="120" w:type="dxa"/>
            <w:vAlign w:val="bottom"/>
          </w:tcPr>
          <w:p>
            <w:pPr>
              <w:spacing w:after="0"/>
              <w:rPr>
                <w:sz w:val="17"/>
                <w:szCs w:val="17"/>
                <w:color w:val="auto"/>
              </w:rPr>
            </w:pPr>
          </w:p>
        </w:tc>
        <w:tc>
          <w:tcPr>
            <w:tcW w:w="1380" w:type="dxa"/>
            <w:vAlign w:val="bottom"/>
          </w:tcPr>
          <w:p>
            <w:pPr>
              <w:jc w:val="right"/>
              <w:spacing w:after="0" w:line="204" w:lineRule="exact"/>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Compared to Fiscal 2020</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Gross margin was 22.4 percent in fiscal 2021, a decrease of 60 basis points from fiscal 2020. This decrease was driven by the impact from lower volumes due to end market softness and COVID-19 related project delays, partially offset by strong project execution in the Architectural Services segment.</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selling, general and administrative (SG&amp;A) expense for fiscal 2021, including impairment expense on goodwill and intangible assets noted in the table above, was 20.3 percent, an increase of 360 basis points from fiscal 2020. This was driven by a $70.1 million impairment expense taken within the Architectural Framing Systems segment, partially offset by a $19.3 million gain on the sale-leaseback of a building within the Large-Scale Optical segment and $7.4 million of income related to a New Markets Tax Credit transaction within the Architectural Glass segment. In addition, we received a benefit of $7.4 million in fiscal 2021, as a result of a Canadian wage subsidy program offered to support Canadian business impacted by the COVID-19 pandemic, thereby offsetting cost actions that would have been taken had this subsidy not been secured.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expense declined by 30 basis points compared to the prior year, due to the lower average debt balance in fiscal 2021 and a favorable one-time legal settlement impacting interest.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 tax rate for fiscal 2021 was 31.7 percent, compared to 22.4 percent in fiscal 2020, primarily due to nondeductible goodwill impairment in Canada and the impact of the unfavorable permanent items in relation to reduced earnings in fiscal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Compared to Fiscal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was 23.0 percent in fiscal 2020, an increase of 210 basis points from fiscal 2019. This increase was driven by project-related charges of $40.9 million incurred in fiscal 2019 on certain contracts acquired with the purchase of EFCO.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increase was also driven by operating improvements in the Architectural Glass segment, partially offset by manufacturing difficulties in certain of the businesses in the Architectural Framing Systems segment and reduced operating leverage in the Architectural Services segment, based on timing of project activity.</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SG&amp;A expense for fiscal 2020 was 16.7 percent, an increase of 60 basis points from fiscal 2019. This was primarily driven by costs for outside advisors and legal fees, including cooperation agreement advisory costs, in addition to higher compensation and related costs compared to the prior year.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fiscal 2020 was 22.4 percent, compared to 22.1 percent in fiscal 2019, due to the impact of state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Architectural Framing Systems</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2021 vs. 2020</w:t>
            </w:r>
          </w:p>
        </w:tc>
        <w:tc>
          <w:tcPr>
            <w:tcW w:w="1320" w:type="dxa"/>
            <w:vAlign w:val="bottom"/>
          </w:tcPr>
          <w:p>
            <w:pPr>
              <w:jc w:val="right"/>
              <w:ind w:right="133"/>
              <w:spacing w:after="0"/>
              <w:rPr>
                <w:sz w:val="20"/>
                <w:szCs w:val="20"/>
                <w:color w:val="auto"/>
              </w:rPr>
            </w:pPr>
            <w:r>
              <w:rPr>
                <w:rFonts w:ascii="Arial" w:cs="Arial" w:eastAsia="Arial" w:hAnsi="Arial"/>
                <w:sz w:val="16"/>
                <w:szCs w:val="16"/>
                <w:b w:val="1"/>
                <w:bCs w:val="1"/>
                <w:color w:val="auto"/>
              </w:rPr>
              <w:t>2020 vs. 2019</w:t>
            </w:r>
          </w:p>
        </w:tc>
      </w:tr>
      <w:tr>
        <w:trPr>
          <w:trHeight w:val="226"/>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570,850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686,596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720,829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(44,761)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36,110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49,660</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rPr>
              <w:t>N/M</w:t>
            </w:r>
          </w:p>
        </w:tc>
        <w:tc>
          <w:tcPr>
            <w:tcW w:w="13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Fiscal 2021 Compared to Fiscal 2020. </w:t>
      </w:r>
      <w:r>
        <w:rPr>
          <w:rFonts w:ascii="Arial" w:cs="Arial" w:eastAsia="Arial" w:hAnsi="Arial"/>
          <w:sz w:val="17"/>
          <w:szCs w:val="17"/>
          <w:color w:val="auto"/>
        </w:rPr>
        <w:t>Net sales decreased 16.9 percent, or $115.7 million, from fiscal 2020, primarily reflecting lower order volume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short lead-time products and market-related project delays. The segment had an operating loss of $44.8 million and operating margin of (7.8) percent in fiscal 2021, compared to operating income of $36.1 million and operating margin of 5.3 percent in fiscal 2020, reflecting the impact of the $70.1 million impairment expense and leverage on the lower revenue, partially offset by cost reduction actions and the benefit of $7.4 million in fiscal 2021 from a Canadian wage subsidy program offered to Canadian businesses impacted by the COVID-19 pandemic.</w:t>
      </w:r>
    </w:p>
    <w:p>
      <w:pPr>
        <w:spacing w:after="0" w:line="20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Fiscal 2020 Compared to Fiscal 2019. </w:t>
      </w:r>
      <w:r>
        <w:rPr>
          <w:rFonts w:ascii="Arial" w:cs="Arial" w:eastAsia="Arial" w:hAnsi="Arial"/>
          <w:sz w:val="16"/>
          <w:szCs w:val="16"/>
          <w:color w:val="auto"/>
        </w:rPr>
        <w:t>Net sales decreased 4.7 percent, or $34.2 million, from fiscal 2019, primarily due to lower volumes as a result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customer-driven schedule delays. Operating margin declined 160 basis points from fiscal 2019, reflecting the impact of lower volumes and certain operational difficulties negatively impacting customer deliveries in two of the segment's businesses, which have since been addressed.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Architectural Glass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2021 vs. 2020</w:t>
            </w:r>
          </w:p>
        </w:tc>
        <w:tc>
          <w:tcPr>
            <w:tcW w:w="1320" w:type="dxa"/>
            <w:vAlign w:val="bottom"/>
          </w:tcPr>
          <w:p>
            <w:pPr>
              <w:jc w:val="right"/>
              <w:ind w:right="133"/>
              <w:spacing w:after="0"/>
              <w:rPr>
                <w:sz w:val="20"/>
                <w:szCs w:val="20"/>
                <w:color w:val="auto"/>
              </w:rPr>
            </w:pPr>
            <w:r>
              <w:rPr>
                <w:rFonts w:ascii="Arial" w:cs="Arial" w:eastAsia="Arial" w:hAnsi="Arial"/>
                <w:sz w:val="16"/>
                <w:szCs w:val="16"/>
                <w:b w:val="1"/>
                <w:bCs w:val="1"/>
                <w:color w:val="auto"/>
              </w:rPr>
              <w:t>2020 vs. 2019</w:t>
            </w:r>
          </w:p>
        </w:tc>
      </w:tr>
      <w:tr>
        <w:trPr>
          <w:trHeight w:val="226"/>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330,256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387,191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367,203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18,678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20,760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25.8 %</w:t>
            </w:r>
          </w:p>
        </w:tc>
      </w:tr>
      <w:tr>
        <w:trPr>
          <w:trHeight w:val="22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Fiscal 2021 Compared to Fiscal 2020. </w:t>
      </w:r>
      <w:r>
        <w:rPr>
          <w:rFonts w:ascii="Arial" w:cs="Arial" w:eastAsia="Arial" w:hAnsi="Arial"/>
          <w:sz w:val="18"/>
          <w:szCs w:val="18"/>
          <w:color w:val="auto"/>
        </w:rPr>
        <w:t>Fiscal 2021 net sales decreased 14.7 percent, or $56.9 million, over the prior year, due to market-related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declines and project delays. Operating margin increased 30 basis points for the fiscal year ended 2021 compared to the prior year period, as a result of $7.4 million of income related to a New Markets Tax Credit transaction, offset by the impacts of lower volume and increased costs related to the small projects growth initiative.</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Fiscal 2020 Compared to Fiscal 2019. </w:t>
      </w:r>
      <w:r>
        <w:rPr>
          <w:rFonts w:ascii="Arial" w:cs="Arial" w:eastAsia="Arial" w:hAnsi="Arial"/>
          <w:sz w:val="16"/>
          <w:szCs w:val="16"/>
          <w:color w:val="auto"/>
        </w:rPr>
        <w:t>Fiscal 2020 net sales increased 5.4 percent, or $20.0 million, over fiscal 2019, due to improved volume and mix,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growth in mid-size projects offsetting lower large project revenue due to increased foreign competition. Operating margin increased 90 basis points for fiscal year 2020 compared to fiscal 2019, as a result of improved factory productivity and volume leverage and cost control. This improvement was partially offset by 160 basis points of start-up costs related to a new manufacturing facility for the segment's small projects growth initiative.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Architectural Services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2021 vs. 2020</w:t>
            </w:r>
          </w:p>
        </w:tc>
        <w:tc>
          <w:tcPr>
            <w:tcW w:w="1320" w:type="dxa"/>
            <w:vAlign w:val="bottom"/>
          </w:tcPr>
          <w:p>
            <w:pPr>
              <w:jc w:val="right"/>
              <w:ind w:right="133"/>
              <w:spacing w:after="0"/>
              <w:rPr>
                <w:sz w:val="20"/>
                <w:szCs w:val="20"/>
                <w:color w:val="auto"/>
              </w:rPr>
            </w:pPr>
            <w:r>
              <w:rPr>
                <w:rFonts w:ascii="Arial" w:cs="Arial" w:eastAsia="Arial" w:hAnsi="Arial"/>
                <w:sz w:val="16"/>
                <w:szCs w:val="16"/>
                <w:b w:val="1"/>
                <w:bCs w:val="1"/>
                <w:color w:val="auto"/>
              </w:rPr>
              <w:t>2020 vs. 2019</w:t>
            </w: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295,807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269,140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286,314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31,182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23,582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30,509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Fiscal 2021 Compared to Fiscal 2020. </w:t>
      </w:r>
      <w:r>
        <w:rPr>
          <w:rFonts w:ascii="Arial" w:cs="Arial" w:eastAsia="Arial" w:hAnsi="Arial"/>
          <w:sz w:val="18"/>
          <w:szCs w:val="18"/>
          <w:color w:val="auto"/>
        </w:rPr>
        <w:t>Net sales increased 9.9 percent, or $26.7 million, compared to the prior year, driven by increased volume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executing projects in backlog. Operating margin increased 170 basis points over the prior year, primarily driven by improved volume leverage and strong project execution.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Fiscal 2020 Compared to Fiscal 2019. </w:t>
      </w:r>
      <w:r>
        <w:rPr>
          <w:rFonts w:ascii="Arial" w:cs="Arial" w:eastAsia="Arial" w:hAnsi="Arial"/>
          <w:sz w:val="18"/>
          <w:szCs w:val="18"/>
          <w:color w:val="auto"/>
        </w:rPr>
        <w:t>Net sales decreased 6.0 percent, or $17.2 million, compared to fiscal 2019, as a result of lower volumes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timing of project activity. Operating margin decreased 190 basis points over fiscal 2019, due primarily to reduced leverage on the lower project volume and project mix.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Large-Scale Optical Technologies (LSO)</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2021 vs. 2020</w:t>
            </w:r>
          </w:p>
        </w:tc>
        <w:tc>
          <w:tcPr>
            <w:tcW w:w="1320" w:type="dxa"/>
            <w:vAlign w:val="bottom"/>
          </w:tcPr>
          <w:p>
            <w:pPr>
              <w:jc w:val="right"/>
              <w:ind w:right="133"/>
              <w:spacing w:after="0"/>
              <w:rPr>
                <w:sz w:val="20"/>
                <w:szCs w:val="20"/>
                <w:color w:val="auto"/>
              </w:rPr>
            </w:pPr>
            <w:r>
              <w:rPr>
                <w:rFonts w:ascii="Arial" w:cs="Arial" w:eastAsia="Arial" w:hAnsi="Arial"/>
                <w:sz w:val="16"/>
                <w:szCs w:val="16"/>
                <w:b w:val="1"/>
                <w:bCs w:val="1"/>
                <w:color w:val="auto"/>
              </w:rPr>
              <w:t>2020 vs. 2019</w:t>
            </w:r>
          </w:p>
        </w:tc>
      </w:tr>
      <w:tr>
        <w:trPr>
          <w:trHeight w:val="226"/>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70,050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87,911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88,493</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31,203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22,642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23,003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Fiscal 2021 Compared to Fiscal 2020. </w:t>
      </w:r>
      <w:r>
        <w:rPr>
          <w:rFonts w:ascii="Arial" w:cs="Arial" w:eastAsia="Arial" w:hAnsi="Arial"/>
          <w:sz w:val="18"/>
          <w:szCs w:val="18"/>
          <w:color w:val="auto"/>
        </w:rPr>
        <w:t>Fiscal 2021 net sales decreased 20.3 percent, or $17.9 million, compared to the prior year, as a result of the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COVID-related closure of most of the segment's customers and the segment's manufacturing locations for several months during the first half of fiscal 2021. The segment had operating margin of 44.5 percent in fiscal 2021 compared to operating margin of 25.8 percent in fiscal 2020, reflecting the impact of a $19.3 million gain on the sale-leaseback of a building recognized during the third quarter of fiscal 2021, partially offset by the impacts of the temporary shutdown and the related lower volume.</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Fiscal 2020 Compared to Fiscal 2019. </w:t>
      </w:r>
      <w:r>
        <w:rPr>
          <w:rFonts w:ascii="Arial" w:cs="Arial" w:eastAsia="Arial" w:hAnsi="Arial"/>
          <w:sz w:val="18"/>
          <w:szCs w:val="18"/>
          <w:color w:val="auto"/>
        </w:rPr>
        <w:t>Net sales and operating margin were largely consistent compared to fiscal 2019, with good cost control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operational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8"/>
                <w:szCs w:val="18"/>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r>
      <w:tr>
        <w:trPr>
          <w:trHeight w:val="226"/>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30"/>
        </w:trPr>
        <w:tc>
          <w:tcPr>
            <w:tcW w:w="7680" w:type="dxa"/>
            <w:vAlign w:val="bottom"/>
            <w:gridSpan w:val="2"/>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141,863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107,262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96,423</w:t>
            </w:r>
          </w:p>
        </w:tc>
      </w:tr>
      <w:tr>
        <w:trPr>
          <w:trHeight w:val="23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680" w:type="dxa"/>
            <w:vAlign w:val="bottom"/>
            <w:gridSpan w:val="2"/>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(60,717)</w:t>
            </w:r>
          </w:p>
        </w:tc>
      </w:tr>
      <w:tr>
        <w:trPr>
          <w:trHeight w:val="229"/>
        </w:trPr>
        <w:tc>
          <w:tcPr>
            <w:tcW w:w="7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on sale of property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12,333</w:t>
            </w:r>
          </w:p>
        </w:tc>
      </w:tr>
      <w:tr>
        <w:trPr>
          <w:trHeight w:val="230"/>
        </w:trPr>
        <w:tc>
          <w:tcPr>
            <w:tcW w:w="76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(Payments) borrowings on line of credit,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7680" w:type="dxa"/>
            <w:vAlign w:val="bottom"/>
            <w:gridSpan w:val="2"/>
          </w:tcPr>
          <w:p>
            <w:pPr>
              <w:ind w:left="360"/>
              <w:spacing w:after="0"/>
              <w:rPr>
                <w:sz w:val="20"/>
                <w:szCs w:val="20"/>
                <w:color w:val="auto"/>
              </w:rPr>
            </w:pPr>
            <w:r>
              <w:rPr>
                <w:rFonts w:ascii="Arial" w:cs="Arial" w:eastAsia="Arial" w:hAnsi="Arial"/>
                <w:sz w:val="18"/>
                <w:szCs w:val="18"/>
                <w:color w:val="auto"/>
              </w:rPr>
              <w:t>(Repayment) borrowings on debt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Repurchase and retirement of common stock</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(43,326)</w:t>
            </w:r>
          </w:p>
        </w:tc>
      </w:tr>
      <w:tr>
        <w:trPr>
          <w:trHeight w:val="230"/>
        </w:trPr>
        <w:tc>
          <w:tcPr>
            <w:tcW w:w="7680" w:type="dxa"/>
            <w:vAlign w:val="bottom"/>
            <w:gridSpan w:val="2"/>
          </w:tcPr>
          <w:p>
            <w:pPr>
              <w:ind w:left="36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(17,864)</w:t>
            </w: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was $141.9 million in fiscal 2021, an increase of $34.6 million from fiscal 2020,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strong working capital management.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was $2.1 million in fiscal 2021, compared to $47.0 million in fiscal 2020, due to nearly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increased proceeds from property sales in fiscal 2021, related to the sale of an LSO manufacturing facility in Illinois in the third quarter of fiscal 2021, and reduced capital expenditures by $25 million in fiscal 2021 compared to fiscal 2020. In fiscal 2020, we sold an Architectural Framing manufacturing facility in Toronto, and in fiscal 2019, we sold an Architectural Glass manufacturing facility in Utah.</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Cash used in financing activities was $107.9 million in fiscal 2021, compared to $74.5 million in fiscal 2020. In fiscal 2021, we made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repayments on debt of $53.1 million, paid dividends totaling $19.6 million and repurchased 1,177,704 shares under our authorized share repurchase program, at a total cost of $32.9 million. We repurchased 686,997 shares under the program in fiscal 2020 and 1,257,983 shares under the program in fiscal 2019. We have repurchased a total of 7,132,616 shares, at a total cost of $207.3 million, since the 2004 inception of this program. We have remaining authority to repurchase 1,117,384 shares under this program, which has no expiration date, and we will continue to evaluate making future share repurchases, depending on our cash flow and debt levels, market conditions, including the continuing effects of the COVID-19 pandemic, and other potential uses of cash.</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fiscal 2021, we amended our term loan to extend the maturity date to June 2024, as further described in Note 7 of the Notes to Consolidated Financial Statements. As of February 27, 2021, no borrowings were outstanding under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revolving credit facility. As defined within the credit facility, we have two financial covenants which require us to stay below a maximum leverage ratio and to maintain a minimum interest expense-to-EBITDA ratio. At February 27, 2021, we were in compliance with both financial covenants.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Other Financing Activities. </w:t>
      </w:r>
      <w:r>
        <w:rPr>
          <w:rFonts w:ascii="Arial" w:cs="Arial" w:eastAsia="Arial" w:hAnsi="Arial"/>
          <w:sz w:val="17"/>
          <w:szCs w:val="17"/>
          <w:color w:val="auto"/>
        </w:rPr>
        <w:t>The following summarizes our significant contractual obligations that impact our liquidity as of February 27,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Fiscal Period</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13"/>
        </w:trPr>
        <w:tc>
          <w:tcPr>
            <w:tcW w:w="29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92"/>
              <w:spacing w:after="0"/>
              <w:rPr>
                <w:sz w:val="20"/>
                <w:szCs w:val="20"/>
                <w:color w:val="auto"/>
              </w:rPr>
            </w:pPr>
            <w:r>
              <w:rPr>
                <w:rFonts w:ascii="Arial" w:cs="Arial" w:eastAsia="Arial" w:hAnsi="Arial"/>
                <w:sz w:val="16"/>
                <w:szCs w:val="16"/>
                <w:b w:val="1"/>
                <w:bCs w:val="1"/>
                <w:color w:val="auto"/>
                <w:w w:val="95"/>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Arial" w:cs="Arial" w:eastAsia="Arial" w:hAnsi="Arial"/>
                <w:sz w:val="16"/>
                <w:szCs w:val="16"/>
                <w:b w:val="1"/>
                <w:bCs w:val="1"/>
                <w:color w:val="auto"/>
              </w:rPr>
              <w:t>Total</w:t>
            </w:r>
          </w:p>
        </w:tc>
      </w:tr>
      <w:tr>
        <w:trPr>
          <w:trHeight w:val="226"/>
        </w:trPr>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165,000</w:t>
            </w:r>
          </w:p>
        </w:tc>
      </w:tr>
      <w:tr>
        <w:trPr>
          <w:trHeight w:val="229"/>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Operating leases (undiscounted)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65,873</w:t>
            </w:r>
          </w:p>
        </w:tc>
      </w:tr>
      <w:tr>
        <w:trPr>
          <w:trHeight w:val="229"/>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253,472</w:t>
            </w:r>
          </w:p>
        </w:tc>
      </w:tr>
      <w:tr>
        <w:trPr>
          <w:trHeight w:val="223"/>
        </w:trPr>
        <w:tc>
          <w:tcPr>
            <w:tcW w:w="2960" w:type="dxa"/>
            <w:vAlign w:val="bottom"/>
            <w:gridSpan w:val="2"/>
          </w:tcPr>
          <w:p>
            <w:pPr>
              <w:ind w:left="220"/>
              <w:spacing w:after="0"/>
              <w:rPr>
                <w:sz w:val="20"/>
                <w:szCs w:val="20"/>
                <w:color w:val="auto"/>
              </w:rPr>
            </w:pPr>
            <w:r>
              <w:rPr>
                <w:rFonts w:ascii="Arial" w:cs="Arial" w:eastAsia="Arial" w:hAnsi="Arial"/>
                <w:sz w:val="18"/>
                <w:szCs w:val="18"/>
                <w:color w:val="auto"/>
              </w:rPr>
              <w:t>Total cash obligations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225,999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160,162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484,345</w:t>
            </w:r>
          </w:p>
        </w:tc>
      </w:tr>
      <w:tr>
        <w:trPr>
          <w:trHeight w:val="21"/>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in the table above include $15.0 million of industrial revenue bond obligations that mature in fiscal years 2022 through 2043.</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acquire the use of certain assets through operating leases, such as warehouses, manufacturing equipment, office equipment, hardware, software and vehicles. While many of these operating leases have termination penalties, we consider the risk related to termination penalties to be minimal.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in the table above relate to raw material commitments and capital expenditures.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expect to make contributions of approximately $0.7 million to our defined-benefit pension plans in fiscal 2022, which will equal or exceed our minimum funding requirements.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February 27, 2021, we had reserves of $3.8 million and $0.5 million for long-term unrecognized tax benefits and environmental liabilities, respectively. We are unable to reasonably estimate in which future periods the remaining unrecognized tax benefits will ultimately be settled.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February 27, 2021, we had ongoing letters of credit of $18.7 million related to industrial revenue bonds, construction contracts and insurance collateral that expire in fiscal 2022 and reduce borrowing capacity under the revolving credit facility.</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above standby letters of credit, we are required, in the ordinary course of business, to provide surety or performance bonds that commit payments to our customers for any non-performance. At February 27, 2021, $532.4 million of our backlog was bonded by performance bonds with a face value of $1.1 billion. These bonds do not have stated expiration dates, as we are released from the bonds upon completion of the contract. We have not been required to make any payments under these bonds with respect to our existing businesses.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calendar 2020, we took advantage of the option to defer remittance of the employer portion of Social Security tax as provided in the Coronavirus, Aid, Relief and Economic Security Act ("CARES Act"). This deferral allowed us to retain cash during calendar year 2020 that would have otherwise been remitted to the federal government. At the end of fiscal 2021, we had deferred tax payments of $13.6 million, which are included within accrued payroll and other benefits and other non-current liabilities on our consolidated balance sheets. The deferred tax payments will be repaid equally in calendar years 2021 and 2022. The CARES Act, along with other foreign government initiatives, also provides for job retention programs, which have provided payroll tax credits or subsidies of $8.0 million during calendar year 2020.</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total cash and short-term marketable securities of $47.3 million, and $216.3 million available under our committed revolving credit facility, at February 27, 2021. Due to our ability to generate cash from operations and our available sources of borrowing capacity, we believe that our sources of liquidity will continue to be adequate to fund our working capital requirements and necessary capital expenditures for at least the next 12 months. We also believe we will continue to be in compliance with our existing debt covenants over the next fiscal year.</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had no off-balance sheet arrangements at February 27, 2021 or February 29,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fiscal year 2022, we expect full-year earnings to be in the range of $2.10 to $2.35 per diluted share. This includes $7 to $10 million of expected pre-tax costs related to investments in transformation initiatives. The company currently expects a full-year tax rate of approximately 24.5 percent and capital expenditures of approximately $45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See Note 1 of the Notes to Consolidated Financial Statements within Item 8 of this Form 10-K for information pertaining to recently issued accounting pronouncements,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analysis of operations and financial condition is based on our consolidated financial statements prepared in accordance with U.S. GAAP. Preparation of these consolidated financial statements requires us to make estimates and assumptions affecting the reported amounts of assets and liabilities at the date of the consolidated financial statements, reported amounts of revenues and expenses during the reporting period and related disclosures of contingent assets and liabilities. In developing these estimates and assumptions, a collaborative effort is undertaken involving management across the organization, including finance, sales, project management, quality, risk, legal and tax, as well as outside advisors, such as consultants, engineers, lawyers and actuaries. Our estimates are evaluated on an ongoing basis and are drawn from historical experience and other assumptions that we believe to be reasonable under the circumstances. Actual results could differ under other assumptions or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consider the following items in our consolidated financial statements to require significant estimation or judgment.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generate revenue from the design, engineering and fabrication of architectural glass, curtainwall, window, storefront and entrance systems, and from installing those products on commercial buildings. We also manufacture value-added glass and acrylic products. Due to the diverse nature of our operations and various types of contracts with customers, we have businesses that recognize revenue over time and businesses that recognize revenue at a point in time. We believe the most significant areas of estimation and judgment relate to over-time revenue recognition on longer-term contracts.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three businesses which operate under long-term, fixed-price contracts, representing approximately 36 percent of our total revenue in fiscal February 27, 2021.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the nature of the work required under these long-term contracts, the estimation of costs incurred and remaining to complete on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Therefore, these modifications are generally accounted for as part of the existing contract. The effect of a contract modification on the transaction price and our measure of progress is recognized as an adjustment to revenue, generally on a cumulative catch-up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 impairment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historically evaluated goodwill for impairment annually at our year-end, or more frequently if events or changes in circumstances indicate the carrying value of the goodwill may not be recoverable. During the first quarter of fiscal 2021, we identified qualitative indicators of impairment, including a significant decline in our stock price and market capitalization, along with concerns resulting from the COVID-19 pandemic, at four of our reporting units. We performed a quantitative goodwill impairment evaluation at that time and the estimated fair value of each reporting unit exceeded its carrying value. Therefore, goodwill impairment was not indicated in the first quarter of fiscal 2021. In the third quarter of fiscal 2021, we changed the date of our annual goodwill impairment test from our fiscal year-end to the first day in our fiscal fourth quarter. This change results in better alignment of the annual impairment test with our strategic and annual planning processes. This change was determined not to be material to and had no impact on our current or historical consolidated financial statements.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segment management on a regular basis. During the third quarter of fiscal 2021, we combined two reporting units into one reporting unit, following certain structural and leadership changes at the Company, specifically within the Architectural Framing Systems segment. Within this segment, as a result of integration efforts that are ongoing, leadership over the Tubelite and Alumicor reporting units has been combined and functional leaders in areas such as operations, sales, marketing and administration are responsible for allocating resources and reviewing results of the combined business. The goodwill of the individual reporting units was therefore aggregated to the combined reporting unit. We evaluated goodwill on a qualitative basis prior to and subsequent to this change and concluded that no adjustment to the carrying value of goodwill was necessary as a result of this change.</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our fiscal 2021 annual impairment test, we elected to bypass the qualitative assessment process and to proceed directly to comparing the fair value of each of our reporting units to carrying value, including goodwill. If fair value exceeds the carrying value, goodwill impairment is not indicated. If the carrying amount of a reporting unit is higher than its estimated fair value, the excess is recognized as an impairment expense.</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 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guidelines for publicly traded companies.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these analyses, estimated fair value exceeded carrying value at six of our eight reporting units. However, driven by a decline in market conditions, partially due to COVID-19 and the ongoing uncertainty related to how some of our end markets will perform in a post-COVID environment, at two reporting units within the Architectural Framing Systems segment, EFCO and Sotawall, carrying value was in excess of the concluded fair value. For these reporting units, we utilized a weighted-average cost of capital of 12.1 percent in determining the discounted cash flows and a long-term growth rate of 3.0 percent. As a result, as of February 27, 2021, we incurred goodwill impairment expense of $46.7 million and $17.1 million in our EFCO and Sotawall reporting units, respectively.</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discounted cash flow projections used in these analyses are dependent upon achieving forecasted levels of revenue and profitability. If revenue or profitability were to fall below forecasted levels, or if market conditions were to decline in a material or sustained manner, further impairment could be indicated at these or our other reporting units and we could incur an additional non-cash impairment expense that would negatively impact our net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intangible assets for certain acquired trade names and trademarks which are determined to have indefinite useful lives. We evaluate the reasonableness of the useful lives and test indefinite-lived intangible assets for impairment annually at the same measurement date as goodwill, the first day of our fiscal fourth quarter, or more frequently if events or changes in circumstances indicate that it is more likely than not that the asset is impaired. We bypassed a qualitative assessment and performed a quantitative impairment test to compare the fair value of each indefinite-lived intangible asset with its carrying</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value. If the carrying value of an indefinite-lived intangible asset exceeds its fair value, an impairment expense is recognized in an amount equal to that excess. If an impairment expense is recognized, the adjusted carrying amount becomes the asset's new accounting basis.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measured using the relief-from-royalty method. This method assumes the trade name or trademark has value to the extent that the owner is relieved of the obligation to pay royalties for the benefits received from the asset. This method requires estimation of future revenue from the related asset, the appropriate royalty rate, and the weighted average cost of capital. The assessment of fair value involves significant judgment and projections about future performance. In the fair value analysis, we assumed a discount rate of 12.6 percent, royalty rates ranging from 1.5 or 2.0 percent, and a long-term growth rate of 3.0 percent. Based on our analysis, the fair value of each of our trade names and trademarks exceeded carrying amount, except for the EFCO tradename. The fair value determined for the EFCO tradename exceeded carrying value by $6.3 million and this amount was recognized as impairment expense in the fourth quarter ended February 27, 2021. In addition, the fair value determined for the Sotawall tradename did not exceed carrying value by a significant margin. If our discount rate were to increase by 100 basis points, the fair value of this tradename would fall below carrying value, which would indicate impairment.</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continue to conclude that the useful lives of our indefinite-lived intangible assets is appropriate. If future revenue were to fall below forecasted levels or if market conditions were to decline in a material or sustained manner, further impairment could be indicated on this or another indefinite-lived intangible asset.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disputes and claims regarding product liability, warranties and other project-related contingencies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claims associated with our products and services, principally as a result of disputes with our customers involving the performance or aesthetics of our products, some of which may be covered under our warranty policies. We have in the past and are currently subject to product liability and warranty claims, including certain legal claims related to a commercial sealant product formerly incorporated into our products. We also are subject to project management and installation-related contingencies as a result of our fixed-price material supply and installation service contracts, primarily in our Architectural Services segment and certain of our Architectural Framing Systems businesses, including those taken on with our acquisition of EFCO. The time period from when a claim is asserted to when it is resolved, either by negotiation, settlement or litigation, can be several years. While we maintain various types of product liability insurance, the insurance policies include significant self-retention of risk in the form of policy deductibles. In addition, certain claims could be determined to be uninsured. We also actively manage the risk of these exposures through contract negotiations and proactive project management.</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reserve estimated exposures on known claims, as well as on a portion of anticipated claims for product warranty and rework costs, based on similar historical product liability claims, as a ratio of sales. We also reserve for estimated exposures on other claims as they are known and reasonably estimable.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ongoing market risk related to changes in interest rates and foreign currency exchange rates.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rise in interest rates could negatively affect the fair value of our fixed income investments, while serving to provide greater long-term return potential on these investments. To manage our direct risk from changes in market interest rates, we actively monitor the interest-sensitive components of our balance sheet, primarily available-for-sale securities, fixed income securities and debt obligations, and maintain a diversified portfolio in order to minimize the impact of changes in interest rates on net earnings and cash flow. We do not hold any financial instruments for trading purposes. We also hedge a portion of the floating interest rate on our long-term line of credit through a floating-to-fixed interest rate swap.</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primary measure of interest rate risk is the simulation of net income under different interest rate environments. If interest rates were to increase or decrease over the next 12 months by 200 basis points, net earnings would be impacted by approximately $0.5 million. Our debt exceeded investments at February 27, 2021, so as interest rates increase, net earnings decrease; as interest rates decrease, net earnings increase.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market risk related to interest rate changes on our financial instruments, the commercial construction markets in which our businesses operate are highly affected by changes in interest rates. Increases in interest rates could adversely impact activity in the commercial construction industry and our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market risk due to changes in the value of foreign currencies in relation to our reporting currency, the U.S. dollar.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operations in Canada and Brazil, which primarily transact business in local currencies. We manage these operating activities locally. Revenues, costs, assets and liabilities of these operations are generally denominated in local currencies, thereby mitigating some of the risk associated with changes in foreign exchange rates. However, our consolidated financial results are reported in U.S. dollars. Thus, changes in exchange rates between the Canadian dollar and Brazilian real, versus the U.S. dollar, will impact our reported financial results. From time to time, we enter into forward purchase foreign currency contracts, generally with an original maturity date of less than one year, to hedge foreign currency risk (refer to additional discussion within Note 4 of the Notes to Consolidated Financial Statements). Sales from our domestic operations are generally denominated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Management of Apogee Enterprises, Inc. and its subsidiaries (the Company) is responsible for establishing and maintaining adequate internal control over financial reporting, as such term is defined in Rules 13a-15(f)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February 27, 2021, using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The Company's management believes that, as of February 27, 2021, the Company's internal control over financial reporting was effective based on those criteria.</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Following this report are reports from the Company's independent registered public accounting firm, Deloitte &amp; Touche LLP, on the Company's consolidated financial statements and on the effectiveness of the Company's internal control over financial reporting as of February 27, 2021.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Apogee Enterprises, Inc.</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Apogee Enterprises, Inc. and subsidiaries (the "Company") as of February 27, 2021 and February 29, 2020, and the related consolidated results of operations, statements of comprehensive earnings, cash flows, and shareholders' equity, for each of the three years in the period ended February 27, 2021, and the related notes and the schedules listed in the Index at Item 15 (collectively referred to as the "financial statements"). In our opinion, the financial statements present fairly, in all material respects, the financial position of the Company as of February 27, 2021 and February 29, 2020, and the results of its operations and its cash flows for each of the three years in the period ended February 27, 2021, in conformity with accounting principles generally accepted in the United States of America.</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February 27,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April 22, 2021,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Net Sales — Revenue Recognition for Long-Term Contracts in the Architectural Services Segment — Refer to Notes 1, 2, and 15 to the consolidated financial statements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Architectural Services segment, which provides building glass and curtainwall installation services and operates under long-term, fixed-price contracts, accounted for approximately $296 million, or 24 percent of total net sales for the year ended February 27, 2021. The contracts for this business typically have a single, bundled performance obligation, as the business generally provides interrelated services and integrates these services into a combined output specified by the customer. The customer obtains control of this combined output, generally installed window and curtainwall systems, over time. The Company measures progress on these contracts following an input method, by comparing total costs incurred to-date to the total estimated costs for the contract and recording that proportion of the total contract price as revenue.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judgments necessary to estimate total costs and profit for the contract performance obligations used to recognize revenue for long-term, fixed-price contracts in the Architectural Services segment, auditing such estimates required extensive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audit effort due to the complexity of long-term contracts and a high degree of auditor judgment when performing audit procedures and evaluating the results of those procedures.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audit procedures related to management’s estimates of total costs and profit for the contract performance obligations used to recognize revenue for certain long-term contracts in the Architectural Services segment included, but were not limited to the following:</w:t>
      </w:r>
    </w:p>
    <w:p>
      <w:pPr>
        <w:spacing w:after="0" w:line="62" w:lineRule="exact"/>
        <w:rPr>
          <w:sz w:val="20"/>
          <w:szCs w:val="20"/>
          <w:color w:val="auto"/>
        </w:rPr>
      </w:pPr>
    </w:p>
    <w:p>
      <w:pPr>
        <w:ind w:left="340" w:hanging="332"/>
        <w:spacing w:after="0" w:line="258"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tested the effectiveness of controls over long-term contract revenue in the Architectural Services segment, including those over the estimates of total costs and profit for performance obligations.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developed an expectation of the amount of total long-term contract revenue in the Architectural Services segment based on prior year margins applied to cost of sales in the current year and compared our expectation to the amount of long-term contract revenue ultimately recorded by management.</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evaluated management’s ability to estimate total costs and profit by comparing actual costs and profit to management’s historical estimates for performance obligations that have been fulfilled.</w:t>
      </w:r>
    </w:p>
    <w:p>
      <w:pPr>
        <w:ind w:left="320" w:hanging="312"/>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selected a sample of long-term contracts from the Architectural Services segment contract portfolio and performed the following procedures:</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whether the long-term contracts were properly included in management’s calculation of long-term contract revenue based on the terms and conditions of each contract, including whether continuous transfer of control to the customer occurred as progress was made toward fulfillment of the performance obligations.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Compared the transaction prices to the consideration expected to be received based on current rights and obligations under the long-term contracts and any modifications that were agreed upon with the customers.</w:t>
      </w:r>
    </w:p>
    <w:p>
      <w:pPr>
        <w:ind w:left="660" w:hanging="328"/>
        <w:spacing w:after="0" w:line="250"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Tested management’s identification of distinct performance obligations by evaluating whether the underlying services are highly interdependent and interrelated.</w:t>
      </w: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Tested the accuracy and completeness of the costs incurred to date for the performance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calculation of long-term contract revenue for the performance obligation.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estimates of total cost and profit for the performance obligations by: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Comparing costs incurred to date to the costs management estimated to be incurred to date.</w:t>
      </w:r>
    </w:p>
    <w:p>
      <w:pPr>
        <w:spacing w:after="0" w:line="9" w:lineRule="exact"/>
        <w:rPr>
          <w:rFonts w:ascii="Arial" w:cs="Arial" w:eastAsia="Arial" w:hAnsi="Arial"/>
          <w:sz w:val="18"/>
          <w:szCs w:val="18"/>
          <w:color w:val="auto"/>
        </w:rPr>
      </w:pPr>
    </w:p>
    <w:p>
      <w:pPr>
        <w:jc w:val="both"/>
        <w:ind w:left="980" w:hanging="324"/>
        <w:spacing w:after="0" w:line="281" w:lineRule="auto"/>
        <w:tabs>
          <w:tab w:leader="none" w:pos="975" w:val="left"/>
        </w:tabs>
        <w:numPr>
          <w:ilvl w:val="2"/>
          <w:numId w:val="13"/>
        </w:numPr>
        <w:rPr>
          <w:rFonts w:ascii="Arial" w:cs="Arial" w:eastAsia="Arial" w:hAnsi="Arial"/>
          <w:sz w:val="16"/>
          <w:szCs w:val="16"/>
          <w:color w:val="auto"/>
        </w:rPr>
      </w:pPr>
      <w:r>
        <w:rPr>
          <w:rFonts w:ascii="Arial" w:cs="Arial" w:eastAsia="Arial" w:hAnsi="Arial"/>
          <w:sz w:val="16"/>
          <w:szCs w:val="16"/>
          <w:color w:val="auto"/>
        </w:rPr>
        <w:t>Evaluating management’s ability to achieve the estimates of total cost and profit by performing corroborating inquiries with the Company’s project managers and engineers, and comparing the estimates to management’s work plans, engineering specifications, and supplier contracts.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2"/>
          <w:numId w:val="13"/>
        </w:numPr>
        <w:rPr>
          <w:rFonts w:ascii="Arial" w:cs="Arial" w:eastAsia="Arial" w:hAnsi="Arial"/>
          <w:sz w:val="17"/>
          <w:szCs w:val="17"/>
          <w:color w:val="auto"/>
        </w:rPr>
      </w:pPr>
      <w:r>
        <w:rPr>
          <w:rFonts w:ascii="Arial" w:cs="Arial" w:eastAsia="Arial" w:hAnsi="Arial"/>
          <w:sz w:val="17"/>
          <w:szCs w:val="17"/>
          <w:color w:val="auto"/>
        </w:rPr>
        <w:t>Comparing management’s estimates for the selected contracts to costs and profit of similar performance obligations, when applicable.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EFCO and Sotawall Reporting Units — Refer to Notes 1 and 6 to the consolidated financial statements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evaluation of goodwill for impairment involves the comparison of the fair value of each reporting unit to its carrying value. The Company estimates the fair value of its reporting units using both the income approach and the market approach. The income approach uses a discounted cash flow methodology that involves significant judgement and projections of future performance, including future revenues, future operating expenses, and discount rates. Changes in these assumptions could have a significant impact on either the fair value, the amount of any goodwill impairment charge, or both. As of the measurement date in the fourth quarter of fiscal 2021, driven by a decline in market conditions partially due to COVID-19 and the ongoing uncertainty within the Company’s end markets in a post-COVID environment, the EFCO and Sotawall reporting units were each determined to have a carrying value in excess of their fair value, resulting in goodwill impairment charges of $46.7 million and $17.1 million, respectively. As of February 27, 2021, the Company's total goodwill balance was $130.1 million.</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Given the significant judgments made by management to estimate the fair value of the EFCO and Sotawall reporting units, performing audit procedures to evaluate the reasonableness of management's estimates and assumptions related to selection of future revenues, future operating expenses, and discount rates required a high degree of auditor judgment and an increased extent of effort, including the need to involve our fair value specialists.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audit procedures related to future revenues, future operating expenses, and discount rates used by management to estimate the fair value of the EFCO and Sotawall reporting units included the following, among others:</w:t>
      </w:r>
    </w:p>
    <w:p>
      <w:pPr>
        <w:spacing w:after="0" w:line="62" w:lineRule="exact"/>
        <w:rPr>
          <w:sz w:val="20"/>
          <w:szCs w:val="20"/>
          <w:color w:val="auto"/>
        </w:rPr>
      </w:pPr>
    </w:p>
    <w:p>
      <w:pPr>
        <w:ind w:left="340" w:right="20" w:hanging="332"/>
        <w:spacing w:after="0" w:line="342"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tested the effectiveness of controls over management’s goodwill impairment evaluation, including those over the determination of the fair value of the reporting units, such as controls related to management's selection of future revenues, future operating expenses, and discount rates.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340" w:hanging="332"/>
        <w:spacing w:after="0" w:line="255"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(1) valuation methodology and (2)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evaluated the reasonableness of management’s forecasts by comparing the forecasts to (1) historical results, (2) internal communications to management and the Board of Directors, (3) industry information, and (4) forecasted information included in Company press releases as well as in analyst and industry reports of the Company.</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future revenue and future operating expenses by comparing actual results to management’s historical forecasts.</w:t>
      </w:r>
    </w:p>
    <w:p>
      <w:pPr>
        <w:ind w:left="340" w:hanging="332"/>
        <w:spacing w:after="0" w:line="260"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evaluated the allocation of the Company’s estimated fair value to its reporting units and the comparison of the Company’s estimated fair value to its market capitalization.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Apogee Enterprises, Inc.</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internal control over financial reporting of Apogee Enterprises, Inc. and subsidiaries (the “Company”) as of February 27, 2021,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February 27, 2021, based on criteria established in Internal Control — Integrated Framework (2013) issued by COSO.</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February 27, 2021, of the Company and our report dated April 22, 2021, expressed an unqualified opinion on those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4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27, 2021</w:t>
            </w:r>
          </w:p>
        </w:tc>
        <w:tc>
          <w:tcPr>
            <w:tcW w:w="160" w:type="dxa"/>
            <w:vAlign w:val="bottom"/>
          </w:tcPr>
          <w:p>
            <w:pPr>
              <w:spacing w:after="0"/>
              <w:rPr>
                <w:sz w:val="18"/>
                <w:szCs w:val="18"/>
                <w:color w:val="auto"/>
              </w:rPr>
            </w:pPr>
          </w:p>
        </w:tc>
        <w:tc>
          <w:tcPr>
            <w:tcW w:w="1500" w:type="dxa"/>
            <w:vAlign w:val="bottom"/>
          </w:tcPr>
          <w:p>
            <w:pPr>
              <w:jc w:val="right"/>
              <w:ind w:right="110"/>
              <w:spacing w:after="0"/>
              <w:rPr>
                <w:sz w:val="20"/>
                <w:szCs w:val="20"/>
                <w:color w:val="auto"/>
              </w:rPr>
            </w:pPr>
            <w:r>
              <w:rPr>
                <w:rFonts w:ascii="Arial" w:cs="Arial" w:eastAsia="Arial" w:hAnsi="Arial"/>
                <w:sz w:val="16"/>
                <w:szCs w:val="16"/>
                <w:b w:val="1"/>
                <w:bCs w:val="1"/>
                <w:color w:val="auto"/>
                <w:w w:val="94"/>
              </w:rPr>
              <w:t>February 29, 2020</w:t>
            </w:r>
          </w:p>
        </w:tc>
        <w:tc>
          <w:tcPr>
            <w:tcW w:w="0" w:type="dxa"/>
            <w:vAlign w:val="bottom"/>
          </w:tcPr>
          <w:p>
            <w:pPr>
              <w:spacing w:after="0"/>
              <w:rPr>
                <w:sz w:val="1"/>
                <w:szCs w:val="1"/>
                <w:color w:val="auto"/>
              </w:rPr>
            </w:pPr>
          </w:p>
        </w:tc>
      </w:tr>
      <w:tr>
        <w:trPr>
          <w:trHeight w:val="226"/>
        </w:trPr>
        <w:tc>
          <w:tcPr>
            <w:tcW w:w="7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w:t>
            </w:r>
          </w:p>
        </w:tc>
        <w:tc>
          <w:tcPr>
            <w:tcW w:w="0" w:type="dxa"/>
            <w:vAlign w:val="bottom"/>
          </w:tcPr>
          <w:p>
            <w:pPr>
              <w:spacing w:after="0"/>
              <w:rPr>
                <w:sz w:val="1"/>
                <w:szCs w:val="1"/>
                <w:color w:val="auto"/>
              </w:rPr>
            </w:pPr>
          </w:p>
        </w:tc>
      </w:tr>
      <w:tr>
        <w:trPr>
          <w:trHeight w:val="230"/>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Receivables, net of allowance for doubtful accounts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175,917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196,806</w:t>
            </w:r>
          </w:p>
        </w:tc>
        <w:tc>
          <w:tcPr>
            <w:tcW w:w="0" w:type="dxa"/>
            <w:vAlign w:val="bottom"/>
          </w:tcPr>
          <w:p>
            <w:pPr>
              <w:spacing w:after="0"/>
              <w:rPr>
                <w:sz w:val="1"/>
                <w:szCs w:val="1"/>
                <w:color w:val="auto"/>
              </w:rPr>
            </w:pPr>
          </w:p>
        </w:tc>
      </w:tr>
      <w:tr>
        <w:trPr>
          <w:trHeight w:val="229"/>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71,089</w:t>
            </w:r>
          </w:p>
        </w:tc>
        <w:tc>
          <w:tcPr>
            <w:tcW w:w="0" w:type="dxa"/>
            <w:vAlign w:val="bottom"/>
          </w:tcPr>
          <w:p>
            <w:pPr>
              <w:spacing w:after="0"/>
              <w:rPr>
                <w:sz w:val="1"/>
                <w:szCs w:val="1"/>
                <w:color w:val="auto"/>
              </w:rPr>
            </w:pPr>
          </w:p>
        </w:tc>
      </w:tr>
      <w:tr>
        <w:trPr>
          <w:trHeight w:val="229"/>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Costs and earnings on contracts in excess of billings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29,497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73,582</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25,481</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381,910</w:t>
            </w:r>
          </w:p>
        </w:tc>
        <w:tc>
          <w:tcPr>
            <w:tcW w:w="0" w:type="dxa"/>
            <w:vAlign w:val="bottom"/>
          </w:tcPr>
          <w:p>
            <w:pPr>
              <w:spacing w:after="0"/>
              <w:rPr>
                <w:sz w:val="1"/>
                <w:szCs w:val="1"/>
                <w:color w:val="auto"/>
              </w:rPr>
            </w:pPr>
          </w:p>
        </w:tc>
      </w:tr>
      <w:tr>
        <w:trPr>
          <w:trHeight w:val="223"/>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324,386</w:t>
            </w:r>
          </w:p>
        </w:tc>
        <w:tc>
          <w:tcPr>
            <w:tcW w:w="0" w:type="dxa"/>
            <w:vAlign w:val="bottom"/>
          </w:tcPr>
          <w:p>
            <w:pPr>
              <w:spacing w:after="0"/>
              <w:rPr>
                <w:sz w:val="1"/>
                <w:szCs w:val="1"/>
                <w:color w:val="auto"/>
              </w:rPr>
            </w:pPr>
          </w:p>
        </w:tc>
      </w:tr>
      <w:tr>
        <w:trPr>
          <w:trHeight w:val="229"/>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58,864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52,892</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185,516</w:t>
            </w:r>
          </w:p>
        </w:tc>
        <w:tc>
          <w:tcPr>
            <w:tcW w:w="0" w:type="dxa"/>
            <w:vAlign w:val="bottom"/>
          </w:tcPr>
          <w:p>
            <w:pPr>
              <w:spacing w:after="0"/>
              <w:rPr>
                <w:sz w:val="1"/>
                <w:szCs w:val="1"/>
                <w:color w:val="auto"/>
              </w:rPr>
            </w:pPr>
          </w:p>
        </w:tc>
      </w:tr>
      <w:tr>
        <w:trPr>
          <w:trHeight w:val="229"/>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130,053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140,191</w:t>
            </w:r>
          </w:p>
        </w:tc>
        <w:tc>
          <w:tcPr>
            <w:tcW w:w="0" w:type="dxa"/>
            <w:vAlign w:val="bottom"/>
          </w:tcPr>
          <w:p>
            <w:pPr>
              <w:spacing w:after="0"/>
              <w:rPr>
                <w:sz w:val="1"/>
                <w:szCs w:val="1"/>
                <w:color w:val="auto"/>
              </w:rPr>
            </w:pPr>
          </w:p>
        </w:tc>
      </w:tr>
      <w:tr>
        <w:trPr>
          <w:trHeight w:val="22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44,096</w:t>
            </w:r>
          </w:p>
        </w:tc>
        <w:tc>
          <w:tcPr>
            <w:tcW w:w="0" w:type="dxa"/>
            <w:vAlign w:val="bottom"/>
          </w:tcPr>
          <w:p>
            <w:pPr>
              <w:spacing w:after="0"/>
              <w:rPr>
                <w:sz w:val="1"/>
                <w:szCs w:val="1"/>
                <w:color w:val="auto"/>
              </w:rPr>
            </w:pPr>
          </w:p>
        </w:tc>
      </w:tr>
      <w:tr>
        <w:trPr>
          <w:trHeight w:val="223"/>
        </w:trPr>
        <w:tc>
          <w:tcPr>
            <w:tcW w:w="7820" w:type="dxa"/>
            <w:vAlign w:val="bottom"/>
            <w:gridSpan w:val="2"/>
          </w:tcPr>
          <w:p>
            <w:pPr>
              <w:ind w:left="6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1,015,099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1,128,991</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69,056</w:t>
            </w:r>
          </w:p>
        </w:tc>
        <w:tc>
          <w:tcPr>
            <w:tcW w:w="0" w:type="dxa"/>
            <w:vAlign w:val="bottom"/>
          </w:tcPr>
          <w:p>
            <w:pPr>
              <w:spacing w:after="0"/>
              <w:rPr>
                <w:sz w:val="1"/>
                <w:szCs w:val="1"/>
                <w:color w:val="auto"/>
              </w:rPr>
            </w:pPr>
          </w:p>
        </w:tc>
      </w:tr>
      <w:tr>
        <w:trPr>
          <w:trHeight w:val="229"/>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Accrued payroll and related benefits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40,119</w:t>
            </w:r>
          </w:p>
        </w:tc>
        <w:tc>
          <w:tcPr>
            <w:tcW w:w="0" w:type="dxa"/>
            <w:vAlign w:val="bottom"/>
          </w:tcPr>
          <w:p>
            <w:pPr>
              <w:spacing w:after="0"/>
              <w:rPr>
                <w:sz w:val="1"/>
                <w:szCs w:val="1"/>
                <w:color w:val="auto"/>
              </w:rPr>
            </w:pPr>
          </w:p>
        </w:tc>
      </w:tr>
      <w:tr>
        <w:trPr>
          <w:trHeight w:val="229"/>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32,696</w:t>
            </w:r>
          </w:p>
        </w:tc>
        <w:tc>
          <w:tcPr>
            <w:tcW w:w="0" w:type="dxa"/>
            <w:vAlign w:val="bottom"/>
          </w:tcPr>
          <w:p>
            <w:pPr>
              <w:spacing w:after="0"/>
              <w:rPr>
                <w:sz w:val="1"/>
                <w:szCs w:val="1"/>
                <w:color w:val="auto"/>
              </w:rPr>
            </w:pPr>
          </w:p>
        </w:tc>
      </w:tr>
      <w:tr>
        <w:trPr>
          <w:trHeight w:val="230"/>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11,272</w:t>
            </w:r>
          </w:p>
        </w:tc>
        <w:tc>
          <w:tcPr>
            <w:tcW w:w="0" w:type="dxa"/>
            <w:vAlign w:val="bottom"/>
          </w:tcPr>
          <w:p>
            <w:pPr>
              <w:spacing w:after="0"/>
              <w:rPr>
                <w:sz w:val="1"/>
                <w:szCs w:val="1"/>
                <w:color w:val="auto"/>
              </w:rPr>
            </w:pPr>
          </w:p>
        </w:tc>
      </w:tr>
      <w:tr>
        <w:trPr>
          <w:trHeight w:val="229"/>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long-term debt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118,314</w:t>
            </w:r>
          </w:p>
        </w:tc>
        <w:tc>
          <w:tcPr>
            <w:tcW w:w="0" w:type="dxa"/>
            <w:vAlign w:val="bottom"/>
          </w:tcPr>
          <w:p>
            <w:pPr>
              <w:spacing w:after="0"/>
              <w:rPr>
                <w:sz w:val="1"/>
                <w:szCs w:val="1"/>
                <w:color w:val="auto"/>
              </w:rPr>
            </w:pPr>
          </w:p>
        </w:tc>
      </w:tr>
      <w:tr>
        <w:trPr>
          <w:trHeight w:val="223"/>
        </w:trPr>
        <w:tc>
          <w:tcPr>
            <w:tcW w:w="7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276,857</w:t>
            </w:r>
          </w:p>
        </w:tc>
        <w:tc>
          <w:tcPr>
            <w:tcW w:w="0" w:type="dxa"/>
            <w:vAlign w:val="bottom"/>
          </w:tcPr>
          <w:p>
            <w:pPr>
              <w:spacing w:after="0"/>
              <w:rPr>
                <w:sz w:val="1"/>
                <w:szCs w:val="1"/>
                <w:color w:val="auto"/>
              </w:rPr>
            </w:pPr>
          </w:p>
        </w:tc>
      </w:tr>
      <w:tr>
        <w:trPr>
          <w:trHeight w:val="223"/>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212,500</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43,163</w:t>
            </w:r>
          </w:p>
        </w:tc>
        <w:tc>
          <w:tcPr>
            <w:tcW w:w="0" w:type="dxa"/>
            <w:vAlign w:val="bottom"/>
          </w:tcPr>
          <w:p>
            <w:pPr>
              <w:spacing w:after="0"/>
              <w:rPr>
                <w:sz w:val="1"/>
                <w:szCs w:val="1"/>
                <w:color w:val="auto"/>
              </w:rPr>
            </w:pP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Non-current self-insurance reserves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22,831</w:t>
            </w:r>
          </w:p>
        </w:tc>
        <w:tc>
          <w:tcPr>
            <w:tcW w:w="0" w:type="dxa"/>
            <w:vAlign w:val="bottom"/>
          </w:tcPr>
          <w:p>
            <w:pPr>
              <w:spacing w:after="0"/>
              <w:rPr>
                <w:sz w:val="1"/>
                <w:szCs w:val="1"/>
                <w:color w:val="auto"/>
              </w:rPr>
            </w:pPr>
          </w:p>
        </w:tc>
      </w:tr>
      <w:tr>
        <w:trPr>
          <w:trHeight w:val="22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56,862</w:t>
            </w:r>
          </w:p>
        </w:tc>
        <w:tc>
          <w:tcPr>
            <w:tcW w:w="0" w:type="dxa"/>
            <w:vAlign w:val="bottom"/>
          </w:tcPr>
          <w:p>
            <w:pPr>
              <w:spacing w:after="0"/>
              <w:rPr>
                <w:sz w:val="1"/>
                <w:szCs w:val="1"/>
                <w:color w:val="auto"/>
              </w:rPr>
            </w:pP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contingent liabilities (Note 10)</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2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Common stock of $0.33-1/3 par value; authorized 50,000,000 shares; issued and outstanding</w:t>
            </w:r>
          </w:p>
        </w:tc>
        <w:tc>
          <w:tcPr>
            <w:tcW w:w="14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8,571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8,814</w:t>
            </w:r>
          </w:p>
        </w:tc>
        <w:tc>
          <w:tcPr>
            <w:tcW w:w="0" w:type="dxa"/>
            <w:vAlign w:val="bottom"/>
          </w:tcPr>
          <w:p>
            <w:pPr>
              <w:spacing w:after="0"/>
              <w:rPr>
                <w:sz w:val="1"/>
                <w:szCs w:val="1"/>
                <w:color w:val="auto"/>
              </w:rPr>
            </w:pPr>
          </w:p>
        </w:tc>
      </w:tr>
      <w:tr>
        <w:trPr>
          <w:trHeight w:val="230"/>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25,713,688 and 26,443,166 shares, respectively</w:t>
            </w:r>
          </w:p>
        </w:tc>
        <w:tc>
          <w:tcPr>
            <w:tcW w:w="1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154,016</w:t>
            </w:r>
          </w:p>
        </w:tc>
        <w:tc>
          <w:tcPr>
            <w:tcW w:w="0" w:type="dxa"/>
            <w:vAlign w:val="bottom"/>
          </w:tcPr>
          <w:p>
            <w:pPr>
              <w:spacing w:after="0"/>
              <w:rPr>
                <w:sz w:val="1"/>
                <w:szCs w:val="1"/>
                <w:color w:val="auto"/>
              </w:rPr>
            </w:pPr>
          </w:p>
        </w:tc>
      </w:tr>
      <w:tr>
        <w:trPr>
          <w:trHeight w:val="229"/>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357,243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388,010</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stock held in trust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0"/>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Deferred compensation obligations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(34,062)</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516,778</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1,015,099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1,128,991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5"/>
              </w:rPr>
              <w:t>Year-Ended</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13"/>
        </w:trPr>
        <w:tc>
          <w:tcPr>
            <w:tcW w:w="64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February 29, 2020</w:t>
            </w:r>
          </w:p>
        </w:tc>
        <w:tc>
          <w:tcPr>
            <w:tcW w:w="200" w:type="dxa"/>
            <w:vAlign w:val="bottom"/>
          </w:tcPr>
          <w:p>
            <w:pPr>
              <w:spacing w:after="0"/>
              <w:rPr>
                <w:sz w:val="18"/>
                <w:szCs w:val="18"/>
                <w:color w:val="auto"/>
              </w:rPr>
            </w:pPr>
          </w:p>
        </w:tc>
        <w:tc>
          <w:tcPr>
            <w:tcW w:w="1340" w:type="dxa"/>
            <w:vAlign w:val="bottom"/>
          </w:tcPr>
          <w:p>
            <w:pPr>
              <w:jc w:val="right"/>
              <w:ind w:right="191"/>
              <w:spacing w:after="0"/>
              <w:rPr>
                <w:sz w:val="20"/>
                <w:szCs w:val="20"/>
                <w:color w:val="auto"/>
              </w:rPr>
            </w:pPr>
            <w:r>
              <w:rPr>
                <w:rFonts w:ascii="Arial" w:cs="Arial" w:eastAsia="Arial" w:hAnsi="Arial"/>
                <w:sz w:val="16"/>
                <w:szCs w:val="16"/>
                <w:b w:val="1"/>
                <w:bCs w:val="1"/>
                <w:color w:val="auto"/>
                <w:w w:val="99"/>
              </w:rPr>
              <w:t>March 2, 2019</w:t>
            </w:r>
          </w:p>
        </w:tc>
      </w:tr>
      <w:tr>
        <w:trPr>
          <w:trHeight w:val="226"/>
        </w:trPr>
        <w:tc>
          <w:tcPr>
            <w:tcW w:w="6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1,230,774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1,387,439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1,402,637</w:t>
            </w:r>
          </w:p>
        </w:tc>
      </w:tr>
      <w:tr>
        <w:trPr>
          <w:trHeight w:val="229"/>
        </w:trPr>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955,084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1,068,480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1,109,072</w:t>
            </w:r>
          </w:p>
        </w:tc>
      </w:tr>
      <w:tr>
        <w:trPr>
          <w:trHeight w:val="223"/>
        </w:trPr>
        <w:tc>
          <w:tcPr>
            <w:tcW w:w="6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293,565</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180,094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223,140</w:t>
            </w: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 expense on goodwill and intangible assets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r>
      <w:tr>
        <w:trPr>
          <w:trHeight w:val="223"/>
        </w:trPr>
        <w:tc>
          <w:tcPr>
            <w:tcW w:w="644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25,527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87,848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67,284</w:t>
            </w: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w:t>
            </w:r>
          </w:p>
        </w:tc>
      </w:tr>
      <w:tr>
        <w:trPr>
          <w:trHeight w:val="230"/>
        </w:trPr>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r>
      <w:tr>
        <w:trPr>
          <w:trHeight w:val="223"/>
        </w:trPr>
        <w:tc>
          <w:tcPr>
            <w:tcW w:w="6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58,662</w:t>
            </w:r>
          </w:p>
        </w:tc>
      </w:tr>
      <w:tr>
        <w:trPr>
          <w:trHeight w:val="230"/>
        </w:trPr>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w:t>
            </w:r>
          </w:p>
        </w:tc>
      </w:tr>
      <w:tr>
        <w:trPr>
          <w:trHeight w:val="248"/>
        </w:trPr>
        <w:tc>
          <w:tcPr>
            <w:tcW w:w="6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Earnings per share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basic shares outstanding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27,802</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26,304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26,729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28,082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Year-Ended</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gridSpan w:val="3"/>
          </w:tcPr>
          <w:p>
            <w:pPr>
              <w:ind w:left="80"/>
              <w:spacing w:after="0"/>
              <w:rPr>
                <w:sz w:val="20"/>
                <w:szCs w:val="20"/>
                <w:color w:val="auto"/>
              </w:rPr>
            </w:pPr>
            <w:r>
              <w:rPr>
                <w:rFonts w:ascii="Arial" w:cs="Arial" w:eastAsia="Arial" w:hAnsi="Arial"/>
                <w:sz w:val="16"/>
                <w:szCs w:val="16"/>
                <w:b w:val="1"/>
                <w:bCs w:val="1"/>
                <w:color w:val="auto"/>
              </w:rPr>
              <w:t>February 27, 2021</w:t>
            </w:r>
          </w:p>
        </w:tc>
        <w:tc>
          <w:tcPr>
            <w:tcW w:w="15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February 29, 2020</w:t>
            </w:r>
          </w:p>
        </w:tc>
        <w:tc>
          <w:tcPr>
            <w:tcW w:w="180" w:type="dxa"/>
            <w:vAlign w:val="bottom"/>
          </w:tcPr>
          <w:p>
            <w:pPr>
              <w:spacing w:after="0"/>
              <w:rPr>
                <w:sz w:val="18"/>
                <w:szCs w:val="18"/>
                <w:color w:val="auto"/>
              </w:rPr>
            </w:pPr>
          </w:p>
        </w:tc>
        <w:tc>
          <w:tcPr>
            <w:tcW w:w="1260" w:type="dxa"/>
            <w:vAlign w:val="bottom"/>
          </w:tcPr>
          <w:p>
            <w:pPr>
              <w:jc w:val="right"/>
              <w:ind w:right="131"/>
              <w:spacing w:after="0"/>
              <w:rPr>
                <w:sz w:val="20"/>
                <w:szCs w:val="20"/>
                <w:color w:val="auto"/>
              </w:rPr>
            </w:pPr>
            <w:r>
              <w:rPr>
                <w:rFonts w:ascii="Arial" w:cs="Arial" w:eastAsia="Arial" w:hAnsi="Arial"/>
                <w:sz w:val="16"/>
                <w:szCs w:val="16"/>
                <w:b w:val="1"/>
                <w:bCs w:val="1"/>
                <w:color w:val="auto"/>
                <w:w w:val="97"/>
              </w:rPr>
              <w:t>March 2, 2019</w:t>
            </w:r>
          </w:p>
        </w:tc>
        <w:tc>
          <w:tcPr>
            <w:tcW w:w="0" w:type="dxa"/>
            <w:vAlign w:val="bottom"/>
          </w:tcPr>
          <w:p>
            <w:pPr>
              <w:spacing w:after="0"/>
              <w:rPr>
                <w:sz w:val="1"/>
                <w:szCs w:val="1"/>
                <w:color w:val="auto"/>
              </w:rPr>
            </w:pPr>
          </w:p>
        </w:tc>
      </w:tr>
      <w:tr>
        <w:trPr>
          <w:trHeight w:val="226"/>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45,694</w:t>
            </w: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Other comprehensive earnings (loss):</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4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Unrealized gain on marketable securities, net of $22, $67 and $17 of tax expense,</w:t>
            </w:r>
          </w:p>
        </w:tc>
        <w:tc>
          <w:tcPr>
            <w:tcW w:w="4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4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40" w:type="dxa"/>
            <w:vAlign w:val="bottom"/>
            <w:gridSpan w:val="2"/>
          </w:tcPr>
          <w:p>
            <w:pPr>
              <w:ind w:left="360"/>
              <w:spacing w:after="0" w:line="176" w:lineRule="exact"/>
              <w:rPr>
                <w:sz w:val="20"/>
                <w:szCs w:val="20"/>
                <w:color w:val="auto"/>
              </w:rPr>
            </w:pPr>
            <w:r>
              <w:rPr>
                <w:rFonts w:ascii="Arial" w:cs="Arial" w:eastAsia="Arial" w:hAnsi="Arial"/>
                <w:sz w:val="18"/>
                <w:szCs w:val="18"/>
                <w:color w:val="auto"/>
                <w:w w:val="96"/>
              </w:rPr>
              <w:t>Unrealized gain (loss) on foreign currency hedge, net of $450, $(129) and $(172) of</w:t>
            </w:r>
          </w:p>
        </w:tc>
        <w:tc>
          <w:tcPr>
            <w:tcW w:w="4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30"/>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tax expense (benefit), respectively</w:t>
            </w:r>
          </w:p>
        </w:tc>
        <w:tc>
          <w:tcPr>
            <w:tcW w:w="4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4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gain (loss) on pension obligation, net of $32, $(124) and $72 of tax</w:t>
            </w:r>
          </w:p>
        </w:tc>
        <w:tc>
          <w:tcPr>
            <w:tcW w:w="4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 (benefit), respectively</w:t>
            </w:r>
          </w:p>
        </w:tc>
        <w:tc>
          <w:tcPr>
            <w:tcW w:w="4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earnings (loss)</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2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Total comprehensive earnings</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38,357</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Year-Ended</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1" w:lineRule="exact"/>
              <w:rPr>
                <w:sz w:val="20"/>
                <w:szCs w:val="20"/>
                <w:color w:val="auto"/>
              </w:rPr>
            </w:pPr>
            <w:r>
              <w:rPr>
                <w:rFonts w:ascii="Arial" w:cs="Arial" w:eastAsia="Arial" w:hAnsi="Arial"/>
                <w:sz w:val="16"/>
                <w:szCs w:val="16"/>
                <w:b w:val="1"/>
                <w:bCs w:val="1"/>
                <w:color w:val="auto"/>
                <w:w w:val="94"/>
              </w:rPr>
              <w:t>February 27,</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1" w:lineRule="exact"/>
              <w:rPr>
                <w:sz w:val="20"/>
                <w:szCs w:val="20"/>
                <w:color w:val="auto"/>
              </w:rPr>
            </w:pPr>
            <w:r>
              <w:rPr>
                <w:rFonts w:ascii="Arial" w:cs="Arial" w:eastAsia="Arial" w:hAnsi="Arial"/>
                <w:sz w:val="16"/>
                <w:szCs w:val="16"/>
                <w:b w:val="1"/>
                <w:bCs w:val="1"/>
                <w:color w:val="auto"/>
                <w:w w:val="94"/>
              </w:rPr>
              <w:t>February 29,</w:t>
            </w:r>
          </w:p>
        </w:tc>
        <w:tc>
          <w:tcPr>
            <w:tcW w:w="120" w:type="dxa"/>
            <w:vAlign w:val="bottom"/>
          </w:tcPr>
          <w:p>
            <w:pPr>
              <w:spacing w:after="0"/>
              <w:rPr>
                <w:sz w:val="14"/>
                <w:szCs w:val="14"/>
                <w:color w:val="auto"/>
              </w:rPr>
            </w:pPr>
          </w:p>
        </w:tc>
        <w:tc>
          <w:tcPr>
            <w:tcW w:w="1140" w:type="dxa"/>
            <w:vAlign w:val="bottom"/>
            <w:vMerge w:val="restart"/>
          </w:tcPr>
          <w:p>
            <w:pPr>
              <w:jc w:val="right"/>
              <w:ind w:right="55"/>
              <w:spacing w:after="0"/>
              <w:rPr>
                <w:sz w:val="20"/>
                <w:szCs w:val="20"/>
                <w:color w:val="auto"/>
              </w:rPr>
            </w:pPr>
            <w:r>
              <w:rPr>
                <w:rFonts w:ascii="Arial" w:cs="Arial" w:eastAsia="Arial" w:hAnsi="Arial"/>
                <w:sz w:val="16"/>
                <w:szCs w:val="16"/>
                <w:b w:val="1"/>
                <w:bCs w:val="1"/>
                <w:color w:val="auto"/>
                <w:w w:val="93"/>
              </w:rPr>
              <w:t>March 2, 2019</w:t>
            </w:r>
          </w:p>
        </w:tc>
        <w:tc>
          <w:tcPr>
            <w:tcW w:w="0" w:type="dxa"/>
            <w:vAlign w:val="bottom"/>
          </w:tcPr>
          <w:p>
            <w:pPr>
              <w:spacing w:after="0"/>
              <w:rPr>
                <w:sz w:val="1"/>
                <w:szCs w:val="1"/>
                <w:color w:val="auto"/>
              </w:rPr>
            </w:pPr>
          </w:p>
        </w:tc>
      </w:tr>
      <w:tr>
        <w:trPr>
          <w:trHeight w:val="213"/>
        </w:trPr>
        <w:tc>
          <w:tcPr>
            <w:tcW w:w="71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8"/>
                <w:szCs w:val="18"/>
                <w:color w:val="auto"/>
              </w:rPr>
            </w:pPr>
          </w:p>
        </w:tc>
        <w:tc>
          <w:tcPr>
            <w:tcW w:w="1120" w:type="dxa"/>
            <w:vAlign w:val="bottom"/>
          </w:tcPr>
          <w:p>
            <w:pPr>
              <w:jc w:val="right"/>
              <w:ind w:right="376"/>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61,914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45,694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0628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51,440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49,798</w:t>
            </w: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(5,506)</w:t>
            </w: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disposal of assets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Impairment expense on goodwill and intangible assets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3,141</w:t>
            </w: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new markets tax credit transaction, net of deferred costs</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18,164</w:t>
            </w: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5,114</w:t>
            </w: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earnings on contracts in excess of billings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(48,712)</w:t>
            </w: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7,600</w:t>
            </w: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w:t>
            </w: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Refundable and accrued income taxes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3,680</w:t>
            </w: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r>
      <w:tr>
        <w:trPr>
          <w:trHeight w:val="223"/>
        </w:trPr>
        <w:tc>
          <w:tcPr>
            <w:tcW w:w="7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96,423</w:t>
            </w:r>
          </w:p>
        </w:tc>
      </w:tr>
      <w:tr>
        <w:trPr>
          <w:trHeight w:val="20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(60,717)</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12,333</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Sales/maturities of marketable securities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23"/>
        </w:trPr>
        <w:tc>
          <w:tcPr>
            <w:tcW w:w="71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by investing activities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(53,696)</w:t>
            </w:r>
          </w:p>
        </w:tc>
      </w:tr>
      <w:tr>
        <w:trPr>
          <w:trHeight w:val="21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Borrowings on line of credit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198,601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363,000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borrowings on debt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Payments on line of credit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(246,340)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(333,000)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and retirement of common stock</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(43,326)</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(17,864)</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23"/>
        </w:trPr>
        <w:tc>
          <w:tcPr>
            <w:tcW w:w="71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by financing activities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(107,876)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(32,326)</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Effect of exchange rates on cash</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19,359</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29,241</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7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Noncash Activity</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Capital expenditures in 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1,703</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Deferred</w:t>
            </w:r>
          </w:p>
        </w:tc>
        <w:tc>
          <w:tcPr>
            <w:tcW w:w="10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3"/>
                <w:szCs w:val="13"/>
                <w:color w:val="auto"/>
              </w:rPr>
            </w:pPr>
          </w:p>
        </w:tc>
        <w:tc>
          <w:tcPr>
            <w:tcW w:w="760" w:type="dxa"/>
            <w:vAlign w:val="bottom"/>
            <w:vMerge w:val="restart"/>
          </w:tcPr>
          <w:p>
            <w:pPr>
              <w:jc w:val="center"/>
              <w:ind w:right="112"/>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gridSpan w:val="2"/>
            <w:vMerge w:val="restart"/>
          </w:tcPr>
          <w:p>
            <w:pPr>
              <w:ind w:left="20"/>
              <w:spacing w:after="0"/>
              <w:rPr>
                <w:sz w:val="20"/>
                <w:szCs w:val="20"/>
                <w:color w:val="auto"/>
              </w:rPr>
            </w:pPr>
            <w:r>
              <w:rPr>
                <w:rFonts w:ascii="Arial" w:cs="Arial" w:eastAsia="Arial" w:hAnsi="Arial"/>
                <w:sz w:val="13"/>
                <w:szCs w:val="13"/>
                <w:i w:val="1"/>
                <w:iCs w:val="1"/>
                <w:color w:val="auto"/>
              </w:rPr>
              <w:t>(In thousands, except per share data)</w:t>
            </w: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Stock Held in</w:t>
            </w:r>
          </w:p>
        </w:tc>
        <w:tc>
          <w:tcPr>
            <w:tcW w:w="102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Compensation</w:t>
            </w:r>
          </w:p>
        </w:tc>
        <w:tc>
          <w:tcPr>
            <w:tcW w:w="10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82"/>
        </w:trPr>
        <w:tc>
          <w:tcPr>
            <w:tcW w:w="3220" w:type="dxa"/>
            <w:vAlign w:val="bottom"/>
            <w:gridSpan w:val="2"/>
            <w:vMerge w:val="continue"/>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Outstanding</w:t>
            </w: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Trust</w:t>
            </w: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Obligation</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2"/>
              </w:rPr>
              <w:t>(Loss) Income</w:t>
            </w:r>
          </w:p>
        </w:tc>
        <w:tc>
          <w:tcPr>
            <w:tcW w:w="180" w:type="dxa"/>
            <w:vAlign w:val="bottom"/>
          </w:tcPr>
          <w:p>
            <w:pPr>
              <w:spacing w:after="0"/>
              <w:rPr>
                <w:sz w:val="15"/>
                <w:szCs w:val="15"/>
                <w:color w:val="auto"/>
              </w:rPr>
            </w:pPr>
          </w:p>
        </w:tc>
        <w:tc>
          <w:tcPr>
            <w:tcW w:w="760" w:type="dxa"/>
            <w:vAlign w:val="bottom"/>
          </w:tcPr>
          <w:p>
            <w:pPr>
              <w:jc w:val="center"/>
              <w:ind w:right="112"/>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 2018</w:t>
            </w: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28,158</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9,386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152,763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373,259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(24,053)</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511,355</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Net earnings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45,694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45,694</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Cumulative effect adjustment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w:t>
            </w:r>
          </w:p>
        </w:tc>
        <w:tc>
          <w:tcPr>
            <w:tcW w:w="0" w:type="dxa"/>
            <w:vAlign w:val="bottom"/>
          </w:tcPr>
          <w:p>
            <w:pPr>
              <w:spacing w:after="0"/>
              <w:rPr>
                <w:sz w:val="1"/>
                <w:szCs w:val="1"/>
                <w:color w:val="auto"/>
              </w:rPr>
            </w:pPr>
          </w:p>
        </w:tc>
      </w:tr>
      <w:tr>
        <w:trPr>
          <w:trHeight w:val="136"/>
        </w:trPr>
        <w:tc>
          <w:tcPr>
            <w:tcW w:w="322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2"/>
              </w:rPr>
              <w:t>Unrealized gain on marketable securities, net of $17 tax</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w w:val="93"/>
              </w:rPr>
              <w:t>Unrealized loss on foreign currency hedge, net of $172</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88"/>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benefit</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22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7"/>
              </w:rPr>
              <w:t>Unrealized gain on pension obligation, net of $72 tax</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81"/>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(7,065)</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Reclassification of tax effects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stock, net of cancellations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6,286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6,286</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tcPr>
          <w:p>
            <w:pPr>
              <w:jc w:val="right"/>
              <w:spacing w:after="0"/>
              <w:rPr>
                <w:sz w:val="20"/>
                <w:szCs w:val="20"/>
                <w:color w:val="auto"/>
              </w:rPr>
            </w:pPr>
            <w:r>
              <w:rPr>
                <w:rFonts w:ascii="Arial" w:cs="Arial" w:eastAsia="Arial" w:hAnsi="Arial"/>
                <w:sz w:val="14"/>
                <w:szCs w:val="14"/>
                <w:color w:val="auto"/>
              </w:rPr>
              <w:t>(1,258)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(35,703)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(43,326)</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share retirements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w:t>
            </w:r>
          </w:p>
        </w:tc>
        <w:tc>
          <w:tcPr>
            <w:tcW w:w="0" w:type="dxa"/>
            <w:vAlign w:val="bottom"/>
          </w:tcPr>
          <w:p>
            <w:pPr>
              <w:spacing w:after="0"/>
              <w:rPr>
                <w:sz w:val="1"/>
                <w:szCs w:val="1"/>
                <w:color w:val="auto"/>
              </w:rPr>
            </w:pPr>
          </w:p>
        </w:tc>
      </w:tr>
      <w:tr>
        <w:trPr>
          <w:trHeight w:val="183"/>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Cash dividends ($0.6475 per share)</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(17,864)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(17,864)</w:t>
            </w:r>
          </w:p>
        </w:tc>
        <w:tc>
          <w:tcPr>
            <w:tcW w:w="0" w:type="dxa"/>
            <w:vAlign w:val="bottom"/>
          </w:tcPr>
          <w:p>
            <w:pPr>
              <w:spacing w:after="0"/>
              <w:rPr>
                <w:sz w:val="1"/>
                <w:szCs w:val="1"/>
                <w:color w:val="auto"/>
              </w:rPr>
            </w:pPr>
          </w:p>
        </w:tc>
      </w:tr>
      <w:tr>
        <w:trPr>
          <w:trHeight w:val="189"/>
        </w:trPr>
        <w:tc>
          <w:tcPr>
            <w:tcW w:w="3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2,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27,015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9,005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151,842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367,597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(32,127)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496,317</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Net earnings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61,914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61,914</w:t>
            </w:r>
          </w:p>
        </w:tc>
        <w:tc>
          <w:tcPr>
            <w:tcW w:w="0" w:type="dxa"/>
            <w:vAlign w:val="bottom"/>
          </w:tcPr>
          <w:p>
            <w:pPr>
              <w:spacing w:after="0"/>
              <w:rPr>
                <w:sz w:val="1"/>
                <w:szCs w:val="1"/>
                <w:color w:val="auto"/>
              </w:rPr>
            </w:pPr>
          </w:p>
        </w:tc>
      </w:tr>
      <w:tr>
        <w:trPr>
          <w:trHeight w:val="143"/>
        </w:trPr>
        <w:tc>
          <w:tcPr>
            <w:tcW w:w="32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2"/>
              </w:rPr>
              <w:t>Unrealized gain on marketable securities, net of $67 tax</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8"/>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22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3"/>
              </w:rPr>
              <w:t>Unrealized loss on foreign currency hedge, net of $129</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(423)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81"/>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tax benefit</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2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5"/>
              </w:rPr>
              <w:t>Unrealized loss on pension obligation, net of $124 tax</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8"/>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benefit</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stock, net of cancellations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6,607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6,607</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(25,140)</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Other share retirements</w:t>
            </w:r>
          </w:p>
        </w:tc>
        <w:tc>
          <w:tcPr>
            <w:tcW w:w="94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($0.7125 per share)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(18,714)</w:t>
            </w:r>
          </w:p>
        </w:tc>
        <w:tc>
          <w:tcPr>
            <w:tcW w:w="0" w:type="dxa"/>
            <w:vAlign w:val="bottom"/>
          </w:tcPr>
          <w:p>
            <w:pPr>
              <w:spacing w:after="0"/>
              <w:rPr>
                <w:sz w:val="1"/>
                <w:szCs w:val="1"/>
                <w:color w:val="auto"/>
              </w:rPr>
            </w:pPr>
          </w:p>
        </w:tc>
      </w:tr>
      <w:tr>
        <w:trPr>
          <w:trHeight w:val="177"/>
        </w:trPr>
        <w:tc>
          <w:tcPr>
            <w:tcW w:w="32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February 29,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26,443</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8,814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154,016</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388,010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(685)</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685</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(34,062)</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516,778</w:t>
            </w:r>
          </w:p>
        </w:tc>
        <w:tc>
          <w:tcPr>
            <w:tcW w:w="0" w:type="dxa"/>
            <w:vAlign w:val="bottom"/>
          </w:tcPr>
          <w:p>
            <w:pPr>
              <w:spacing w:after="0"/>
              <w:rPr>
                <w:sz w:val="1"/>
                <w:szCs w:val="1"/>
                <w:color w:val="auto"/>
              </w:rPr>
            </w:pPr>
          </w:p>
        </w:tc>
      </w:tr>
      <w:tr>
        <w:trPr>
          <w:trHeight w:val="195"/>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15,436</w:t>
            </w:r>
          </w:p>
        </w:tc>
        <w:tc>
          <w:tcPr>
            <w:tcW w:w="0" w:type="dxa"/>
            <w:vAlign w:val="bottom"/>
          </w:tcPr>
          <w:p>
            <w:pPr>
              <w:spacing w:after="0"/>
              <w:rPr>
                <w:sz w:val="1"/>
                <w:szCs w:val="1"/>
                <w:color w:val="auto"/>
              </w:rPr>
            </w:pPr>
          </w:p>
        </w:tc>
      </w:tr>
      <w:tr>
        <w:trPr>
          <w:trHeight w:val="136"/>
        </w:trPr>
        <w:tc>
          <w:tcPr>
            <w:tcW w:w="322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2"/>
              </w:rPr>
              <w:t>Unrealized gain on marketable securities, net of $22 tax</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1"/>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2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3"/>
              </w:rPr>
              <w:t>Unrealized gain on foreign currency hedge, net of $450</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0" w:type="dxa"/>
            <w:vAlign w:val="bottom"/>
          </w:tcPr>
          <w:p>
            <w:pPr>
              <w:spacing w:after="0"/>
              <w:rPr>
                <w:sz w:val="1"/>
                <w:szCs w:val="1"/>
                <w:color w:val="auto"/>
              </w:rPr>
            </w:pPr>
          </w:p>
        </w:tc>
      </w:tr>
      <w:tr>
        <w:trPr>
          <w:trHeight w:val="188"/>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expense</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22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7"/>
              </w:rPr>
              <w:t>Unrealized gain on pension obligation, net of $32 tax</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1"/>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Issuance of stock, net of cancellations</w:t>
            </w:r>
          </w:p>
        </w:tc>
        <w:tc>
          <w:tcPr>
            <w:tcW w:w="940" w:type="dxa"/>
            <w:vAlign w:val="bottom"/>
          </w:tcPr>
          <w:p>
            <w:pPr>
              <w:jc w:val="right"/>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8,573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8,573</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1,414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(32,878)</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Other share retirements</w:t>
            </w:r>
          </w:p>
        </w:tc>
        <w:tc>
          <w:tcPr>
            <w:tcW w:w="940" w:type="dxa"/>
            <w:vAlign w:val="bottom"/>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(3,161)</w:t>
            </w:r>
          </w:p>
        </w:tc>
        <w:tc>
          <w:tcPr>
            <w:tcW w:w="0" w:type="dxa"/>
            <w:vAlign w:val="bottom"/>
          </w:tcPr>
          <w:p>
            <w:pPr>
              <w:spacing w:after="0"/>
              <w:rPr>
                <w:sz w:val="1"/>
                <w:szCs w:val="1"/>
                <w:color w:val="auto"/>
              </w:rPr>
            </w:pPr>
          </w:p>
        </w:tc>
      </w:tr>
      <w:tr>
        <w:trPr>
          <w:trHeight w:val="19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($0.7625 per share)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(19,601)</w:t>
            </w:r>
          </w:p>
        </w:tc>
        <w:tc>
          <w:tcPr>
            <w:tcW w:w="0" w:type="dxa"/>
            <w:vAlign w:val="bottom"/>
          </w:tcPr>
          <w:p>
            <w:pPr>
              <w:spacing w:after="0"/>
              <w:rPr>
                <w:sz w:val="1"/>
                <w:szCs w:val="1"/>
                <w:color w:val="auto"/>
              </w:rPr>
            </w:pPr>
          </w:p>
        </w:tc>
      </w:tr>
      <w:tr>
        <w:trPr>
          <w:trHeight w:val="189"/>
        </w:trPr>
        <w:tc>
          <w:tcPr>
            <w:tcW w:w="32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February 27,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25,714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8,571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154,958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357,243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(28,027)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492,745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Related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consolidated financial statements include the balances of Apogee Enterprises, Inc. and its subsidiaries (Apogee, we, us, our or the Company) after elimination of intercompany balances and transactions. We consolidate variable interest entities related to our New Market Tax Credit transactions as it has been determined that the Company is the primary beneficiary of those entities' operations (refer to Note 10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fiscal year ends on the Saturday closest to the last day of February, or as determined by the Board of Directors. Fiscal 2021, 2020 and 2019 each consisted of 52 weeks.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reported amounts in the consolidated financial statements and accompanying notes. Actual results could differ significantly from those estimates.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Certain reclassifications of amounts previously reported have been made to the accompanying consolidated results of operations to maintain consistency and comparability between periods presented. These reclassifications had no impact on previously reported operating income or net earnings within the consolidated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Highly liquid investments with an original maturity of three months or less are included in cash equivalents and are stated at cost, which approximates fair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the extent the amortized cost basis of the available-for-sale securities exceeds the fair value, the Company assesses the debt securities for credit loss. When assessing the risk of credit loss, the Company considers factors such as the severity and the reason of the decline in value, such as any changes to the rating of the security by a rating agency or other adverse conditions specifically related to the security, and management's intended holding period and time horizon for selling. During fiscal 2021, 2020, and 2019, the Company did not recognize any credit losses related to its available-for-sale securities. Further, as of February 27, 2021 and February 29, 2020, the Company did not record an allowance for credit losses related to its available-for-sale securities. Marketable securities are included in other current and non-current assets on the consolidated balance sheets and gross realized gains and losses are included in other income (expense), net in our consolidated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Inventories, which consist primarily of purchased glass and aluminum, are valued at lower of cost or market using the first-in, first-out (FIFO) method.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Property, plant and equipment (PP&amp;E) is recorded at cost. Significant improvements and renewals that extend the useful life of the asset are capitalized. Repairs and maintenance are charged to expense as incurred. When an asset is retired or otherwise disposed of, the cost and related accumulated depreciation are removed from the accounts and any related gains or losses are included in selling, general and administrative expenses. Long-lived assets to be held and used, such as PP&amp;E, are reviewed for impairment whenever events or changes in circumstances indicate that the carrying amount may not be recoverable.</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is computed on a straight-line basis, based on estimated useful lives of 10 to 25 years for buildings and improvements; 3 to 10 years for machinery and equipment; and 3 to 7 years for office equipment and furniture.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Long-lived assets or asset groups, including definite-lived intangible assets ("intangible assets") subject to amortization and property and equipment, are reviewed for impairment whenever events or changes in circumstances such as asset utilization, physical change, legal factors or other matters indicate that the carrying value of those assets may not be recoverable. When this review indicates the carrying value of an asset or asset group exceeds the sum of the undiscounted cash flows expected to result from the use and eventual disposition of the asset or asset group, an asset impairment expense is recognized in earnings in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period such a determination is made. The amount of the impairment expense recorded is the amount by which the carrying value of the impaired asset or asset group exceeds its fair value based on discounted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Goodwill represents the excess of the cost over the net tangible and identified intangible assets of acquired businesses. We have historically evaluated goodwill for impairment annually at our year-end, or more frequently if events or changes in circumstances indicate the carrying value of the goodwill may not be recoverable. In the third quarter of fiscal 2021, we changed the date of our annual goodwill impairment testing from our fiscal year-end to the first day in our fiscal fourth quarter. This change results in better alignment of the annual impairment test with our strategic and annual planning processes. This change was determined to not be material to and had no impact on our current or historical consolidated financial statements.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segment management on a regular basis. During the third quarter of fiscal 2021, we combined two reporting units into one reporting unit, following certain structural and leadership changes at the Company, specifically within the Architectural Framing Systems segment. Within this segment, as a result of integration efforts that are ongoing, leadership over the Tubelite and Alumicor reporting units has been combined and functional leaders in areas such as operations, sales, marketing and administration are responsible for allocating resources and reviewing results of the combined business. The goodwill of the individual reporting units was therefore aggregated to the combined reporting unit. We evaluated goodwill on a qualitative basis prior to and subsequent to this change and concluded that no adjustment to the carrying value of goodwill was necessary as a result of this change. In addition, no qualitative indicators of impairment were identified during the third quarter of fiscal 2021, and therefore, no interim quantitative goodwill impairment evaluation was performed. Following this change, we have eight reporting units, six of which have goodwill. If the fair value of a reporting unit exceeds the carrying value, goodwill impairment is not indicated. If the carrying amount of a reporting unit is determined to be higher than its estimated fair value, the excess is recognized as an impairment expense.</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 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guidelines for publicly traded companies.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Intangible assets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If the carrying amount of an indefinite-lived intangible asset exceeds its fair value, an impairment expense is recognized in an amount equal to that excess. If an impairment expense is recognized, the adjusted carrying amount becomes the asset's new accounting basis.</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Fair value of indefinite-lived intangible assets is measured using the relief-from-royalty method. This method assumes the trade name or trademark has value to the extent that the owner is relieved of the obligation to pay royalties for the benefits received from the asset. This method requires estimation of future revenue from the related asset, the appropriate royalty rate, and the weighted average cost of capital. The assessment of fair value involves significant judgment and projections about future performance.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Definite-lived intangible assets are amortized based on estimated useful lives ranging from 18 months to 30 years and are reviewed for impairment whenever events or changes in circumstances indicate that the carrying amount may not be recoverable.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lives of all intangible assets are reviewed annually, and we have determined that the remaining lives were appropriate.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March 3, 2019, we adopted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results in recognizing a right-of-use asset and lease liability on our consolidated balance sheet at lease commencement for leases with terms greater than twelve months. The initial lease liability is recognized at the present value of remaining lease payments over the lease term. Leases with an initial term of twelve months or less are not recorded on our consolidated balance sheet. We recognize lease expense for operating leases on a straight-line basis over the lease term. We combine lease and non-lease components, such as common area maintenance costs, in calculating the related asset and lease liabilities for all underlying asset groups. Refer to additional information in Note 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obtain commercial insurance to provide coverage for potential losses in areas such as employment practices, workers' compensation, directors and officers, automobile, architect's and engineer's errors and omissions, product rework and general liability. A substantial portion of this risk is retained on a self-insured basis through our wholly-owned insurance subsidiary. We establish a reserve for estimated ultimate losses on reported claims and those incurred but not yet reported utilizing actuarial projections. Reserves are classified within other current liabilities or long-term self-insurance reserves based on expectations of when the estimated loss will be paid.</w:t>
      </w:r>
    </w:p>
    <w:p>
      <w:pPr>
        <w:spacing w:after="0" w:line="21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Additionally, we maintain a self-insurance reserve for health insurance programs offered to eligible employees, included within accrued self-insurance reserves. The reserve includes an estimate for losses on reported claims as well as for amounts incurred but not yet reported, based on historical trends.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and project-related contingencies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claims associated with our products and services, principally as a result of disputes with our customers involving the performance or aesthetics of our architectural products and services. We reserve estimated exposures on known claims, as well as on a portion of anticipated claims for product warranty and rework costs, based on historical product liability claims as a ratio of sales. We also reserve for estimated exposures on other claims as they are known and reasonably estimable. Reserves are included in other current and non-current liabilities based on the estimated timing of dispute resolution.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Local currencies are considered the functional currencies for our subsidiaries outside of the United States. Assets and liabilities of these subsidiaries are translated at the exchange rates at the balance sheet date. Income and expense items are translated using average monthly exchange rates. Translation adjustments are included in accumulated other comprehensive loss in the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activities</w:t>
      </w:r>
    </w:p>
    <w:p>
      <w:pPr>
        <w:spacing w:after="0" w:line="1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are exposed to, among other risks, the impact of changes in aluminum prices, foreign currency exchange rates, and interest rates in the normal course of business. In order to manage the exposure and volatility arising from these risks, we utilize derivative financial instruments to offset a portion of these risks. We use derivative financial instruments only to the extent necessary to hedge identified business risks, and do not hold or issue derivative financial instruments for trading purposes and are not a party to leveraged derivatives.</w:t>
      </w:r>
    </w:p>
    <w:p>
      <w:pPr>
        <w:spacing w:after="0" w:line="2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All derivative instruments within the scope of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are recorded as either assets or liabilities at fair value on the consolidated balance sheets. All hedging instruments that qualify for hedge accounting are designated and effective as hedges with changes recognized in other comprehensive earnings (loss). Instruments that do not qualify for hedge accounting are marked to market with changes recognized in current earnings. Cash flows from derivative instruments are classified in the statements of cash flows in the same category as the cash flows from the items subject to designated hedge or undesignated (economic) hedge relationships. Please refer to Note 4 for further disclosure on derivatives.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March 4, 2018, we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as a result, made updates to our significant accounting policy for revenue recognition. We generate revenue from the design, engineering and fabrication of architectural glass, curtainwall, window, storefront and entrance systems, and from installing those products on commercial buildings. We also manufacture value-added glass and acrylic products. Due to the diverse nature of our operations and various types of contracts with customers, we have businesses that recognize revenue over time and businesses that recognize revenue at a point in time.</w:t>
      </w: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2021, approximately 41 percent of our total revenue is recognized at the time products are shipped from our manufacturing facilities, which is when control is transferred to our customer, consistent with past practices. These businesses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not generate contract-related assets or liabilities. Variable consideration associated with these contracts and orders, generally related to early pay discounts or volume rebates, is not considered significant.</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also have three businesses which operate under long-term, fixed-price contracts, representing approximately 36 percent of our total revenue in the current year.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the nature of the work required under these long-term contracts, the estimation of total revenue and costs incurred throughout a project is subject to many variables and requires significant judgment. It is common for these contracts to contain potential bonuses or penalties which are generally awarded or charged upon certain project milestones or cost or timing targets, and these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most cases, these contract modifications are for goods or services that are not distinct from the existing contract, due to the significant integration service provided in the context of the contract. Therefore, these modifications are accounted for as part of the existing contract. The effect of a contract modification on the transaction price and our measure of progress is recognized as an adjustment to revenue, generally on a cumulative catch-up basis.</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Typically, under these fixed-price contracts, we bill our customers following an agreed-upon schedule based on work performed. Because the progress billings do not generally correspond to our measurement of revenue on a contract, we generate contract assets when we have recognized revenue in excess of the amount billed to the customer. We generate contract liabilities when we have billed the customer in excess of revenue recognized on a contract.</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Finally, we have one business, making up approximately 23 percent of our total revenue in the current year, that recognizes revenue following an over-time output method based upon units produced. The customer is considered to have control over the products at the time of production, as the products are highly customized with no alternative use, and we have an enforceable right to payment for performance completed over the production period. We believe this over-time output method of recognizing revenue reasonably depicts the fulfillment of our performance obligations under our contracts. Billings still occur upon shipment. Therefore, contract assets are generated for the unbilled amounts on contracts when production is complete. Variable consideration associated with these orders, generally related to early pay discounts, is not considered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have made the following policy elections associated with revenue recognition:</w:t>
      </w:r>
    </w:p>
    <w:p>
      <w:pPr>
        <w:spacing w:after="0" w:line="23" w:lineRule="exact"/>
        <w:rPr>
          <w:sz w:val="20"/>
          <w:szCs w:val="20"/>
          <w:color w:val="auto"/>
        </w:rPr>
      </w:pPr>
    </w:p>
    <w:p>
      <w:pPr>
        <w:ind w:left="660" w:right="2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account for shipping and handling activities that occur after control of the related goods transfers to the customer as fulfillment activities, instead of assessing such activities as performance obligations.</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exclude from the transaction price all sales taxes related to revenue-producing transactions that are collected from the customer for a government authority. We are considered a pass-through conduit for collecting and remitting sales taxes.</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generally expense incremental costs of obtaining a contract when incurred because the amortization period would be less than one year. These costs primarily relate to sales commissions and are included in selling, general and administrative expenses.</w:t>
      </w:r>
    </w:p>
    <w:p>
      <w:pPr>
        <w:ind w:left="66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adjust contract price for a significant financing component, as we expect the period between when our goods and services are transferred to the customer and when the customer pays for those goods and services to be less than a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Amounts billed to a customer in a sales transaction related to shipping and handling are reported as revenue. Costs we incur for shipping and handling are reported as cost of sales.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costs are expensed as incurred and were $15.3 million, $16.6 million and $19.5 million for fiscal 2021, 2020 and 2019, respectively. Of these amounts, $9.9 million, $8.0 million and $6.5 million, respectively, were focused primarily upon design of custom window and curtainwall systems in accordance with customer specifications and are included in cost of sales. The remainder of the expense is included within selling, general and administrative expenses.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Advertising costs are expensed as incurred within selling, general and administrative expenses, and were $1.1 million in fiscal 2021, $1.4 million in fiscal 2020 and $1.5 million in fiscal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The Company recognizes deferred tax assets and liabilities based upon the future tax consequences of temporary differences between financial statement carrying amounts of assets and liabilities and their respective tax bases. See Note 13 for additional information regarding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We have evaluated subsequent events for potential recognition and disclosure through the date of this filing. Subsequent to the end of the year, we purchased 173,000 shares of stock under our authorized share repurchase program, at a total cost of $6.2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which revises guidance for the accounting for credit losses on financial instruments within its scope. The new standard introduces an approach, based on expected losses, to estimate credit losses on certain types of financial instruments, including accounts receivable, and modifies the impairment model for available-for-sale debt securities.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adopted this standard at the beginning of fiscal 2021, following the modified retrospective application approach. Additionally, the new guidance makes targeted improvements to the impairment model for certain available-for-sale debt securities, including eliminating the concept of "other than temporary" from that model. The portion of the guidance related to available-for-sale debt securities was adopted following a prospective approach. The adoption of this ASU did not have a significant impact on earnings or financial condition. Refer to additional disclosures in Notes 2 and 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The amendments in this ASU removed exceptions on intraperiod tax allocations and reporting and provided simplification on accounting for franchise taxes, tax basis goodwill and tax law changes. We are evaluating the expected impact these amendments will have on our consolidated financial statements, but the impact is not expected to be significant.</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The amendments in this ASU provide optional guidance for a limited period of time to ease the potential burden in accounting for (or</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recognizing the effects of) reference rate reform on financial reporting. The amendments in this ASU provide optional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LIBOR or another reference rate expected to be discontinued because of reference rate reform. We are evaluating the expected impact these amendments and reference rate reform will have on our consolidated financial statements and various contracts but the impact is not expected to be significant.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total revenue by timing of recognition (see Note 15 for disclosure of revenue by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29, 2020</w:t>
            </w:r>
          </w:p>
        </w:tc>
        <w:tc>
          <w:tcPr>
            <w:tcW w:w="200" w:type="dxa"/>
            <w:vAlign w:val="bottom"/>
          </w:tcPr>
          <w:p>
            <w:pPr>
              <w:spacing w:after="0"/>
              <w:rPr>
                <w:sz w:val="18"/>
                <w:szCs w:val="18"/>
                <w:color w:val="auto"/>
              </w:rPr>
            </w:pPr>
          </w:p>
        </w:tc>
        <w:tc>
          <w:tcPr>
            <w:tcW w:w="1340" w:type="dxa"/>
            <w:vAlign w:val="bottom"/>
          </w:tcPr>
          <w:p>
            <w:pPr>
              <w:jc w:val="right"/>
              <w:ind w:right="192"/>
              <w:spacing w:after="0"/>
              <w:rPr>
                <w:sz w:val="20"/>
                <w:szCs w:val="20"/>
                <w:color w:val="auto"/>
              </w:rPr>
            </w:pPr>
            <w:r>
              <w:rPr>
                <w:rFonts w:ascii="Arial" w:cs="Arial" w:eastAsia="Arial" w:hAnsi="Arial"/>
                <w:sz w:val="16"/>
                <w:szCs w:val="16"/>
                <w:b w:val="1"/>
                <w:bCs w:val="1"/>
                <w:color w:val="auto"/>
                <w:w w:val="99"/>
              </w:rPr>
              <w:t>March 2, 2019</w:t>
            </w:r>
          </w:p>
        </w:tc>
      </w:tr>
      <w:tr>
        <w:trPr>
          <w:trHeight w:val="226"/>
        </w:trPr>
        <w:tc>
          <w:tcPr>
            <w:tcW w:w="6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Recognized at shipment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623,357</w:t>
            </w:r>
          </w:p>
        </w:tc>
      </w:tr>
      <w:tr>
        <w:trPr>
          <w:trHeight w:val="230"/>
        </w:trPr>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Recognized over time</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779,280</w:t>
            </w:r>
          </w:p>
        </w:tc>
      </w:tr>
      <w:tr>
        <w:trPr>
          <w:trHeight w:val="248"/>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1,230,774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1,402,637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 Retainage on construction contracts represents amounts withheld by our customers on long-term projects until the project reaches a level of completion where amounts are released.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Arial" w:cs="Arial" w:eastAsia="Arial" w:hAnsi="Arial"/>
                <w:sz w:val="18"/>
                <w:szCs w:val="18"/>
                <w:color w:val="auto"/>
              </w:rPr>
              <w:t>Construction contracts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retainage</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Arial" w:cs="Arial" w:eastAsia="Arial" w:hAnsi="Arial"/>
                <w:sz w:val="18"/>
                <w:szCs w:val="18"/>
                <w:color w:val="auto"/>
              </w:rPr>
              <w:t>Total receivables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177,864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199,275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196,806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summarizes the activity in the allowance for credit losses:</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9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Additions charged to costs and expenses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Deductions from allowance, net of recoveries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deductions</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Arial" w:cs="Arial" w:eastAsia="Arial" w:hAnsi="Arial"/>
                <w:sz w:val="16"/>
                <w:szCs w:val="16"/>
                <w:b w:val="1"/>
                <w:bCs w:val="1"/>
                <w:color w:val="auto"/>
                <w:w w:val="93"/>
              </w:rPr>
              <w:t>February 29, 2020</w:t>
            </w:r>
          </w:p>
        </w:tc>
      </w:tr>
      <w:tr>
        <w:trPr>
          <w:trHeight w:val="226"/>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110,923</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35,954</w:t>
            </w:r>
          </w:p>
        </w:tc>
      </w:tr>
    </w:tbl>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contract assets was due to a reduction in costs and earnings in excess of billings, which is driven by the settlement of matters related to a legacy EFCO project, as well as the timing of projects. The change in contract liabilities was due to timing of project activity from businesses that operate under long-term contracts.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contract-related disclosures</w:t>
      </w:r>
    </w:p>
    <w:p>
      <w:pPr>
        <w:spacing w:after="0" w:line="149"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6"/>
                <w:szCs w:val="16"/>
                <w:b w:val="1"/>
                <w:bCs w:val="1"/>
                <w:color w:val="auto"/>
                <w:w w:val="93"/>
              </w:rPr>
              <w:t>February 29, 2020</w:t>
            </w:r>
          </w:p>
        </w:tc>
      </w:tr>
      <w:tr>
        <w:trPr>
          <w:trHeight w:val="226"/>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recognized related to contract liabilities from prior year-end</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23,221</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Revenue recognized related to prior satisfaction of performance obligations</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19,705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15,641</w:t>
            </w:r>
          </w:p>
        </w:tc>
      </w:tr>
    </w:tbl>
    <w:p>
      <w:pPr>
        <w:spacing w:after="0" w:line="30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Some of our contracts have an expected duration of longer than a year, with performance obligations extending over that timeframe. Generally these contracts are in our businesses with long-term contracts which recognize revenue over time. As of February 27, 2021, the transaction price associated with unsatisfied performance obligations was approximately $857.5 million. The performance obligations are expected to be satisfied, and the corresponding revenue to be recognized, over the following estimated time periods: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0" w:type="dxa"/>
            <w:vAlign w:val="bottom"/>
          </w:tcPr>
          <w:p>
            <w:pPr>
              <w:spacing w:after="0"/>
              <w:rPr>
                <w:sz w:val="18"/>
                <w:szCs w:val="18"/>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w w:val="91"/>
              </w:rPr>
              <w:t>February 27,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40" w:type="dxa"/>
            <w:vAlign w:val="bottom"/>
            <w:tcBorders>
              <w:right w:val="single" w:sz="8" w:color="CCEEFF"/>
            </w:tcBorders>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Within two years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316,847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CCEEFF"/>
            </w:tcBorders>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Beyond</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857,521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3.  Supplemental Balance Sheet Information</w:t>
            </w: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4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40" w:type="dxa"/>
            <w:vAlign w:val="bottom"/>
          </w:tcPr>
          <w:p>
            <w:pPr>
              <w:spacing w:after="0"/>
              <w:rPr>
                <w:sz w:val="24"/>
                <w:szCs w:val="24"/>
                <w:color w:val="auto"/>
              </w:rPr>
            </w:pP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0" w:type="dxa"/>
            <w:vAlign w:val="bottom"/>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36,681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4"/>
              </w:rPr>
              <w:t>36,611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18,932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w w:val="98"/>
              </w:rPr>
              <w:t>17,520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17,210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w w:val="98"/>
              </w:rPr>
              <w:t>16,958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72,823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w w:val="98"/>
              </w:rPr>
              <w:t>71,089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4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40" w:type="dxa"/>
            <w:vAlign w:val="bottom"/>
          </w:tcPr>
          <w:p>
            <w:pPr>
              <w:spacing w:after="0"/>
              <w:rPr>
                <w:sz w:val="24"/>
                <w:szCs w:val="24"/>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0" w:type="dxa"/>
            <w:vAlign w:val="bottom"/>
            <w:tcBorders>
              <w:right w:val="single" w:sz="8" w:color="CCEEFF"/>
            </w:tcBorders>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Warranties</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5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12,298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4"/>
              </w:rPr>
              <w:t>12,822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project losses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4,572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w w:val="94"/>
              </w:rPr>
              <w:t>48,962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CCEEFF"/>
            </w:tcBorders>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7,459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self-insurance reserves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6,482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8,307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Borders>
              <w:right w:val="single" w:sz="8" w:color="CCEEFF"/>
            </w:tcBorders>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22,372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94"/>
              </w:rPr>
              <w:t>42,271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 other current liabilities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5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53,183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118,314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Other non-current liabilities</w:t>
            </w: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14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960" w:type="dxa"/>
            <w:vAlign w:val="bottom"/>
            <w:gridSpan w:val="2"/>
          </w:tcPr>
          <w:p>
            <w:pPr>
              <w:ind w:left="20"/>
              <w:spacing w:after="0"/>
              <w:rPr>
                <w:sz w:val="20"/>
                <w:szCs w:val="20"/>
                <w:color w:val="auto"/>
              </w:rPr>
            </w:pPr>
            <w:r>
              <w:rPr>
                <w:rFonts w:ascii="Arial" w:cs="Arial" w:eastAsia="Arial" w:hAnsi="Arial"/>
                <w:sz w:val="14"/>
                <w:szCs w:val="14"/>
                <w:i w:val="1"/>
                <w:iCs w:val="1"/>
                <w:color w:val="auto"/>
              </w:rPr>
              <w:t>thousands)</w:t>
            </w:r>
          </w:p>
        </w:tc>
        <w:tc>
          <w:tcPr>
            <w:tcW w:w="2900" w:type="dxa"/>
            <w:vAlign w:val="bottom"/>
            <w:gridSpan w:val="7"/>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0" w:type="dxa"/>
            <w:vAlign w:val="bottom"/>
            <w:tcBorders>
              <w:right w:val="single" w:sz="8" w:color="CCEEFF"/>
            </w:tcBorders>
          </w:tcPr>
          <w:p>
            <w:pPr>
              <w:spacing w:after="0"/>
              <w:rPr>
                <w:sz w:val="19"/>
                <w:szCs w:val="19"/>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ferred benefit from New Markets Tax Credit transactions</w:t>
            </w:r>
          </w:p>
        </w:tc>
        <w:tc>
          <w:tcPr>
            <w:tcW w:w="20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15,717$</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15,717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tirement plan obligations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7,730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CCEEFF"/>
            </w:tcBorders>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ferred compensation plan</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ferred tax liabilities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8,310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Borders>
              <w:right w:val="single" w:sz="8" w:color="CCEEFF"/>
            </w:tcBorders>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ferred payroll taxes</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her</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16,430</w:t>
            </w: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16,459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tal other non-current liabilities</w:t>
            </w: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68,483$</w:t>
            </w: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56,862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-187960</wp:posOffset>
            </wp:positionV>
            <wp:extent cx="690943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09435" cy="171450"/>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Through our wholly-owned insurance subsidiary, Prism Assurance, Ltd. (Prism), we hold the following available-for-sale marketable securities, made up of municipal and corporate bonds: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Amortized Cost</w:t>
            </w:r>
          </w:p>
        </w:tc>
        <w:tc>
          <w:tcPr>
            <w:tcW w:w="16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Gross Unrealized</w:t>
            </w:r>
          </w:p>
        </w:tc>
        <w:tc>
          <w:tcPr>
            <w:tcW w:w="14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Gross Unrealized</w:t>
            </w:r>
          </w:p>
        </w:tc>
        <w:tc>
          <w:tcPr>
            <w:tcW w:w="15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7"/>
              </w:rPr>
              <w:t>Estimated Fair Value</w:t>
            </w:r>
          </w:p>
        </w:tc>
        <w:tc>
          <w:tcPr>
            <w:tcW w:w="0" w:type="dxa"/>
            <w:vAlign w:val="bottom"/>
          </w:tcPr>
          <w:p>
            <w:pPr>
              <w:spacing w:after="0"/>
              <w:rPr>
                <w:sz w:val="1"/>
                <w:szCs w:val="1"/>
                <w:color w:val="auto"/>
              </w:rPr>
            </w:pPr>
          </w:p>
        </w:tc>
      </w:tr>
      <w:tr>
        <w:trPr>
          <w:trHeight w:val="200"/>
        </w:trPr>
        <w:tc>
          <w:tcPr>
            <w:tcW w:w="47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Gains</w:t>
            </w: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1"/>
              </w:rPr>
              <w:t>Losses</w:t>
            </w: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27, 2021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February 29, 2020</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estimated fair values of our municipal and corporate bonds at February 27, 2021, by contractual maturity, are shown below. Expected maturities may differ from contractual maturities, as borrowers may have the right to call or prepay obligations with or without penalty. Gross realized gains and losses were insignificant for all periods presented.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Estimated Fair Value</w:t>
            </w:r>
          </w:p>
        </w:tc>
      </w:tr>
      <w:tr>
        <w:trPr>
          <w:trHeight w:val="226"/>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8,906</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after five years through 10 years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Due beyond 15 years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12,893</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use interest rate swaps, currency swaps,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204"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fiscal 2020, we entered into an interest rate swap to hedge a portion of our exposure to variability in cash flows from interest payments on our floating-rate revolving credit facility and term loan facility. As of February 27, 2021, the interest rate swap contract had a notional value of $50 million.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periodically enter into forward purchase contracts to manage the risk associated with fluctuations in foreign currency rates (primarily related to the Canadian dollar and Euro) and aluminum prices, generally with an original maturity date of less than one year. As of February 27, 2021, we held foreign exchange forward contracts and aluminum purchase contracts with U.S. dollar notional values of $4.0 million and $3.0 million, respectively.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assets or liabilities.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basis were:</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Quoted Prices in</w:t>
            </w:r>
          </w:p>
        </w:tc>
        <w:tc>
          <w:tcPr>
            <w:tcW w:w="120" w:type="dxa"/>
            <w:vAlign w:val="bottom"/>
          </w:tcPr>
          <w:p>
            <w:pPr>
              <w:spacing w:after="0"/>
              <w:rPr>
                <w:sz w:val="16"/>
                <w:szCs w:val="16"/>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Other Observable</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Active Markets</w:t>
            </w: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w w:val="97"/>
              </w:rPr>
              <w:t>Total Fair Value</w:t>
            </w:r>
          </w:p>
        </w:tc>
        <w:tc>
          <w:tcPr>
            <w:tcW w:w="0" w:type="dxa"/>
            <w:vAlign w:val="bottom"/>
          </w:tcPr>
          <w:p>
            <w:pPr>
              <w:spacing w:after="0"/>
              <w:rPr>
                <w:sz w:val="1"/>
                <w:szCs w:val="1"/>
                <w:color w:val="auto"/>
              </w:rPr>
            </w:pPr>
          </w:p>
        </w:tc>
      </w:tr>
      <w:tr>
        <w:trPr>
          <w:trHeight w:val="213"/>
        </w:trPr>
        <w:tc>
          <w:tcPr>
            <w:tcW w:w="63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Inputs (Level 2)</w:t>
            </w: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February 27, 2021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26,034</w:t>
            </w:r>
          </w:p>
        </w:tc>
        <w:tc>
          <w:tcPr>
            <w:tcW w:w="0" w:type="dxa"/>
            <w:vAlign w:val="bottom"/>
          </w:tcPr>
          <w:p>
            <w:pPr>
              <w:spacing w:after="0"/>
              <w:rPr>
                <w:sz w:val="1"/>
                <w:szCs w:val="1"/>
                <w:color w:val="auto"/>
              </w:rPr>
            </w:pPr>
          </w:p>
        </w:tc>
      </w:tr>
      <w:tr>
        <w:trPr>
          <w:trHeight w:val="229"/>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Municipal and corporate bonds</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surrender value of life insurance</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18,632</w:t>
            </w:r>
          </w:p>
        </w:tc>
        <w:tc>
          <w:tcPr>
            <w:tcW w:w="0" w:type="dxa"/>
            <w:vAlign w:val="bottom"/>
          </w:tcPr>
          <w:p>
            <w:pPr>
              <w:spacing w:after="0"/>
              <w:rPr>
                <w:sz w:val="1"/>
                <w:szCs w:val="1"/>
                <w:color w:val="auto"/>
              </w:rPr>
            </w:pPr>
          </w:p>
        </w:tc>
      </w:tr>
      <w:tr>
        <w:trPr>
          <w:trHeight w:val="229"/>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Foreign currency forward/option contract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Aluminum hedging contract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compensation</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0" w:type="dxa"/>
            <w:vAlign w:val="bottom"/>
          </w:tcPr>
          <w:p>
            <w:pPr>
              <w:spacing w:after="0"/>
              <w:rPr>
                <w:sz w:val="1"/>
                <w:szCs w:val="1"/>
                <w:color w:val="auto"/>
              </w:rPr>
            </w:pPr>
          </w:p>
        </w:tc>
      </w:tr>
      <w:tr>
        <w:trPr>
          <w:trHeight w:val="230"/>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Interest rate swap contract</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February 29, 2020</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29"/>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Municipal and corporate bonds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r>
        <w:trPr>
          <w:trHeight w:val="229"/>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Cash surrender value of life insurance</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16,560</w:t>
            </w: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forward/option contract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Interest rate swap contract</w:t>
            </w:r>
          </w:p>
        </w:tc>
        <w:tc>
          <w:tcPr>
            <w:tcW w:w="14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market funds and commercial paper</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and corporate bonds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surrender value of life insurance and deferred compensation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Contracts insuring the lives of certain employees who are eligible to participate in non-qualified pension and deferred compensation plans are held in trust. Cash surrender value of the contracts is based on performance measurement funds that shadow the deferral investment allocations made by these participants. Changes in cash surrender value are recorded in other expense. The deferred compensation liability balances are valued based on amounts allocated by participants to the underlying performance measurement funds.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interest rate swap is measured at fair value using unobservable market inputs, based off benchmark interest rates. Forward foreign exchange and forward purchase aluminum contracts are measured at fair value using unobservable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interest and currency rates and aluminum prices.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instruments at fair value on a nonrecurring basis including goodwill, intangible assets, property and equipment and right-of-use lease assets. These assets were initially measured and recognized at amounts equal to the fair value determined as of the date of acquisition or purchase subject to changes in value only for foreign currency translation.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Periodically, these assets are tested for impairment, by comparing their respective carrying values to the estimated fair value of the reporting unit or asset group in which they reside. In the event any of these assets were to become impaired, we would recognize an impairment expense equal to the amount by which the carrying value of the reporting unit, impaired asset or asset group exceeds its estimated fair value. Fair value measurements of reporting units are estimated using an income approach involving discounted cash flow models that contain certain Level 3 inputs requiring significant management judgment, including projections of economic conditions, customer demand and changes in competition, revenue growth rates, gross profit margins, operating margins, capital expenditures, working capital requirements, terminal growth rates and discount rates. Fair value measurements of the reporting units associated with our goodwill balances and our indefinite-lived intangible assets are estimated at least annually in the fourth quarter of each fiscal year for purposes of impairment testing if a quantitative analysis is performed.</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1 and Note 6 for additional information on the impairment charges recorded to goodwill and indefinite-lived intangible assets during the fourth quarter of fiscal 2021.</w:t>
      </w:r>
    </w:p>
    <w:p>
      <w:pPr>
        <w:spacing w:after="0" w:line="19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5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2020</w:t>
            </w:r>
          </w:p>
        </w:tc>
      </w:tr>
      <w:tr>
        <w:trPr>
          <w:trHeight w:val="226"/>
        </w:trPr>
        <w:tc>
          <w:tcPr>
            <w:tcW w:w="8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r>
      <w:tr>
        <w:trPr>
          <w:trHeight w:val="229"/>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204,660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210,171</w:t>
            </w:r>
          </w:p>
        </w:tc>
      </w:tr>
      <w:tr>
        <w:trPr>
          <w:trHeight w:val="229"/>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418,240</w:t>
            </w: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Office equipment and furniture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60,409</w:t>
            </w:r>
          </w:p>
        </w:tc>
      </w:tr>
      <w:tr>
        <w:trPr>
          <w:trHeight w:val="229"/>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17,496</w:t>
            </w:r>
          </w:p>
        </w:tc>
      </w:tr>
      <w:tr>
        <w:trPr>
          <w:trHeight w:val="22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Total property, plant and equipment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716,058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711,697</w:t>
            </w:r>
          </w:p>
        </w:tc>
      </w:tr>
      <w:tr>
        <w:trPr>
          <w:trHeight w:val="229"/>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(387,311)</w:t>
            </w:r>
          </w:p>
        </w:tc>
      </w:tr>
      <w:tr>
        <w:trPr>
          <w:trHeight w:val="22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Net property, plant and equipment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324,386</w:t>
            </w:r>
          </w:p>
        </w:tc>
      </w:tr>
      <w:tr>
        <w:trPr>
          <w:trHeight w:val="20"/>
        </w:trPr>
        <w:tc>
          <w:tcPr>
            <w:tcW w:w="8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$43.9 million, $36.1 million, and $37.1 million in fiscal 2021, 2020, and 2019, respectively.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2020, we sold a building in McCook, IL within our LSO segment for $25.1 million. The carrying value of the building was $4.3 million, and we recognized a gain on this sale of approximately $19.3 million, net of associated transaction costs, which is included as a reduction of selling, general and administrative expenses within our consolidated statements of operations. We entered into a separate operating lease agreement for this facility, which commenced in September 2020. Refer to Note 8 for related lease disclosures.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fiscal 2021, we closed seven facilities within our Architectural Framing Systems segment, exited certain leases for those facilities, and provided certain termination benefits to employees across the company, resulting in restructuring-related costs of $5.8 million, of which $5.2 million is included within cost of sales and $0.6 million is included within selling, general and administrative expenses within our consolidated statements of operations.</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Certain amounts associated with the restructuring expense incurred during fiscal 2021 are accrued as of year-end within accrued payroll and related costs and other current liabilities in the consolidated balance sheets, and are expected to be paid within the next fiscal year.</w:t>
      </w:r>
    </w:p>
    <w:tbl>
      <w:tblPr>
        <w:tblLayout w:type="fixed"/>
        <w:tblInd w:w="0" w:type="dxa"/>
        <w:tblCellMar>
          <w:top w:w="0" w:type="dxa"/>
          <w:left w:w="0" w:type="dxa"/>
          <w:bottom w:w="0" w:type="dxa"/>
          <w:right w:w="0" w:type="dxa"/>
        </w:tblCellMar>
      </w:tblPr>
      <w:tr>
        <w:trPr>
          <w:trHeight w:val="163"/>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63" w:lineRule="exact"/>
              <w:rPr>
                <w:sz w:val="20"/>
                <w:szCs w:val="20"/>
                <w:color w:val="auto"/>
              </w:rPr>
            </w:pPr>
            <w:r>
              <w:rPr>
                <w:rFonts w:ascii="Arial" w:cs="Arial" w:eastAsia="Arial" w:hAnsi="Arial"/>
                <w:sz w:val="16"/>
                <w:szCs w:val="16"/>
                <w:b w:val="1"/>
                <w:bCs w:val="1"/>
                <w:color w:val="auto"/>
                <w:w w:val="95"/>
              </w:rPr>
              <w:t>Architectural</w:t>
            </w:r>
          </w:p>
        </w:tc>
        <w:tc>
          <w:tcPr>
            <w:tcW w:w="320" w:type="dxa"/>
            <w:vAlign w:val="bottom"/>
          </w:tcPr>
          <w:p>
            <w:pPr>
              <w:spacing w:after="0"/>
              <w:rPr>
                <w:sz w:val="14"/>
                <w:szCs w:val="14"/>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Other</w:t>
            </w:r>
          </w:p>
        </w:tc>
        <w:tc>
          <w:tcPr>
            <w:tcW w:w="360" w:type="dxa"/>
            <w:vAlign w:val="bottom"/>
          </w:tcPr>
          <w:p>
            <w:pPr>
              <w:spacing w:after="0"/>
              <w:rPr>
                <w:sz w:val="14"/>
                <w:szCs w:val="14"/>
                <w:color w:val="auto"/>
              </w:rPr>
            </w:pPr>
          </w:p>
        </w:tc>
        <w:tc>
          <w:tcPr>
            <w:tcW w:w="118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4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Framing</w:t>
            </w:r>
          </w:p>
        </w:tc>
        <w:tc>
          <w:tcPr>
            <w:tcW w:w="3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February 29, 2020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0"/>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Other 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8"/>
        </w:trPr>
        <w:tc>
          <w:tcPr>
            <w:tcW w:w="6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February 27,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to the Consolidated Financial Statements for a description of the Accounting Policy related to Goodwill.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Goodwill represents the excess of the cost over the net tangible and identified intangible assets of acquired businesses. We evaluate goodwill for impairment annually as of the first day of our fiscal fourth quarter, or more frequently if events or changes in circumstances indicate the carrying value of goodwill may not be recoverable. Based on the impairment analysis performed in the fourth quarter, estimated fair value was in excess of carrying value at six of our eight reporting units. However, estimated fair value did not exceed carrying value for two reporting units within the Architectural Framing Systems segment, EFCO and Sotawall. For these reporting units, we utilized a weighted-average cost of capital of 12.1 percent in determining the discounted cash flows in the fair value analysis and a long-term growth rate of 3.0 percent. As a result, as of February 27, 2021, we incurred goodwill impairment expense of $46.7 million and $17.1 million in our EFCO and Sotawall reporting units, respectively. The goodwill impairment expense recorded during the year ended February 27, 2021 represents the total accumulated goodwill impairment expenses recorded.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attributable to each reporting segment was: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Architectural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Architectural</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Architectural</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Large-Scale</w:t>
            </w: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2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Framing Systems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Glass</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Services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Optical</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 2019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185,832</w:t>
            </w:r>
          </w:p>
        </w:tc>
        <w:tc>
          <w:tcPr>
            <w:tcW w:w="0" w:type="dxa"/>
            <w:vAlign w:val="bottom"/>
          </w:tcPr>
          <w:p>
            <w:pPr>
              <w:spacing w:after="0"/>
              <w:rPr>
                <w:sz w:val="1"/>
                <w:szCs w:val="1"/>
                <w:color w:val="auto"/>
              </w:rPr>
            </w:pPr>
          </w:p>
        </w:tc>
      </w:tr>
      <w:tr>
        <w:trPr>
          <w:trHeight w:val="23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29, 2020</w:t>
            </w: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185,516</w:t>
            </w:r>
          </w:p>
        </w:tc>
        <w:tc>
          <w:tcPr>
            <w:tcW w:w="0" w:type="dxa"/>
            <w:vAlign w:val="bottom"/>
          </w:tcPr>
          <w:p>
            <w:pPr>
              <w:spacing w:after="0"/>
              <w:rPr>
                <w:sz w:val="1"/>
                <w:szCs w:val="1"/>
                <w:color w:val="auto"/>
              </w:rPr>
            </w:pPr>
          </w:p>
        </w:tc>
      </w:tr>
      <w:tr>
        <w:trPr>
          <w:trHeight w:val="230"/>
        </w:trPr>
        <w:tc>
          <w:tcPr>
            <w:tcW w:w="4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 expense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(63,769)</w:t>
            </w:r>
          </w:p>
        </w:tc>
        <w:tc>
          <w:tcPr>
            <w:tcW w:w="0" w:type="dxa"/>
            <w:vAlign w:val="bottom"/>
          </w:tcPr>
          <w:p>
            <w:pPr>
              <w:spacing w:after="0"/>
              <w:rPr>
                <w:sz w:val="1"/>
                <w:szCs w:val="1"/>
                <w:color w:val="auto"/>
              </w:rPr>
            </w:pPr>
          </w:p>
        </w:tc>
      </w:tr>
      <w:tr>
        <w:trPr>
          <w:trHeight w:val="229"/>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27,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130,098</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400" w:firstLine="8"/>
        <w:spacing w:after="0" w:line="219" w:lineRule="auto"/>
        <w:tabs>
          <w:tab w:leader="none" w:pos="181"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During the first quarter of fiscal 2021, we recorded a $6.3 million increase to goodwill and corresponding increase to deferred tax liabilities to correct an immaterial error related to prior periods. The error was not material to any previously reported annual or interim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Based on our analysis, the fair value of each of our trade names and trademarks exceeded carrying amount, except for the EFCO tradename, within our Architectural Framing Systems segment. The fair value determined for the EFCO tradename exceeded carrying value by $6.3 million and this amount was recognized as impairment expense in the fourth quarter ended February 27,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other intangible assets and related accumulated amortization was: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40" w:type="dxa"/>
            <w:vAlign w:val="bottom"/>
          </w:tcPr>
          <w:p>
            <w:pPr>
              <w:spacing w:after="0"/>
              <w:rPr>
                <w:sz w:val="16"/>
                <w:szCs w:val="16"/>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6"/>
                <w:szCs w:val="16"/>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Impairment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Currency</w:t>
            </w:r>
          </w:p>
        </w:tc>
        <w:tc>
          <w:tcPr>
            <w:tcW w:w="320" w:type="dxa"/>
            <w:vAlign w:val="bottom"/>
          </w:tcPr>
          <w:p>
            <w:pPr>
              <w:spacing w:after="0"/>
              <w:rPr>
                <w:sz w:val="14"/>
                <w:szCs w:val="14"/>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44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6"/>
                <w:szCs w:val="16"/>
                <w:b w:val="1"/>
                <w:bCs w:val="1"/>
                <w:color w:val="auto"/>
              </w:rPr>
              <w:t>Expense</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February 27, 2021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Definite-lived intangible assets: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Other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definite-lived intangible assets</w:t>
            </w: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1"/>
              </w:rPr>
              <w:t>(6,300)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206,240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(74,677)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91"/>
              </w:rPr>
              <w:t>(6,300)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February 29, 2020</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Definite-lived intangible assets: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Other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definite-lived intangible assets</w:t>
            </w: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206,729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(65,637)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on definite-lived intangible assets was $7.6 million, $7.7 million and $12.7 million in fiscal 2021, 2020 and 2019, respectively. Amortization expense is included within selling, general and administrative expenses for all intangible assets other than that of debt issuance costs, which is included in interest expense. Estimated future amortization expense for definite-lived intangible assets is: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980" w:type="dxa"/>
            <w:vAlign w:val="bottom"/>
          </w:tcPr>
          <w:p>
            <w:pPr>
              <w:jc w:val="right"/>
              <w:ind w:right="39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5"/>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2026</w:t>
            </w:r>
          </w:p>
        </w:tc>
      </w:tr>
      <w:tr>
        <w:trPr>
          <w:trHeight w:val="226"/>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r>
    </w:tbl>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27, 2021, we had a committed revolving credit facility with maximum borrowings of up to $235 million with a maturity of June 2024. There were no outstanding borrowings under the revolving credit facility, as of February 27, 2021 and borrowings of $47.5 million were outstanding as of February 29, 2020. As of February 27, 2021 and February 29, 2020, we also had a $150 million term loan. The term loan was amended during the third quarter of fiscal 2021 to extend the maturity date to June 2024.</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revolving credit facility and term loan contain two financial covenants that require us to stay below a maximum debt-to-EBITDA ratio and maintain a minimum ratio of interest expense-to-EBITDA. Both ratios are computed quarterly, with EBITDA calculated on a rolling four-quarter basis. If the Company is not in compliance with either of these covenants, our credit facility and term loan may be terminated and/or any amounts then outstanding may be declared immediately due and payable. At February 27, 2021, we were in compliance with both financial covenants. We have the ability to issue letters of credit of up to $80.0 million under the credit facility, the outstanding amounts of which decrease the available commitment. At February 27, 2021, $216.3 million was available under this revolving credit facility.</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at February 27, 2021 also included $15.0 million of industrial revenue bonds that mature in fiscal years 2022 through 2043. The fair value of the industrial revenue bonds approximated carrying value at February 27, 2021, due to the variable interest rates on these instruments. The bonds would be classified as Level 2 within the fair value hierarchy described in Note 4.</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maintain two Canadian committed, revolving credit facilities totaling $25.0 million (USD). No borrowings were outstanding under the facilities in place as of February 27, 2021 or as of February 29,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Debt maturities and other selected information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8"/>
                <w:szCs w:val="18"/>
                <w:color w:val="auto"/>
              </w:rPr>
            </w:pPr>
          </w:p>
        </w:tc>
        <w:tc>
          <w:tcPr>
            <w:tcW w:w="940" w:type="dxa"/>
            <w:vAlign w:val="bottom"/>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5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5"/>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95"/>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Thereafter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1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Maturities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12,000</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334"/>
        </w:trPr>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w w:val="92"/>
              </w:rPr>
              <w:t>(In thousands, except percentages)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33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Average daily borrowings during the year</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187,397</w:t>
            </w:r>
          </w:p>
        </w:tc>
        <w:tc>
          <w:tcPr>
            <w:tcW w:w="10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241,036</w:t>
            </w:r>
          </w:p>
        </w:tc>
        <w:tc>
          <w:tcPr>
            <w:tcW w:w="0" w:type="dxa"/>
            <w:vAlign w:val="bottom"/>
          </w:tcPr>
          <w:p>
            <w:pPr>
              <w:spacing w:after="0"/>
              <w:rPr>
                <w:sz w:val="1"/>
                <w:szCs w:val="1"/>
                <w:color w:val="auto"/>
              </w:rPr>
            </w:pPr>
          </w:p>
        </w:tc>
      </w:tr>
      <w:tr>
        <w:trPr>
          <w:trHeight w:val="230"/>
        </w:trPr>
        <w:tc>
          <w:tcPr>
            <w:tcW w:w="3740" w:type="dxa"/>
            <w:vAlign w:val="bottom"/>
            <w:gridSpan w:val="6"/>
          </w:tcPr>
          <w:p>
            <w:pPr>
              <w:ind w:left="20"/>
              <w:spacing w:after="0"/>
              <w:rPr>
                <w:sz w:val="20"/>
                <w:szCs w:val="20"/>
                <w:color w:val="auto"/>
              </w:rPr>
            </w:pPr>
            <w:r>
              <w:rPr>
                <w:rFonts w:ascii="Arial" w:cs="Arial" w:eastAsia="Arial" w:hAnsi="Arial"/>
                <w:sz w:val="18"/>
                <w:szCs w:val="18"/>
                <w:color w:val="auto"/>
                <w:w w:val="93"/>
              </w:rPr>
              <w:t>Maximum borrowings outstanding during the year</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235,232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282,000</w:t>
            </w:r>
          </w:p>
        </w:tc>
        <w:tc>
          <w:tcPr>
            <w:tcW w:w="0" w:type="dxa"/>
            <w:vAlign w:val="bottom"/>
          </w:tcPr>
          <w:p>
            <w:pPr>
              <w:spacing w:after="0"/>
              <w:rPr>
                <w:sz w:val="1"/>
                <w:szCs w:val="1"/>
                <w:color w:val="auto"/>
              </w:rPr>
            </w:pPr>
          </w:p>
        </w:tc>
      </w:tr>
      <w:tr>
        <w:trPr>
          <w:trHeight w:val="229"/>
        </w:trPr>
        <w:tc>
          <w:tcPr>
            <w:tcW w:w="33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89"/>
              </w:rPr>
              <w:t>Weighted average interest rate during the year</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365"/>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4"/>
              </w:rPr>
              <w:t>February 27,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February 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w w:val="93"/>
              </w:rPr>
              <w:t>March 2, 2019</w:t>
            </w:r>
          </w:p>
        </w:tc>
        <w:tc>
          <w:tcPr>
            <w:tcW w:w="0" w:type="dxa"/>
            <w:vAlign w:val="bottom"/>
          </w:tcPr>
          <w:p>
            <w:pPr>
              <w:spacing w:after="0"/>
              <w:rPr>
                <w:sz w:val="1"/>
                <w:szCs w:val="1"/>
                <w:color w:val="auto"/>
              </w:rPr>
            </w:pPr>
          </w:p>
        </w:tc>
      </w:tr>
      <w:tr>
        <w:trPr>
          <w:trHeight w:val="213"/>
        </w:trPr>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8,891</w:t>
            </w:r>
          </w:p>
        </w:tc>
        <w:tc>
          <w:tcPr>
            <w:tcW w:w="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29"/>
        </w:trPr>
        <w:tc>
          <w:tcPr>
            <w:tcW w:w="2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interest expense</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604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326</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8"/>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Interest payments were $4.6 million in fiscal February 27, 2021, $9.1 million in fiscal February 29, 2020 and $8.1 million in fiscal March 2, 2019.</w:t>
      </w:r>
    </w:p>
    <w:p>
      <w:pPr>
        <w:spacing w:after="0" w:line="2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Leases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operating leases for certain of the buildings and equipment used in our operations. We determine if an arrangement contains a lease at inception. At the beginning of fiscal 2020, we adopted ASU 2016-20, </w:t>
      </w:r>
      <w:r>
        <w:rPr>
          <w:rFonts w:ascii="Arial" w:cs="Arial" w:eastAsia="Arial" w:hAnsi="Arial"/>
          <w:sz w:val="18"/>
          <w:szCs w:val="18"/>
          <w:i w:val="1"/>
          <w:iCs w:val="1"/>
          <w:color w:val="auto"/>
        </w:rPr>
        <w:t>Leases</w:t>
      </w:r>
      <w:r>
        <w:rPr>
          <w:rFonts w:ascii="Arial" w:cs="Arial" w:eastAsia="Arial" w:hAnsi="Arial"/>
          <w:sz w:val="18"/>
          <w:szCs w:val="18"/>
          <w:color w:val="auto"/>
        </w:rPr>
        <w:t>.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Lease expense is recognized on a straight-line basis over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and such leases are expensed on a straight-line basis over the lease term.</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nonlease components (e.g., common-area maintenance costs) as a single lease component. Our lease agreements do not contain any material residual value guarantees or material restrictive covenants. We are not a lessor in any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27, 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6"/>
                <w:szCs w:val="16"/>
                <w:b w:val="1"/>
                <w:bCs w:val="1"/>
                <w:color w:val="auto"/>
              </w:rPr>
              <w:t>February 29, 2020</w:t>
            </w:r>
          </w:p>
        </w:tc>
        <w:tc>
          <w:tcPr>
            <w:tcW w:w="0" w:type="dxa"/>
            <w:vAlign w:val="bottom"/>
          </w:tcPr>
          <w:p>
            <w:pPr>
              <w:spacing w:after="0"/>
              <w:rPr>
                <w:sz w:val="1"/>
                <w:szCs w:val="1"/>
                <w:color w:val="auto"/>
              </w:rPr>
            </w:pPr>
          </w:p>
        </w:tc>
      </w:tr>
      <w:tr>
        <w:trPr>
          <w:trHeight w:val="226"/>
        </w:trPr>
        <w:tc>
          <w:tcPr>
            <w:tcW w:w="7860" w:type="dxa"/>
            <w:vAlign w:val="bottom"/>
            <w:tcBorders>
              <w:top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4"/>
          </w:tcPr>
          <w:p>
            <w:pPr>
              <w:ind w:left="20"/>
              <w:spacing w:after="0"/>
              <w:rPr>
                <w:sz w:val="20"/>
                <w:szCs w:val="20"/>
                <w:color w:val="auto"/>
              </w:rPr>
            </w:pPr>
            <w:r>
              <w:rPr>
                <w:rFonts w:ascii="Arial" w:cs="Arial" w:eastAsia="Arial" w:hAnsi="Arial"/>
                <w:sz w:val="18"/>
                <w:szCs w:val="18"/>
                <w:color w:val="auto"/>
              </w:rPr>
              <w:t>Short-term lease cost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4"/>
          </w:tcPr>
          <w:p>
            <w:pPr>
              <w:ind w:left="20"/>
              <w:spacing w:after="0"/>
              <w:rPr>
                <w:sz w:val="20"/>
                <w:szCs w:val="20"/>
                <w:color w:val="auto"/>
              </w:rPr>
            </w:pPr>
            <w:r>
              <w:rPr>
                <w:rFonts w:ascii="Arial" w:cs="Arial" w:eastAsia="Arial" w:hAnsi="Arial"/>
                <w:sz w:val="18"/>
                <w:szCs w:val="18"/>
                <w:color w:val="auto"/>
              </w:rPr>
              <w:t>Total lease cost</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18,710</w:t>
            </w:r>
          </w:p>
        </w:tc>
        <w:tc>
          <w:tcPr>
            <w:tcW w:w="12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4"/>
            <w:vMerge w:val="restart"/>
          </w:tcPr>
          <w:p>
            <w:pPr>
              <w:spacing w:after="0"/>
              <w:rPr>
                <w:sz w:val="20"/>
                <w:szCs w:val="20"/>
                <w:color w:val="auto"/>
              </w:rPr>
            </w:pPr>
            <w:r>
              <w:rPr>
                <w:rFonts w:ascii="Arial" w:cs="Arial" w:eastAsia="Arial" w:hAnsi="Arial"/>
                <w:sz w:val="18"/>
                <w:szCs w:val="18"/>
                <w:color w:val="auto"/>
                <w:w w:val="95"/>
              </w:rPr>
              <w:t>Other supplemental information related to leases for the year ended February 27, 2021 was as follows:</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8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86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4"/>
                <w:szCs w:val="24"/>
                <w:color w:val="auto"/>
              </w:rPr>
            </w:pPr>
          </w:p>
        </w:tc>
        <w:tc>
          <w:tcPr>
            <w:tcW w:w="1640" w:type="dxa"/>
            <w:vAlign w:val="bottom"/>
            <w:gridSpan w:val="3"/>
          </w:tcPr>
          <w:p>
            <w:pPr>
              <w:ind w:left="60"/>
              <w:spacing w:after="0"/>
              <w:rPr>
                <w:sz w:val="20"/>
                <w:szCs w:val="20"/>
                <w:color w:val="auto"/>
              </w:rPr>
            </w:pPr>
            <w:r>
              <w:rPr>
                <w:rFonts w:ascii="Arial" w:cs="Arial" w:eastAsia="Arial" w:hAnsi="Arial"/>
                <w:sz w:val="16"/>
                <w:szCs w:val="16"/>
                <w:b w:val="1"/>
                <w:bCs w:val="1"/>
                <w:color w:val="auto"/>
              </w:rPr>
              <w:t>February 27, 2021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ind w:left="60"/>
              <w:spacing w:after="0"/>
              <w:rPr>
                <w:sz w:val="20"/>
                <w:szCs w:val="20"/>
                <w:color w:val="auto"/>
              </w:rPr>
            </w:pPr>
            <w:r>
              <w:rPr>
                <w:rFonts w:ascii="Arial" w:cs="Arial" w:eastAsia="Arial" w:hAnsi="Arial"/>
                <w:sz w:val="16"/>
                <w:szCs w:val="16"/>
                <w:b w:val="1"/>
                <w:bCs w:val="1"/>
                <w:color w:val="auto"/>
              </w:rPr>
              <w:t>February 29, 2020</w:t>
            </w:r>
          </w:p>
        </w:tc>
        <w:tc>
          <w:tcPr>
            <w:tcW w:w="0" w:type="dxa"/>
            <w:vAlign w:val="bottom"/>
          </w:tcPr>
          <w:p>
            <w:pPr>
              <w:spacing w:after="0"/>
              <w:rPr>
                <w:sz w:val="1"/>
                <w:szCs w:val="1"/>
                <w:color w:val="auto"/>
              </w:rPr>
            </w:pPr>
          </w:p>
        </w:tc>
      </w:tr>
      <w:tr>
        <w:trPr>
          <w:trHeight w:val="226"/>
        </w:trPr>
        <w:tc>
          <w:tcPr>
            <w:tcW w:w="77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13,952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13,614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4"/>
          </w:tcPr>
          <w:p>
            <w:pPr>
              <w:ind w:left="20"/>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23,772</w:t>
            </w:r>
          </w:p>
        </w:tc>
        <w:tc>
          <w:tcPr>
            <w:tcW w:w="1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15,948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6.0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6"/>
              </w:rPr>
              <w:t>5.8 years</w:t>
            </w:r>
          </w:p>
        </w:tc>
        <w:tc>
          <w:tcPr>
            <w:tcW w:w="0" w:type="dxa"/>
            <w:vAlign w:val="bottom"/>
          </w:tcPr>
          <w:p>
            <w:pPr>
              <w:spacing w:after="0"/>
              <w:rPr>
                <w:sz w:val="1"/>
                <w:szCs w:val="1"/>
                <w:color w:val="auto"/>
              </w:rPr>
            </w:pPr>
          </w:p>
        </w:tc>
      </w:tr>
      <w:tr>
        <w:trPr>
          <w:trHeight w:val="230"/>
        </w:trPr>
        <w:tc>
          <w:tcPr>
            <w:tcW w:w="7860" w:type="dxa"/>
            <w:vAlign w:val="bottom"/>
            <w:gridSpan w:val="4"/>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7860" w:type="dxa"/>
            <w:vAlign w:val="bottom"/>
            <w:gridSpan w:val="4"/>
          </w:tcPr>
          <w:p>
            <w:pPr>
              <w:spacing w:after="0"/>
              <w:rPr>
                <w:sz w:val="20"/>
                <w:szCs w:val="20"/>
                <w:color w:val="auto"/>
              </w:rPr>
            </w:pPr>
            <w:r>
              <w:rPr>
                <w:rFonts w:ascii="Arial" w:cs="Arial" w:eastAsia="Arial" w:hAnsi="Arial"/>
                <w:sz w:val="18"/>
                <w:szCs w:val="18"/>
                <w:color w:val="auto"/>
              </w:rPr>
              <w:t>Future maturities of lease liabilities are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0" w:type="dxa"/>
            <w:vAlign w:val="bottom"/>
          </w:tcPr>
          <w:p>
            <w:pPr>
              <w:spacing w:after="0"/>
              <w:rPr>
                <w:sz w:val="24"/>
                <w:szCs w:val="24"/>
                <w:color w:val="auto"/>
              </w:rPr>
            </w:pPr>
          </w:p>
        </w:tc>
        <w:tc>
          <w:tcPr>
            <w:tcW w:w="7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Fiscal 2022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Fiscal 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Fiscal 2024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Fiscal 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Fiscal 2026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Amounts representing interest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Employee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Retirement Plan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sponsor a single 401(k) retirement plan covering substantially all full-time, non-union employees, as well as union employees at two of our manufacturing facilities. Under the plan, employees are allowed to contribute up to 60 percent of eligible earnings to the plan, up to statutory limits. We match 100 percent of the first one percent contributed and 50 percent of the next five percent contributed on eligible compensation that non-union employees contribute and according to contract terms for union employees. In response to the effects of COVID-19 on our business, we suspended the matching contribution from June 1, 2020 until December 31, 2020. In total, our matching contributions were $3.5 million in fiscal 2021, $9.0 million in fiscal 2020 and $8.0 million in fiscal 2019.</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a plan that allows participants to defer compensation. The deferred compensation liability was $15.0 million and $14.0 million at February 27, 2021 and February 29, 2020, respectively. We have investments in corporate-owned life insurance policies (COLI) of $18.6 million and money market funds (classified as cash equivalents) of $0.3 million with the intention of utilizing them as long-term funding sources for this plan. The COLI assets are recorded at their net cash surrender values and are included in other non-current assets in the consolidated balance sheet.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under Collective Bargaining Agreements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contribute to a number of multi-employer union retirement plans, which provide retirement benefits to the majority of our union-represented employees; none of the plans are considered significant. However, the risks of participating in these multi-employer plans are different from single-employer plans in the following aspects:</w:t>
      </w:r>
    </w:p>
    <w:p>
      <w:pPr>
        <w:spacing w:after="0" w:line="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Assets contributed to these plans by one employer may be used to provide benefits to employees of other participating employers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w:t>
      </w:r>
    </w:p>
    <w:p>
      <w:pPr>
        <w:ind w:left="66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choose to stop participating in some of these plans, we may be required to pay those plans an amount based on the underfunded status of the plan, referred to as a withdrawal liability</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participation in these plans is outlined in the following table. The most recent Pension Protection Act zone status available in 2021 and 2020 relates to the plan years ending December 31, 2020 and December 31, 2019, respectively. The zone status is based on information that we have received from each plan, certified by an actuary. Among other factors, plans in the red zone are generally less than 65 percent funded, plans in the yellow zone are between 65 percent and 80 percent funded, and plans in the green zone are at least 80 percent funded.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9"/>
              </w:rPr>
              <w:t>Pension Protection</w:t>
            </w:r>
          </w:p>
        </w:tc>
        <w:tc>
          <w:tcPr>
            <w:tcW w:w="140" w:type="dxa"/>
            <w:vAlign w:val="bottom"/>
          </w:tcPr>
          <w:p>
            <w:pPr>
              <w:spacing w:after="0"/>
              <w:rPr>
                <w:sz w:val="16"/>
                <w:szCs w:val="16"/>
                <w:color w:val="auto"/>
              </w:rPr>
            </w:pPr>
          </w:p>
        </w:tc>
        <w:tc>
          <w:tcPr>
            <w:tcW w:w="1460" w:type="dxa"/>
            <w:vAlign w:val="bottom"/>
            <w:gridSpan w:val="8"/>
          </w:tcPr>
          <w:p>
            <w:pPr>
              <w:jc w:val="center"/>
              <w:ind w:left="287"/>
              <w:spacing w:after="0"/>
              <w:rPr>
                <w:sz w:val="20"/>
                <w:szCs w:val="20"/>
                <w:color w:val="auto"/>
              </w:rPr>
            </w:pPr>
            <w:r>
              <w:rPr>
                <w:rFonts w:ascii="Arial" w:cs="Arial" w:eastAsia="Arial" w:hAnsi="Arial"/>
                <w:sz w:val="16"/>
                <w:szCs w:val="16"/>
                <w:b w:val="1"/>
                <w:bCs w:val="1"/>
                <w:color w:val="auto"/>
                <w:w w:val="93"/>
              </w:rPr>
              <w:t>Contributions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0"/>
              </w:rPr>
              <w:t>Act Zone Status</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6"/>
          </w:tcPr>
          <w:p>
            <w:pPr>
              <w:jc w:val="center"/>
              <w:spacing w:after="0"/>
              <w:rPr>
                <w:sz w:val="20"/>
                <w:szCs w:val="20"/>
                <w:color w:val="auto"/>
              </w:rPr>
            </w:pPr>
            <w:r>
              <w:rPr>
                <w:rFonts w:ascii="Arial" w:cs="Arial" w:eastAsia="Arial" w:hAnsi="Arial"/>
                <w:sz w:val="14"/>
                <w:szCs w:val="14"/>
                <w:i w:val="1"/>
                <w:iCs w:val="1"/>
                <w:color w:val="auto"/>
                <w:w w:val="93"/>
              </w:rPr>
              <w:t>(In thousands)</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0" w:type="dxa"/>
            <w:vAlign w:val="bottom"/>
          </w:tcPr>
          <w:p>
            <w:pPr>
              <w:spacing w:after="0"/>
              <w:rPr>
                <w:sz w:val="1"/>
                <w:szCs w:val="1"/>
                <w:color w:val="auto"/>
              </w:rPr>
            </w:pPr>
          </w:p>
        </w:tc>
      </w:tr>
      <w:tr>
        <w:trPr>
          <w:trHeight w:val="115"/>
        </w:trPr>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EIN/Pension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FIP/RP Status</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Minimum</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Surcharge</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of Collective</w:t>
            </w:r>
          </w:p>
        </w:tc>
        <w:tc>
          <w:tcPr>
            <w:tcW w:w="0" w:type="dxa"/>
            <w:vAlign w:val="bottom"/>
          </w:tcPr>
          <w:p>
            <w:pPr>
              <w:spacing w:after="0"/>
              <w:rPr>
                <w:sz w:val="1"/>
                <w:szCs w:val="1"/>
                <w:color w:val="auto"/>
              </w:rPr>
            </w:pPr>
          </w:p>
        </w:tc>
      </w:tr>
      <w:tr>
        <w:trPr>
          <w:trHeight w:val="135"/>
        </w:trPr>
        <w:tc>
          <w:tcPr>
            <w:tcW w:w="16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Pension Fund</w:t>
            </w:r>
          </w:p>
        </w:tc>
        <w:tc>
          <w:tcPr>
            <w:tcW w:w="80" w:type="dxa"/>
            <w:vAlign w:val="bottom"/>
            <w:vMerge w:val="restart"/>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restart"/>
          </w:tcPr>
          <w:p>
            <w:pPr>
              <w:jc w:val="right"/>
              <w:ind w:right="67"/>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Bargaining</w:t>
            </w:r>
          </w:p>
        </w:tc>
        <w:tc>
          <w:tcPr>
            <w:tcW w:w="0" w:type="dxa"/>
            <w:vAlign w:val="bottom"/>
          </w:tcPr>
          <w:p>
            <w:pPr>
              <w:spacing w:after="0"/>
              <w:rPr>
                <w:sz w:val="1"/>
                <w:szCs w:val="1"/>
                <w:color w:val="auto"/>
              </w:rPr>
            </w:pPr>
          </w:p>
        </w:tc>
      </w:tr>
      <w:tr>
        <w:trPr>
          <w:trHeight w:val="189"/>
        </w:trPr>
        <w:tc>
          <w:tcPr>
            <w:tcW w:w="1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 Number</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Pending/Implemented</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Contribution</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Imposed</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Agreement</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128"/>
        </w:trPr>
        <w:tc>
          <w:tcPr>
            <w:tcW w:w="16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Atlanta Ironworkers Local</w:t>
            </w: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58-6051152</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7"/>
              </w:rPr>
              <w:t>Green</w:t>
            </w:r>
          </w:p>
        </w:tc>
        <w:tc>
          <w:tcPr>
            <w:tcW w:w="7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Green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1"/>
                <w:szCs w:val="11"/>
                <w:color w:val="auto"/>
              </w:rPr>
            </w:pPr>
          </w:p>
        </w:tc>
        <w:tc>
          <w:tcPr>
            <w:tcW w:w="15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No</w:t>
            </w: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No</w:t>
            </w:r>
          </w:p>
        </w:tc>
        <w:tc>
          <w:tcPr>
            <w:tcW w:w="9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9"/>
              </w:rPr>
              <w:t>No</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1/31/2017</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Union 387 Pension Plan</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60" w:type="dxa"/>
            <w:vAlign w:val="bottom"/>
            <w:gridSpan w:val="3"/>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Glazier's Union Local 27</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Pension and Retirement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3"/>
              </w:rPr>
              <w:t>36-6034076</w:t>
            </w:r>
          </w:p>
        </w:tc>
        <w:tc>
          <w:tcPr>
            <w:tcW w:w="100" w:type="dxa"/>
            <w:vAlign w:val="bottom"/>
          </w:tcPr>
          <w:p>
            <w:pPr>
              <w:spacing w:after="0"/>
              <w:rPr>
                <w:sz w:val="11"/>
                <w:szCs w:val="11"/>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7"/>
              </w:rPr>
              <w:t>Green</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Green</w:t>
            </w:r>
          </w:p>
        </w:tc>
        <w:tc>
          <w:tcPr>
            <w:tcW w:w="1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1"/>
                <w:szCs w:val="11"/>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No</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No</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No</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5/31/2017</w:t>
            </w:r>
          </w:p>
        </w:tc>
        <w:tc>
          <w:tcPr>
            <w:tcW w:w="0" w:type="dxa"/>
            <w:vAlign w:val="bottom"/>
          </w:tcPr>
          <w:p>
            <w:pPr>
              <w:spacing w:after="0"/>
              <w:rPr>
                <w:sz w:val="1"/>
                <w:szCs w:val="1"/>
                <w:color w:val="auto"/>
              </w:rPr>
            </w:pPr>
          </w:p>
        </w:tc>
      </w:tr>
      <w:tr>
        <w:trPr>
          <w:trHeight w:val="186"/>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Plan</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International Painters and</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Allied Trades Industry</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52-6073909</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5"/>
              </w:rPr>
              <w:t>Red</w:t>
            </w:r>
          </w:p>
        </w:tc>
        <w:tc>
          <w:tcPr>
            <w:tcW w:w="7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3"/>
              </w:rPr>
              <w:t>Red</w:t>
            </w:r>
          </w:p>
        </w:tc>
        <w:tc>
          <w:tcPr>
            <w:tcW w:w="14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1"/>
                <w:szCs w:val="11"/>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3"/>
              </w:rPr>
              <w:t>Implemented</w:t>
            </w: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No</w:t>
            </w:r>
          </w:p>
        </w:tc>
        <w:tc>
          <w:tcPr>
            <w:tcW w:w="9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9"/>
              </w:rPr>
              <w:t>No</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11/30/2017</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Pension Fund</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Iron Workers Local Union</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 5 and Iron Workers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Employers Assocation</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Employees Pension Trsut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3"/>
              </w:rPr>
              <w:t>52-1075473</w:t>
            </w:r>
          </w:p>
        </w:tc>
        <w:tc>
          <w:tcPr>
            <w:tcW w:w="100" w:type="dxa"/>
            <w:vAlign w:val="bottom"/>
          </w:tcPr>
          <w:p>
            <w:pPr>
              <w:spacing w:after="0"/>
              <w:rPr>
                <w:sz w:val="11"/>
                <w:szCs w:val="11"/>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7"/>
              </w:rPr>
              <w:t>Green</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Green</w:t>
            </w:r>
          </w:p>
        </w:tc>
        <w:tc>
          <w:tcPr>
            <w:tcW w:w="1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1,454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940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858</w:t>
            </w:r>
          </w:p>
        </w:tc>
        <w:tc>
          <w:tcPr>
            <w:tcW w:w="100" w:type="dxa"/>
            <w:vAlign w:val="bottom"/>
          </w:tcPr>
          <w:p>
            <w:pPr>
              <w:spacing w:after="0"/>
              <w:rPr>
                <w:sz w:val="11"/>
                <w:szCs w:val="11"/>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No</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No</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No</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5/31/2017</w:t>
            </w:r>
          </w:p>
        </w:tc>
        <w:tc>
          <w:tcPr>
            <w:tcW w:w="0" w:type="dxa"/>
            <w:vAlign w:val="bottom"/>
          </w:tcPr>
          <w:p>
            <w:pPr>
              <w:spacing w:after="0"/>
              <w:rPr>
                <w:sz w:val="1"/>
                <w:szCs w:val="1"/>
                <w:color w:val="auto"/>
              </w:rPr>
            </w:pPr>
          </w:p>
        </w:tc>
      </w:tr>
      <w:tr>
        <w:trPr>
          <w:trHeight w:val="186"/>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Fund</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Iron Workers Mid-America</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36-6488227</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7"/>
              </w:rPr>
              <w:t>Green</w:t>
            </w:r>
          </w:p>
        </w:tc>
        <w:tc>
          <w:tcPr>
            <w:tcW w:w="7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Green</w:t>
            </w:r>
          </w:p>
        </w:tc>
        <w:tc>
          <w:tcPr>
            <w:tcW w:w="1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767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No</w:t>
            </w: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No</w:t>
            </w:r>
          </w:p>
        </w:tc>
        <w:tc>
          <w:tcPr>
            <w:tcW w:w="9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9"/>
              </w:rPr>
              <w:t>No</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5/31/2017</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Pension Fund</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Iron Workers St. Louis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District Council Pension</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3"/>
              </w:rPr>
              <w:t>43-6052659</w:t>
            </w:r>
          </w:p>
        </w:tc>
        <w:tc>
          <w:tcPr>
            <w:tcW w:w="100" w:type="dxa"/>
            <w:vAlign w:val="bottom"/>
          </w:tcPr>
          <w:p>
            <w:pPr>
              <w:spacing w:after="0"/>
              <w:rPr>
                <w:sz w:val="11"/>
                <w:szCs w:val="11"/>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7"/>
              </w:rPr>
              <w:t>Green</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Green</w:t>
            </w:r>
          </w:p>
        </w:tc>
        <w:tc>
          <w:tcPr>
            <w:tcW w:w="1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1"/>
                <w:szCs w:val="11"/>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No</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No</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No</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Trust Fund</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Western Glaziers</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Retirement Plan</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91-6123685</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7"/>
              </w:rPr>
              <w:t>Green</w:t>
            </w:r>
          </w:p>
        </w:tc>
        <w:tc>
          <w:tcPr>
            <w:tcW w:w="7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Green</w:t>
            </w:r>
          </w:p>
        </w:tc>
        <w:tc>
          <w:tcPr>
            <w:tcW w:w="14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11"/>
                <w:szCs w:val="11"/>
                <w:color w:val="auto"/>
              </w:rPr>
            </w:pPr>
          </w:p>
        </w:tc>
        <w:tc>
          <w:tcPr>
            <w:tcW w:w="15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No</w:t>
            </w: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No</w:t>
            </w:r>
          </w:p>
        </w:tc>
        <w:tc>
          <w:tcPr>
            <w:tcW w:w="9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9"/>
              </w:rPr>
              <w:t>No</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6/30/2017</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Other funds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751</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Total contributions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4,123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3,926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3,687</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540" w:firstLine="6"/>
        <w:spacing w:after="0"/>
        <w:tabs>
          <w:tab w:leader="none" w:pos="152"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Plans include contributions required by collective bargaining agreements which have expired, but contain provisions automatically renewing their terms in the absence of a subsequent negotiated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-97155</wp:posOffset>
            </wp:positionV>
            <wp:extent cx="13290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The Company was listed in the plans' Forms 5500 as providing more than 5 percent of the total contributions for the following plans and plan years: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gridSpan w:val="2"/>
          </w:tcPr>
          <w:p>
            <w:pPr>
              <w:ind w:left="2640"/>
              <w:spacing w:after="0"/>
              <w:rPr>
                <w:sz w:val="20"/>
                <w:szCs w:val="20"/>
                <w:color w:val="auto"/>
              </w:rPr>
            </w:pPr>
            <w:r>
              <w:rPr>
                <w:rFonts w:ascii="Arial" w:cs="Arial" w:eastAsia="Arial" w:hAnsi="Arial"/>
                <w:sz w:val="14"/>
                <w:szCs w:val="14"/>
                <w:b w:val="1"/>
                <w:bCs w:val="1"/>
                <w:color w:val="auto"/>
              </w:rPr>
              <w:t>Pension Fund</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3"/>
              </w:rPr>
              <w:t>Year contributions to Plan Exceeded More Than 5 Percent of Total Contributions</w:t>
            </w:r>
          </w:p>
        </w:tc>
        <w:tc>
          <w:tcPr>
            <w:tcW w:w="0" w:type="dxa"/>
            <w:vAlign w:val="bottom"/>
          </w:tcPr>
          <w:p>
            <w:pPr>
              <w:spacing w:after="0"/>
              <w:rPr>
                <w:sz w:val="1"/>
                <w:szCs w:val="1"/>
                <w:color w:val="auto"/>
              </w:rPr>
            </w:pPr>
          </w:p>
        </w:tc>
      </w:tr>
      <w:tr>
        <w:trPr>
          <w:trHeight w:val="134"/>
        </w:trPr>
        <w:tc>
          <w:tcPr>
            <w:tcW w:w="6100" w:type="dxa"/>
            <w:vAlign w:val="bottom"/>
            <w:tcBorders>
              <w:top w:val="single" w:sz="8" w:color="auto"/>
            </w:tcBorders>
            <w:shd w:val="clear" w:color="auto" w:fill="CCEEFF"/>
          </w:tcPr>
          <w:p>
            <w:pPr>
              <w:ind w:left="20"/>
              <w:spacing w:after="0" w:line="135" w:lineRule="exact"/>
              <w:rPr>
                <w:sz w:val="20"/>
                <w:szCs w:val="20"/>
                <w:color w:val="auto"/>
              </w:rPr>
            </w:pPr>
            <w:r>
              <w:rPr>
                <w:rFonts w:ascii="Arial" w:cs="Arial" w:eastAsia="Arial" w:hAnsi="Arial"/>
                <w:sz w:val="14"/>
                <w:szCs w:val="14"/>
                <w:color w:val="auto"/>
                <w:w w:val="98"/>
              </w:rPr>
              <w:t>Iron Workers Local Union No. 5 and Iron Workers Employers Assocation Employees Pension Trsut</w:t>
            </w:r>
          </w:p>
        </w:tc>
        <w:tc>
          <w:tcPr>
            <w:tcW w:w="100" w:type="dxa"/>
            <w:vAlign w:val="bottom"/>
            <w:tcBorders>
              <w:top w:val="single" w:sz="8" w:color="CCEEFF"/>
            </w:tcBorders>
            <w:shd w:val="clear" w:color="auto" w:fill="CCEEFF"/>
          </w:tcPr>
          <w:p>
            <w:pPr>
              <w:spacing w:after="0"/>
              <w:rPr>
                <w:sz w:val="11"/>
                <w:szCs w:val="11"/>
                <w:color w:val="auto"/>
              </w:rPr>
            </w:pPr>
          </w:p>
        </w:tc>
        <w:tc>
          <w:tcPr>
            <w:tcW w:w="50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2021, 2020 and 2019</w:t>
            </w:r>
          </w:p>
        </w:tc>
        <w:tc>
          <w:tcPr>
            <w:tcW w:w="0" w:type="dxa"/>
            <w:vAlign w:val="bottom"/>
          </w:tcPr>
          <w:p>
            <w:pPr>
              <w:spacing w:after="0"/>
              <w:rPr>
                <w:sz w:val="1"/>
                <w:szCs w:val="1"/>
                <w:color w:val="auto"/>
              </w:rPr>
            </w:pPr>
          </w:p>
        </w:tc>
      </w:tr>
      <w:tr>
        <w:trPr>
          <w:trHeight w:val="18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Fund</w:t>
            </w:r>
          </w:p>
        </w:tc>
        <w:tc>
          <w:tcPr>
            <w:tcW w:w="5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Iron Workers Mid-America Pension Fund</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2021 and 2020</w:t>
            </w:r>
          </w:p>
        </w:tc>
        <w:tc>
          <w:tcPr>
            <w:tcW w:w="0" w:type="dxa"/>
            <w:vAlign w:val="bottom"/>
          </w:tcPr>
          <w:p>
            <w:pPr>
              <w:spacing w:after="0"/>
              <w:rPr>
                <w:sz w:val="1"/>
                <w:szCs w:val="1"/>
                <w:color w:val="auto"/>
              </w:rPr>
            </w:pPr>
          </w:p>
        </w:tc>
      </w:tr>
      <w:tr>
        <w:trPr>
          <w:trHeight w:val="192"/>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Iron Workers St. Louis District Council Pension Trust Fund</w:t>
            </w:r>
          </w:p>
        </w:tc>
        <w:tc>
          <w:tcPr>
            <w:tcW w:w="5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Western Glaziers Retirement Plan (Washington)</w:t>
            </w:r>
          </w:p>
        </w:tc>
        <w:tc>
          <w:tcPr>
            <w:tcW w:w="504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bl>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contributed in fiscal 2021, 2020, and 2019 to defined contribution multiemployer plans were $1.5 million, $0.9 million and $1.3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 of Defined-Benefit Pension Plans</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sponsor the Tubelite Inc. Hourly Employees' Pension Plan, a defined-benefit pension plan that was frozen to new entrants in fiscal 2004, with no additional benefits accruing to plan participants after such time. We also sponsor an unfunded SERP, a defined-benefit pension plan that was frozen to new entrants in fiscal 2009, with no additional benefits accruing to plan participants after such time.</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present reconciliations of the benefit obligation and the funded status of these plans. The Tubelite plan uses a measurement date as of the calendar month-end closest to our fiscal year-end, while the SERP uses a measurement date aligned with our fiscal year-end.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projected benefit obligation</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Benefit obligation beginning of period</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14,371</w:t>
            </w:r>
          </w:p>
        </w:tc>
        <w:tc>
          <w:tcPr>
            <w:tcW w:w="40" w:type="dxa"/>
            <w:vAlign w:val="bottom"/>
          </w:tcPr>
          <w:p>
            <w:pPr>
              <w:spacing w:after="0"/>
              <w:rPr>
                <w:sz w:val="19"/>
                <w:szCs w:val="19"/>
                <w:color w:val="auto"/>
              </w:rPr>
            </w:pP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Actuarial (gain) loss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Benefit obligation at measurement date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 beginning of period</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5,986</w:t>
            </w:r>
          </w:p>
        </w:tc>
        <w:tc>
          <w:tcPr>
            <w:tcW w:w="40" w:type="dxa"/>
            <w:vAlign w:val="bottom"/>
          </w:tcPr>
          <w:p>
            <w:pPr>
              <w:spacing w:after="0"/>
              <w:rPr>
                <w:sz w:val="19"/>
                <w:szCs w:val="19"/>
                <w:color w:val="auto"/>
              </w:rPr>
            </w:pP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Company contributions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Fair value of plan assets at measurement date</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Underfunded status</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color w:val="auto"/>
              </w:rPr>
              <w:t>The funded status was recognized in the consolidated balance sheets as follows: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84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4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4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6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was included in accumulated other comprehensive loss and has not yet been recognized as a component of net periodic benefit cost: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5"/>
              <w:spacing w:after="0"/>
              <w:rPr>
                <w:sz w:val="20"/>
                <w:szCs w:val="20"/>
                <w:color w:val="auto"/>
              </w:rPr>
            </w:pPr>
            <w:r>
              <w:rPr>
                <w:rFonts w:ascii="Arial" w:cs="Arial" w:eastAsia="Arial" w:hAnsi="Arial"/>
                <w:sz w:val="16"/>
                <w:szCs w:val="16"/>
                <w:b w:val="1"/>
                <w:bCs w:val="1"/>
                <w:color w:val="auto"/>
              </w:rPr>
              <w:t>2020</w:t>
            </w:r>
          </w:p>
        </w:tc>
      </w:tr>
      <w:tr>
        <w:trPr>
          <w:trHeight w:val="226"/>
        </w:trPr>
        <w:tc>
          <w:tcPr>
            <w:tcW w:w="8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r>
    </w:tbl>
    <w:p>
      <w:pPr>
        <w:spacing w:after="0" w:line="3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net actuarial gain recognized in comprehensive earnings, net of tax expense, was $0.1 million in fiscal 2021, while the net actuarial loss recognized in comprehensive earnings, net of tax benefit, was $0.4 million in fiscal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defined-benefit pension plans' net periodic benefit cost: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b w:val="1"/>
                <w:bCs w:val="1"/>
                <w:color w:val="auto"/>
              </w:rPr>
              <w:t>2019</w:t>
            </w:r>
          </w:p>
        </w:tc>
      </w:tr>
      <w:tr>
        <w:trPr>
          <w:trHeight w:val="226"/>
        </w:trPr>
        <w:tc>
          <w:tcPr>
            <w:tcW w:w="7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6"/>
              </w:rPr>
              <w:t>346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93"/>
              </w:rPr>
              <w:t>492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506</w:t>
            </w:r>
          </w:p>
        </w:tc>
      </w:tr>
      <w:tr>
        <w:trPr>
          <w:trHeight w:val="229"/>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tcPr>
          <w:p>
            <w:pPr>
              <w:spacing w:after="0"/>
              <w:rPr>
                <w:sz w:val="19"/>
                <w:szCs w:val="19"/>
                <w:color w:val="auto"/>
              </w:rPr>
            </w:pPr>
          </w:p>
        </w:tc>
        <w:tc>
          <w:tcPr>
            <w:tcW w:w="980" w:type="dxa"/>
            <w:vAlign w:val="bottom"/>
          </w:tcPr>
          <w:p>
            <w:pPr>
              <w:jc w:val="center"/>
              <w:ind w:left="432"/>
              <w:spacing w:after="0"/>
              <w:rPr>
                <w:sz w:val="20"/>
                <w:szCs w:val="20"/>
                <w:color w:val="auto"/>
              </w:rPr>
            </w:pPr>
            <w:r>
              <w:rPr>
                <w:rFonts w:ascii="Arial" w:cs="Arial" w:eastAsia="Arial" w:hAnsi="Arial"/>
                <w:sz w:val="18"/>
                <w:szCs w:val="18"/>
                <w:color w:val="auto"/>
                <w:w w:val="90"/>
              </w:rPr>
              <w:t>(211)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452"/>
              <w:spacing w:after="0"/>
              <w:rPr>
                <w:sz w:val="20"/>
                <w:szCs w:val="20"/>
                <w:color w:val="auto"/>
              </w:rPr>
            </w:pPr>
            <w:r>
              <w:rPr>
                <w:rFonts w:ascii="Arial" w:cs="Arial" w:eastAsia="Arial" w:hAnsi="Arial"/>
                <w:sz w:val="18"/>
                <w:szCs w:val="18"/>
                <w:color w:val="auto"/>
                <w:w w:val="90"/>
              </w:rPr>
              <w:t>(182)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660"/>
              <w:spacing w:after="0"/>
              <w:rPr>
                <w:sz w:val="20"/>
                <w:szCs w:val="20"/>
                <w:color w:val="auto"/>
              </w:rPr>
            </w:pPr>
            <w:r>
              <w:rPr>
                <w:rFonts w:ascii="Arial" w:cs="Arial" w:eastAsia="Arial" w:hAnsi="Arial"/>
                <w:sz w:val="18"/>
                <w:szCs w:val="18"/>
                <w:color w:val="auto"/>
                <w:w w:val="93"/>
              </w:rPr>
              <w:t>(40)</w:t>
            </w:r>
          </w:p>
        </w:tc>
      </w:tr>
      <w:tr>
        <w:trPr>
          <w:trHeight w:val="23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unrecognized net loss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6"/>
              </w:rPr>
              <w:t>260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93"/>
              </w:rPr>
              <w:t>219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226</w:t>
            </w:r>
          </w:p>
        </w:tc>
      </w:tr>
      <w:tr>
        <w:trPr>
          <w:trHeight w:val="223"/>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6"/>
              </w:rPr>
              <w:t>395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93"/>
              </w:rPr>
              <w:t>529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692</w:t>
            </w:r>
          </w:p>
        </w:tc>
      </w:tr>
      <w:tr>
        <w:trPr>
          <w:trHeight w:val="21"/>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Total net periodic pension benefit cost is expected to be approximately $0.5 million in fiscal 2022. The estimated net actuarial gain for the defined-benefit pension plans that will be amortized from accumulated other comprehensive loss into net periodic benefit cost for fiscal 2022 is $0.2 million, net of tax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820" w:type="dxa"/>
            <w:vAlign w:val="bottom"/>
            <w:gridSpan w:val="2"/>
          </w:tcPr>
          <w:p>
            <w:pPr>
              <w:ind w:left="20"/>
              <w:spacing w:after="0"/>
              <w:rPr>
                <w:sz w:val="20"/>
                <w:szCs w:val="20"/>
                <w:color w:val="auto"/>
              </w:rPr>
            </w:pPr>
            <w:r>
              <w:rPr>
                <w:rFonts w:ascii="Arial" w:cs="Arial" w:eastAsia="Arial" w:hAnsi="Arial"/>
                <w:sz w:val="16"/>
                <w:szCs w:val="16"/>
                <w:b w:val="1"/>
                <w:bCs w:val="1"/>
                <w:color w:val="auto"/>
              </w:rPr>
              <w:t>Benefit Obligation Weighted-Average Assumptions</w:t>
            </w:r>
          </w:p>
        </w:tc>
        <w:tc>
          <w:tcPr>
            <w:tcW w:w="1380" w:type="dxa"/>
            <w:vAlign w:val="bottom"/>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60" w:type="dxa"/>
            <w:vAlign w:val="bottom"/>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2019</w:t>
            </w:r>
          </w:p>
        </w:tc>
      </w:tr>
      <w:tr>
        <w:trPr>
          <w:trHeight w:val="226"/>
        </w:trPr>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3.80 %</w:t>
            </w:r>
          </w:p>
        </w:tc>
      </w:tr>
      <w:tr>
        <w:trPr>
          <w:trHeight w:val="321"/>
        </w:trPr>
        <w:tc>
          <w:tcPr>
            <w:tcW w:w="68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Periodic Benefit Expense Weighted-Average Assumptions</w:t>
            </w:r>
          </w:p>
        </w:tc>
        <w:tc>
          <w:tcPr>
            <w:tcW w:w="1380" w:type="dxa"/>
            <w:vAlign w:val="bottom"/>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4"/>
                <w:szCs w:val="24"/>
                <w:color w:val="auto"/>
              </w:rPr>
            </w:pPr>
          </w:p>
        </w:tc>
        <w:tc>
          <w:tcPr>
            <w:tcW w:w="1360" w:type="dxa"/>
            <w:vAlign w:val="bottom"/>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4"/>
                <w:szCs w:val="24"/>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2019</w:t>
            </w:r>
          </w:p>
        </w:tc>
      </w:tr>
      <w:tr>
        <w:trPr>
          <w:trHeight w:val="226"/>
        </w:trPr>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3.85 %</w:t>
            </w: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Expected long-term rate of return on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4.50 %</w:t>
            </w:r>
          </w:p>
        </w:tc>
      </w:tr>
    </w:tbl>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Discount rate. </w:t>
      </w:r>
      <w:r>
        <w:rPr>
          <w:rFonts w:ascii="Arial" w:cs="Arial" w:eastAsia="Arial" w:hAnsi="Arial"/>
          <w:sz w:val="18"/>
          <w:szCs w:val="18"/>
          <w:color w:val="auto"/>
        </w:rPr>
        <w:t>The discount rate reflects the current rate at which the defined-benefit plans' pension liabilities could be effectively settled at the end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based on the measurement date. The discount rate was determined by matching the expected benefit payments to payments from the Principal Discount Yield Curve. There are no known or anticipated changes in the discount rate assumption that will have a significant impact on pension expense in fiscal 2022.</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Expected return on assets. </w:t>
      </w:r>
      <w:r>
        <w:rPr>
          <w:rFonts w:ascii="Arial" w:cs="Arial" w:eastAsia="Arial" w:hAnsi="Arial"/>
          <w:sz w:val="18"/>
          <w:szCs w:val="18"/>
          <w:color w:val="auto"/>
        </w:rPr>
        <w:t>To develop the expected long-term rate of return on assets, we considered historical long-term rates of return achieved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investments, the plan's investment strategy, and current and projected market conditions. During fiscal 2019, the assets of the Tubelite plan were moved from investment in a short-term bond fund to various duration fixed income funds. The investments are carried at fair value based on prices from recent trades of similar securities, which would be classified as Level 2 in the valuation hierarchy. We do not maintain assets intended for the future use of the SERP.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Company contributions to the plans for fiscal 2021 and fiscal 2020 were $0.7 million in each year, which equaled or exceeded the minimum funding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are expected to be paid by the plans: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1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95"/>
              <w:spacing w:after="0"/>
              <w:rPr>
                <w:sz w:val="20"/>
                <w:szCs w:val="20"/>
                <w:color w:val="auto"/>
              </w:rPr>
            </w:pPr>
            <w:r>
              <w:rPr>
                <w:rFonts w:ascii="Arial" w:cs="Arial" w:eastAsia="Arial" w:hAnsi="Arial"/>
                <w:sz w:val="16"/>
                <w:szCs w:val="16"/>
                <w:b w:val="1"/>
                <w:bCs w:val="1"/>
                <w:color w:val="auto"/>
                <w:w w:val="96"/>
              </w:rPr>
              <w:t>2027-2031</w:t>
            </w:r>
          </w:p>
        </w:tc>
      </w:tr>
      <w:tr>
        <w:trPr>
          <w:trHeight w:val="226"/>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Estimated future benefit payments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971</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935</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r>
    </w:tbl>
    <w:p>
      <w:pPr>
        <w:spacing w:after="0" w:line="3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commitments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the ordinary course of business, predominantly in the Architectural Services and Architectural Framing Systems segments, we are required to provide surety or performance bonds that commit payments to our customers for any non-performance. At February 27, 2021, $1.1 billion of these types of bonds were outstanding, of which, $532.4 million is on our backlog. These bonds do not have stated expiration dates, as we are released from the bonds upon completion of the contract. We have never been required to make payments under surety or performance bonds with respect to our existing businesses.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and project-related contingencies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reserve estimated exposures on known claims, as well as on a portion of anticipated claims, for product warranty and rework costs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226"/>
        </w:trPr>
        <w:tc>
          <w:tcPr>
            <w:tcW w:w="8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16,737</w:t>
            </w:r>
          </w:p>
        </w:tc>
      </w:tr>
      <w:tr>
        <w:trPr>
          <w:trHeight w:val="230"/>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Additional accruals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8,224</w:t>
            </w:r>
          </w:p>
        </w:tc>
      </w:tr>
      <w:tr>
        <w:trPr>
          <w:trHeight w:val="22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Claims paid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w:t>
            </w:r>
          </w:p>
        </w:tc>
      </w:tr>
      <w:tr>
        <w:trPr>
          <w:trHeight w:val="22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15,629</w:t>
            </w: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 The liability for these types of project-related contingencies was $4.6 million and $49.0 million as of February 27, 2021 and February 29, 2020, respectively. In the second quarter of fiscal 2021, we settled contract claims related to a majority of these project-related contingencies on a legacy EFCO project for an amount equal to the recorded contingency. During fiscal 2020, we received $15.0 million </w:t>
      </w:r>
      <w:r>
        <w:rPr>
          <w:rFonts w:ascii="Arial" w:cs="Arial" w:eastAsia="Arial" w:hAnsi="Arial"/>
          <w:sz w:val="18"/>
          <w:szCs w:val="18"/>
          <w:color w:val="212529"/>
        </w:rPr>
        <w:t>of insurance proceeds related to this project matter, which was included within cost of sales on</w:t>
      </w:r>
      <w:r>
        <w:rPr>
          <w:rFonts w:ascii="Arial" w:cs="Arial" w:eastAsia="Arial" w:hAnsi="Arial"/>
          <w:sz w:val="18"/>
          <w:szCs w:val="18"/>
          <w:color w:val="auto"/>
        </w:rPr>
        <w:t xml:space="preserve"> </w:t>
      </w:r>
      <w:r>
        <w:rPr>
          <w:rFonts w:ascii="Arial" w:cs="Arial" w:eastAsia="Arial" w:hAnsi="Arial"/>
          <w:sz w:val="18"/>
          <w:szCs w:val="18"/>
          <w:color w:val="212529"/>
        </w:rPr>
        <w:t>our consolidated results of operations.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February 27, 2021, we had $18.7 million of ongoing letters of credit, all of which have been issued under our revolving credit facility, as discussed in Note 7. In connection with the settlement of contract claims related to a legacy EFCO project referenced above, the original project performance and payment bond related to the project was replaced, which required a $25.0 million letter of credit. The letter of credit for the replacement bond was issued outside of our committed revolving credit facility, with no impact on our borrowing capacity and debt covenants.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primarily for raw material commitments and capital expenditures totaled $253.5 million as of February 27,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fiscal 2008, we acquired one manufacturing facility which has certain historical environmental conditions. Remediation of these conditions is ongoing without significant disruption to our operations. The estimated remaining liability for these remediation activities was $0.5 million and $0.7 million at February 27, 2021 and February 29, 2020,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Markets Tax Credit (NMTC) transactions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year-end fiscal 2021, we have three outstanding NMTC arrangements which help to support operational expansion. Proceeds received from investors on these transactions are included within other non-current liabilities on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non-current assets on our consolidated balance sheets. These costs will be recognized in conjunction with the recognition of the related proceeds on each arrangement. During the construction phase for each project, we are required to hold cash dedicated to fund each capital project which is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 During the third quarter of fiscal 2021, we settled one arrangement at the end of the seven year term and as a result, $7.4 million of operating income was recognized as a reduction to selling, general and administrative expenses within the Architectural Glass segment.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our outstanding NMTC transactions (in millions):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Inception date</w:t>
            </w: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Termination date</w:t>
            </w:r>
          </w:p>
        </w:tc>
        <w:tc>
          <w:tcPr>
            <w:tcW w:w="16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Proceeds received</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Deferred costs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392"/>
              <w:spacing w:after="0"/>
              <w:rPr>
                <w:sz w:val="20"/>
                <w:szCs w:val="20"/>
                <w:color w:val="auto"/>
              </w:rPr>
            </w:pPr>
            <w:r>
              <w:rPr>
                <w:rFonts w:ascii="Arial" w:cs="Arial" w:eastAsia="Arial" w:hAnsi="Arial"/>
                <w:sz w:val="16"/>
                <w:szCs w:val="16"/>
                <w:b w:val="1"/>
                <w:bCs w:val="1"/>
                <w:color w:val="auto"/>
              </w:rPr>
              <w:t>Net benefit</w:t>
            </w:r>
          </w:p>
        </w:tc>
      </w:tr>
      <w:tr>
        <w:trPr>
          <w:trHeight w:val="226"/>
        </w:trPr>
        <w:tc>
          <w:tcPr>
            <w:tcW w:w="3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2016</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2023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73"/>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August 2018</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2025</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2018</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2025</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17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From time to time, the Company is a party to various legal proceedings incidental to its normal operating activities. In particular, like others in the construction supply and services industry, the Company is routinely involved in various disputes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and claims arising out of construction projects, sometimes involving significant monetary damages or product replacement. We have in the past and are currently subject to product liability and warranty claims, including certain legal claims related to a commercial sealant product.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97"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class of 200,000 shares of junior preferred stock with a par value of $1.00 is authorized, but unissued.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2004, the Board of Directors authorized a share repurchase program, with subsequent increases in authorization. We repurchased 1,177,704 shares under the program during fiscal 2021, for a total cost of $32.9 million. We repurchased 686,997 shares under the program, for a total cost of $25.1 million, in fiscal 2020, and 1,257,983 shares under the program, for a total cost of $43.3 million, in fiscal 2019. The Company has repurchased a total of 7,132,616 shares, at a total cost of $207.3 million, since the inception of this program. We have remaining authority to repurchase 1,117,384 shares under this program, which has no expiration date.</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shares repurchased under this repurchase plan, during fiscal 2021, 2020 and 2019, the Company also withheld $3.0 million, $2.3 million and $2.0 million, respectively, of Company stock from employees in order to satisfy stock-for-stock option exercises or tax obligations related to stock-based compensation, pursuant to terms of board and shareholder-approved compensation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accumulated other comprehensive loss, net of tax, at February 27, 2021 and February 29, 2020:</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5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r>
      <w:tr>
        <w:trPr>
          <w:trHeight w:val="226"/>
        </w:trPr>
        <w:tc>
          <w:tcPr>
            <w:tcW w:w="8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unrealized gain on marketable securities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Foreign currency hedge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30"/>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liability adjustments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r>
      <w:tr>
        <w:trPr>
          <w:trHeight w:val="230"/>
        </w:trPr>
        <w:tc>
          <w:tcPr>
            <w:tcW w:w="8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(29,195)</w:t>
            </w:r>
          </w:p>
        </w:tc>
      </w:tr>
      <w:tr>
        <w:trPr>
          <w:trHeight w:val="248"/>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Share-Based Compensation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2019 Stock Incentive Plan and a 2019 Non-Employee Director Stock Plan (the Plans) that provide for the issuance of 1,150,000 and 150,000 shares, respectively, for various forms of stock-based compensation to employees and non-employee directors. We also have a 2009 Stock Incentive Plan and 2009 Non-Employee Director Stock Incentive Plan with shares reserved for issuance for outstanding unvested awards. Awards under these Plans may be in the form of incentive stock options (to employees only), nonstatutory options, stock-settled stock appreciation rights (SARs), or nonvested share awards and units, all of which are granted at a price or with an exercise price equal to the fair market value of the Company’s stock at the date of award. No additional awards can be made under the 2009 Stock Incentive Plan or the 2009 Non-Employee Director Stock Incentive Plan. Nonvested share awards and units generally vest over a two, three or four-year period.</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stock-based compensation expense was $8.6 million in fiscal 2021, $6.6 million in fiscal 2020 and $6.3 million in fiscal 2019. We account for any forfeitures as they occur.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SARs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June 2020, we granted 660,600 stock options which had a weighted average fair value per option at the date of grant of $5.01.</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award grant is estimated on the date of grant using the binomial lattice option-pricing model with the following weighted-average assumptions used for grants in fiscal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r>
      <w:tr>
        <w:trPr>
          <w:trHeight w:val="22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40.0 %</w:t>
            </w: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Maximum price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35.70</w:t>
            </w: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expected stock price volatility is based on historical experience. The risk-free rate for periods that coincide with the expected life of the options is based on the U.S. Treasury Department yield curve in effect at the time of grant.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SAR activity for the current fiscal year is summarized below: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3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1"/>
                <w:szCs w:val="11"/>
                <w:color w:val="auto"/>
              </w:rPr>
            </w:pPr>
          </w:p>
        </w:tc>
        <w:tc>
          <w:tcPr>
            <w:tcW w:w="130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6"/>
              </w:rPr>
              <w:t>Intrinsic Value at</w:t>
            </w: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Exercise Price</w:t>
            </w: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 Life</w:t>
            </w:r>
          </w:p>
        </w:tc>
        <w:tc>
          <w:tcPr>
            <w:tcW w:w="14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Arial" w:cs="Arial" w:eastAsia="Arial" w:hAnsi="Arial"/>
                <w:sz w:val="14"/>
                <w:szCs w:val="14"/>
                <w:b w:val="1"/>
                <w:bCs w:val="1"/>
                <w:color w:val="auto"/>
                <w:w w:val="97"/>
              </w:rPr>
              <w:t>Year-End</w:t>
            </w:r>
          </w:p>
        </w:tc>
        <w:tc>
          <w:tcPr>
            <w:tcW w:w="0" w:type="dxa"/>
            <w:vAlign w:val="bottom"/>
          </w:tcPr>
          <w:p>
            <w:pPr>
              <w:spacing w:after="0"/>
              <w:rPr>
                <w:sz w:val="1"/>
                <w:szCs w:val="1"/>
                <w:color w:val="auto"/>
              </w:rPr>
            </w:pP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February 29, 2020</w:t>
            </w:r>
          </w:p>
        </w:tc>
        <w:tc>
          <w:tcPr>
            <w:tcW w:w="1260" w:type="dxa"/>
            <w:vAlign w:val="bottom"/>
            <w:tcBorders>
              <w:top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92"/>
              </w:rPr>
              <w:t>100,341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Awards granted</w:t>
            </w:r>
          </w:p>
        </w:tc>
        <w:tc>
          <w:tcPr>
            <w:tcW w:w="1260" w:type="dxa"/>
            <w:vAlign w:val="bottom"/>
          </w:tcPr>
          <w:p>
            <w:pPr>
              <w:jc w:val="center"/>
              <w:ind w:left="455"/>
              <w:spacing w:after="0"/>
              <w:rPr>
                <w:sz w:val="20"/>
                <w:szCs w:val="20"/>
                <w:color w:val="auto"/>
              </w:rPr>
            </w:pPr>
            <w:r>
              <w:rPr>
                <w:rFonts w:ascii="Arial" w:cs="Arial" w:eastAsia="Arial" w:hAnsi="Arial"/>
                <w:sz w:val="18"/>
                <w:szCs w:val="18"/>
                <w:color w:val="auto"/>
                <w:w w:val="92"/>
              </w:rPr>
              <w:t>660,600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exercised</w:t>
            </w:r>
          </w:p>
        </w:tc>
        <w:tc>
          <w:tcPr>
            <w:tcW w:w="1260" w:type="dxa"/>
            <w:vAlign w:val="bottom"/>
            <w:tcBorders>
              <w:bottom w:val="single" w:sz="8" w:color="auto"/>
            </w:tcBorders>
            <w:shd w:val="clear" w:color="auto" w:fill="CCEEFF"/>
          </w:tcPr>
          <w:p>
            <w:pPr>
              <w:jc w:val="center"/>
              <w:ind w:left="435"/>
              <w:spacing w:after="0"/>
              <w:rPr>
                <w:sz w:val="20"/>
                <w:szCs w:val="20"/>
                <w:color w:val="auto"/>
              </w:rPr>
            </w:pPr>
            <w:r>
              <w:rPr>
                <w:rFonts w:ascii="Arial" w:cs="Arial" w:eastAsia="Arial" w:hAnsi="Arial"/>
                <w:sz w:val="18"/>
                <w:szCs w:val="18"/>
                <w:color w:val="auto"/>
                <w:w w:val="90"/>
              </w:rPr>
              <w:t>(127,241)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Outstanding at February 27, 2021</w:t>
            </w:r>
          </w:p>
        </w:tc>
        <w:tc>
          <w:tcPr>
            <w:tcW w:w="126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color w:val="auto"/>
                <w:w w:val="92"/>
              </w:rPr>
              <w:t>633,700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19"/>
                <w:szCs w:val="19"/>
                <w:color w:val="auto"/>
              </w:rPr>
            </w:pPr>
          </w:p>
        </w:tc>
        <w:tc>
          <w:tcPr>
            <w:tcW w:w="1600" w:type="dxa"/>
            <w:vAlign w:val="bottom"/>
            <w:gridSpan w:val="2"/>
          </w:tcPr>
          <w:p>
            <w:pPr>
              <w:ind w:left="820"/>
              <w:spacing w:after="0"/>
              <w:rPr>
                <w:sz w:val="20"/>
                <w:szCs w:val="20"/>
                <w:color w:val="auto"/>
              </w:rPr>
            </w:pPr>
            <w:r>
              <w:rPr>
                <w:rFonts w:ascii="Arial" w:cs="Arial" w:eastAsia="Arial" w:hAnsi="Arial"/>
                <w:sz w:val="18"/>
                <w:szCs w:val="18"/>
                <w:color w:val="auto"/>
              </w:rPr>
              <w:t>9.3 years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9,099,932</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or expected to vest at February 27, 2021</w:t>
            </w:r>
          </w:p>
        </w:tc>
        <w:tc>
          <w:tcPr>
            <w:tcW w:w="126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92"/>
              </w:rPr>
              <w:t>633,700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9.3 years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9,099,932</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Exercisable at February 27, 2021</w:t>
            </w:r>
          </w:p>
        </w:tc>
        <w:tc>
          <w:tcPr>
            <w:tcW w:w="1260" w:type="dxa"/>
            <w:vAlign w:val="bottom"/>
          </w:tcPr>
          <w:p>
            <w:pPr>
              <w:jc w:val="center"/>
              <w:ind w:left="455"/>
              <w:spacing w:after="0"/>
              <w:rPr>
                <w:sz w:val="20"/>
                <w:szCs w:val="20"/>
                <w:color w:val="auto"/>
              </w:rPr>
            </w:pPr>
            <w:r>
              <w:rPr>
                <w:rFonts w:ascii="Arial" w:cs="Arial" w:eastAsia="Arial" w:hAnsi="Arial"/>
                <w:sz w:val="18"/>
                <w:szCs w:val="18"/>
                <w:color w:val="auto"/>
                <w:w w:val="92"/>
              </w:rPr>
              <w:t>215,600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0"/>
                <w:szCs w:val="20"/>
                <w:color w:val="auto"/>
              </w:rPr>
            </w:pPr>
          </w:p>
        </w:tc>
        <w:tc>
          <w:tcPr>
            <w:tcW w:w="1600" w:type="dxa"/>
            <w:vAlign w:val="bottom"/>
            <w:gridSpan w:val="2"/>
          </w:tcPr>
          <w:p>
            <w:pPr>
              <w:ind w:left="820"/>
              <w:spacing w:after="0"/>
              <w:rPr>
                <w:sz w:val="20"/>
                <w:szCs w:val="20"/>
                <w:color w:val="auto"/>
              </w:rPr>
            </w:pPr>
            <w:r>
              <w:rPr>
                <w:rFonts w:ascii="Arial" w:cs="Arial" w:eastAsia="Arial" w:hAnsi="Arial"/>
                <w:sz w:val="18"/>
                <w:szCs w:val="18"/>
                <w:color w:val="auto"/>
              </w:rPr>
              <w:t>9.3 years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3,096,016</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proceeds from the exercise of stock options were $1.5 million for fiscal 2021 and $0.2 million for fiscal 2019. The aggregate intrinsic value of securities exercised (the amount by which the stock price on the date of exercise exceeded the stock price of the award on the date of grant) was $1.8 million in fiscal 2021 and $0.6 million in fiscal 2019. No awards were issued or exercised during fiscal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Share Awards and Units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nonvested share activity for fiscal February 27,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Number of Shares and Units</w:t>
            </w:r>
          </w:p>
        </w:tc>
        <w:tc>
          <w:tcPr>
            <w:tcW w:w="160" w:type="dxa"/>
            <w:vAlign w:val="bottom"/>
          </w:tcPr>
          <w:p>
            <w:pPr>
              <w:spacing w:after="0"/>
              <w:rPr>
                <w:sz w:val="14"/>
                <w:szCs w:val="14"/>
                <w:color w:val="auto"/>
              </w:rPr>
            </w:pPr>
          </w:p>
        </w:tc>
        <w:tc>
          <w:tcPr>
            <w:tcW w:w="1660" w:type="dxa"/>
            <w:vAlign w:val="bottom"/>
          </w:tcPr>
          <w:p>
            <w:pPr>
              <w:jc w:val="right"/>
              <w:ind w:right="275"/>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752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24"/>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29, 2020</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spacing w:after="0"/>
              <w:rPr>
                <w:sz w:val="20"/>
                <w:szCs w:val="20"/>
                <w:color w:val="auto"/>
              </w:rPr>
            </w:pPr>
            <w:r>
              <w:rPr>
                <w:rFonts w:ascii="Arial" w:cs="Arial" w:eastAsia="Arial" w:hAnsi="Arial"/>
                <w:sz w:val="18"/>
                <w:szCs w:val="18"/>
                <w:color w:val="auto"/>
              </w:rPr>
              <w:t>387,858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27, 2021</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February 27, 2021, there was $7.9 million of total unrecognized compensation cost related to nonvested share and nonvested share unit awards, which is expected to be recognized over a weighted average period of approximately 29 months. The total fair value of shares vested during fiscal February 27, 2021 was $6.1 million.</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income taxes consisted of the following:</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1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29"/>
        </w:trPr>
        <w:tc>
          <w:tcPr>
            <w:tcW w:w="7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87"/>
              </w:rPr>
              <w:t>45,651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center"/>
              <w:ind w:left="235"/>
              <w:spacing w:after="0"/>
              <w:rPr>
                <w:sz w:val="20"/>
                <w:szCs w:val="20"/>
                <w:color w:val="auto"/>
              </w:rPr>
            </w:pPr>
            <w:r>
              <w:rPr>
                <w:rFonts w:ascii="Arial" w:cs="Arial" w:eastAsia="Arial" w:hAnsi="Arial"/>
                <w:sz w:val="18"/>
                <w:szCs w:val="18"/>
                <w:color w:val="auto"/>
                <w:w w:val="90"/>
              </w:rPr>
              <w:t>97,297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60,042</w:t>
            </w:r>
          </w:p>
        </w:tc>
      </w:tr>
      <w:tr>
        <w:trPr>
          <w:trHeight w:val="229"/>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35"/>
              <w:spacing w:after="0"/>
              <w:rPr>
                <w:sz w:val="20"/>
                <w:szCs w:val="20"/>
                <w:color w:val="auto"/>
              </w:rPr>
            </w:pPr>
            <w:r>
              <w:rPr>
                <w:rFonts w:ascii="Arial" w:cs="Arial" w:eastAsia="Arial" w:hAnsi="Arial"/>
                <w:sz w:val="18"/>
                <w:szCs w:val="18"/>
                <w:color w:val="auto"/>
                <w:w w:val="92"/>
              </w:rPr>
              <w:t>(23,040)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15"/>
              <w:spacing w:after="0"/>
              <w:rPr>
                <w:sz w:val="20"/>
                <w:szCs w:val="20"/>
                <w:color w:val="auto"/>
              </w:rPr>
            </w:pPr>
            <w:r>
              <w:rPr>
                <w:rFonts w:ascii="Arial" w:cs="Arial" w:eastAsia="Arial" w:hAnsi="Arial"/>
                <w:sz w:val="18"/>
                <w:szCs w:val="18"/>
                <w:color w:val="auto"/>
                <w:w w:val="89"/>
              </w:rPr>
              <w:t>(17,547)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4"/>
              </w:rPr>
              <w:t>(1,380)</w:t>
            </w:r>
          </w:p>
        </w:tc>
      </w:tr>
      <w:tr>
        <w:trPr>
          <w:trHeight w:val="248"/>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87"/>
              </w:rPr>
              <w:t>22,611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center"/>
              <w:ind w:left="235"/>
              <w:spacing w:after="0"/>
              <w:rPr>
                <w:sz w:val="20"/>
                <w:szCs w:val="20"/>
                <w:color w:val="auto"/>
              </w:rPr>
            </w:pPr>
            <w:r>
              <w:rPr>
                <w:rFonts w:ascii="Arial" w:cs="Arial" w:eastAsia="Arial" w:hAnsi="Arial"/>
                <w:sz w:val="18"/>
                <w:szCs w:val="18"/>
                <w:color w:val="auto"/>
                <w:w w:val="90"/>
              </w:rPr>
              <w:t>79,750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58,662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(benefit) for each of the last three fiscal years are as follows: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1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29"/>
        </w:trPr>
        <w:tc>
          <w:tcPr>
            <w:tcW w:w="7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30"/>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11,495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8,493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22,746</w:t>
            </w:r>
          </w:p>
        </w:tc>
      </w:tr>
      <w:tr>
        <w:trPr>
          <w:trHeight w:val="229"/>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r>
      <w:tr>
        <w:trPr>
          <w:trHeight w:val="229"/>
        </w:trPr>
        <w:tc>
          <w:tcPr>
            <w:tcW w:w="71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r>
      <w:tr>
        <w:trPr>
          <w:trHeight w:val="223"/>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current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w:t>
            </w:r>
          </w:p>
        </w:tc>
      </w:tr>
      <w:tr>
        <w:trPr>
          <w:trHeight w:val="229"/>
        </w:trPr>
        <w:tc>
          <w:tcPr>
            <w:tcW w:w="714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(12,409)</w:t>
            </w:r>
          </w:p>
        </w:tc>
      </w:tr>
      <w:tr>
        <w:trPr>
          <w:trHeight w:val="229"/>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State and local</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6,275</w:t>
            </w:r>
          </w:p>
        </w:tc>
      </w:tr>
      <w:tr>
        <w:trPr>
          <w:trHeight w:val="230"/>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23"/>
        </w:trPr>
        <w:tc>
          <w:tcPr>
            <w:tcW w:w="7140" w:type="dxa"/>
            <w:vAlign w:val="bottom"/>
            <w:gridSpan w:val="2"/>
          </w:tcPr>
          <w:p>
            <w:pPr>
              <w:ind w:left="220"/>
              <w:spacing w:after="0"/>
              <w:rPr>
                <w:sz w:val="20"/>
                <w:szCs w:val="20"/>
                <w:color w:val="auto"/>
              </w:rPr>
            </w:pPr>
            <w:r>
              <w:rPr>
                <w:rFonts w:ascii="Arial" w:cs="Arial" w:eastAsia="Arial" w:hAnsi="Arial"/>
                <w:sz w:val="18"/>
                <w:szCs w:val="18"/>
                <w:color w:val="auto"/>
              </w:rPr>
              <w:t>Total deferred</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(5,506)</w:t>
            </w:r>
          </w:p>
        </w:tc>
      </w:tr>
      <w:tr>
        <w:trPr>
          <w:trHeight w:val="23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Total income tax expense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w:t>
            </w:r>
          </w:p>
        </w:tc>
      </w:tr>
      <w:tr>
        <w:trPr>
          <w:trHeight w:val="21"/>
        </w:trPr>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Income tax payments, net of refunds, were $14.1 million, $17.8 million and $16.5 million in fiscal 2021, 2020 and 2019,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statutory federal income tax rate to our consolidated effective tax rates: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60" w:type="dxa"/>
            <w:vAlign w:val="bottom"/>
            <w:gridSpan w:val="2"/>
          </w:tcPr>
          <w:p>
            <w:pPr>
              <w:ind w:left="7380"/>
              <w:spacing w:after="0"/>
              <w:rPr>
                <w:sz w:val="20"/>
                <w:szCs w:val="20"/>
                <w:color w:val="auto"/>
              </w:rPr>
            </w:pPr>
            <w:r>
              <w:rPr>
                <w:rFonts w:ascii="Arial" w:cs="Arial" w:eastAsia="Arial" w:hAnsi="Arial"/>
                <w:sz w:val="14"/>
                <w:szCs w:val="14"/>
                <w:b w:val="1"/>
                <w:bCs w:val="1"/>
                <w:color w:val="auto"/>
                <w:w w:val="83"/>
              </w:rPr>
              <w:t>2021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8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9"/>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8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21.0 %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 net of federal tax benefit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2.7</w:t>
            </w: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0.8</w:t>
            </w: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Nondeductible goodwill impairment expense</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&amp; development tax credit</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1"/>
              </w:rPr>
              <w:t>(5.3)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§162(m) Executive Compensation Limitation</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r>
      <w:tr>
        <w:trPr>
          <w:trHeight w:val="22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Consolidated effective income tax rate</w:t>
            </w:r>
          </w:p>
        </w:tc>
        <w:tc>
          <w:tcPr>
            <w:tcW w:w="540" w:type="dxa"/>
            <w:vAlign w:val="bottom"/>
          </w:tcPr>
          <w:p>
            <w:pPr>
              <w:jc w:val="right"/>
              <w:spacing w:after="0"/>
              <w:rPr>
                <w:sz w:val="20"/>
                <w:szCs w:val="20"/>
                <w:color w:val="auto"/>
              </w:rPr>
            </w:pPr>
            <w:r>
              <w:rPr>
                <w:rFonts w:ascii="Arial" w:cs="Arial" w:eastAsia="Arial" w:hAnsi="Arial"/>
                <w:sz w:val="18"/>
                <w:szCs w:val="18"/>
                <w:color w:val="auto"/>
                <w:w w:val="89"/>
              </w:rPr>
              <w:t>31.7 %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22.1 %</w:t>
            </w:r>
          </w:p>
        </w:tc>
      </w:tr>
      <w:tr>
        <w:trPr>
          <w:trHeight w:val="20"/>
        </w:trPr>
        <w:tc>
          <w:tcPr>
            <w:tcW w:w="6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effective tax rate for fiscal 2021 increased 9.3 percentage points from fiscal 2020, primarily due to nondeductible goodwill impairment expense in Canada and the impact of the unfavorable permanent items in relation to reduced earnings in fiscal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deferred tax liabilities at February 27, 2021 and February 29, 2020 were: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4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6,309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15,832</w:t>
            </w:r>
          </w:p>
        </w:tc>
        <w:tc>
          <w:tcPr>
            <w:tcW w:w="60" w:type="dxa"/>
            <w:vAlign w:val="bottom"/>
          </w:tcPr>
          <w:p>
            <w:pPr>
              <w:spacing w:after="0"/>
              <w:rPr>
                <w:sz w:val="19"/>
                <w:szCs w:val="19"/>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w:t>
            </w:r>
          </w:p>
        </w:tc>
        <w:tc>
          <w:tcPr>
            <w:tcW w:w="3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60" w:type="dxa"/>
            <w:vAlign w:val="bottom"/>
          </w:tcPr>
          <w:p>
            <w:pPr>
              <w:spacing w:after="0"/>
              <w:rPr>
                <w:sz w:val="19"/>
                <w:szCs w:val="19"/>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Employment tax accrual</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intangibles</w:t>
            </w:r>
          </w:p>
        </w:tc>
        <w:tc>
          <w:tcPr>
            <w:tcW w:w="3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Liability for unrecognized tax benefits</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1,941</w:t>
            </w:r>
          </w:p>
        </w:tc>
        <w:tc>
          <w:tcPr>
            <w:tcW w:w="60" w:type="dxa"/>
            <w:vAlign w:val="bottom"/>
          </w:tcPr>
          <w:p>
            <w:pPr>
              <w:spacing w:after="0"/>
              <w:rPr>
                <w:sz w:val="19"/>
                <w:szCs w:val="19"/>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income</w:t>
            </w:r>
          </w:p>
        </w:tc>
        <w:tc>
          <w:tcPr>
            <w:tcW w:w="3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60" w:type="dxa"/>
            <w:vAlign w:val="bottom"/>
          </w:tcPr>
          <w:p>
            <w:pPr>
              <w:spacing w:after="0"/>
              <w:rPr>
                <w:sz w:val="19"/>
                <w:szCs w:val="19"/>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6,640</w:t>
            </w:r>
          </w:p>
        </w:tc>
        <w:tc>
          <w:tcPr>
            <w:tcW w:w="60" w:type="dxa"/>
            <w:vAlign w:val="bottom"/>
          </w:tcPr>
          <w:p>
            <w:pPr>
              <w:spacing w:after="0"/>
              <w:rPr>
                <w:sz w:val="19"/>
                <w:szCs w:val="19"/>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losses and tax credits</w:t>
            </w:r>
          </w:p>
        </w:tc>
        <w:tc>
          <w:tcPr>
            <w:tcW w:w="3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w:t>
            </w:r>
          </w:p>
        </w:tc>
        <w:tc>
          <w:tcPr>
            <w:tcW w:w="60" w:type="dxa"/>
            <w:vAlign w:val="bottom"/>
          </w:tcPr>
          <w:p>
            <w:pPr>
              <w:spacing w:after="0"/>
              <w:rPr>
                <w:sz w:val="19"/>
                <w:szCs w:val="19"/>
                <w:color w:val="auto"/>
              </w:rPr>
            </w:pPr>
          </w:p>
        </w:tc>
      </w:tr>
      <w:tr>
        <w:trPr>
          <w:trHeight w:val="230"/>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60" w:type="dxa"/>
            <w:vAlign w:val="bottom"/>
          </w:tcPr>
          <w:p>
            <w:pPr>
              <w:spacing w:after="0"/>
              <w:rPr>
                <w:sz w:val="19"/>
                <w:szCs w:val="19"/>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50,180</w:t>
            </w:r>
          </w:p>
        </w:tc>
        <w:tc>
          <w:tcPr>
            <w:tcW w:w="60" w:type="dxa"/>
            <w:vAlign w:val="bottom"/>
          </w:tcPr>
          <w:p>
            <w:pPr>
              <w:spacing w:after="0"/>
              <w:rPr>
                <w:sz w:val="19"/>
                <w:szCs w:val="19"/>
                <w:color w:val="auto"/>
              </w:rPr>
            </w:pPr>
          </w:p>
        </w:tc>
      </w:tr>
      <w:tr>
        <w:trPr>
          <w:trHeight w:val="22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3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w:t>
            </w:r>
          </w:p>
        </w:tc>
        <w:tc>
          <w:tcPr>
            <w:tcW w:w="60" w:type="dxa"/>
            <w:vAlign w:val="bottom"/>
          </w:tcPr>
          <w:p>
            <w:pPr>
              <w:spacing w:after="0"/>
              <w:rPr>
                <w:sz w:val="19"/>
                <w:szCs w:val="19"/>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3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41,453</w:t>
            </w:r>
          </w:p>
        </w:tc>
        <w:tc>
          <w:tcPr>
            <w:tcW w:w="60" w:type="dxa"/>
            <w:vAlign w:val="bottom"/>
          </w:tcPr>
          <w:p>
            <w:pPr>
              <w:spacing w:after="0"/>
              <w:rPr>
                <w:sz w:val="19"/>
                <w:szCs w:val="19"/>
                <w:color w:val="auto"/>
              </w:rPr>
            </w:pPr>
          </w:p>
        </w:tc>
      </w:tr>
      <w:tr>
        <w:trPr>
          <w:trHeight w:val="844"/>
        </w:trPr>
        <w:tc>
          <w:tcPr>
            <w:tcW w:w="4460" w:type="dxa"/>
            <w:vAlign w:val="bottom"/>
          </w:tcPr>
          <w:p>
            <w:pPr>
              <w:spacing w:after="0"/>
              <w:rPr>
                <w:sz w:val="24"/>
                <w:szCs w:val="24"/>
                <w:color w:val="auto"/>
              </w:rPr>
            </w:pPr>
          </w:p>
        </w:tc>
        <w:tc>
          <w:tcPr>
            <w:tcW w:w="3980" w:type="dxa"/>
            <w:vAlign w:val="bottom"/>
          </w:tcPr>
          <w:p>
            <w:pPr>
              <w:jc w:val="right"/>
              <w:ind w:right="26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r>
      <w:tr>
        <w:trPr>
          <w:trHeight w:val="239"/>
        </w:trPr>
        <w:tc>
          <w:tcPr>
            <w:tcW w:w="854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Goodwill and other intangibles</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8,166</w:t>
            </w:r>
          </w:p>
        </w:tc>
      </w:tr>
      <w:tr>
        <w:trPr>
          <w:trHeight w:val="229"/>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32,296</w:t>
            </w:r>
          </w:p>
        </w:tc>
      </w:tr>
      <w:tr>
        <w:trPr>
          <w:trHeight w:val="229"/>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6,666</w:t>
            </w:r>
          </w:p>
        </w:tc>
      </w:tr>
      <w:tr>
        <w:trPr>
          <w:trHeight w:val="230"/>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47,128</w:t>
            </w:r>
          </w:p>
        </w:tc>
      </w:tr>
      <w:tr>
        <w:trPr>
          <w:trHeight w:val="255"/>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state and foreign net operating loss carryforwards with a tax effect of $10.0 million. A valuation allowance of $7.4 million has been established for these net operating loss carryforwards due to the uncertainty of the use of the tax benefits in future periods.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2018, or state and local income tax examinations for years prior to fiscal 2013. The Company is not currently under U.S. federal examination for years subsequent to fiscal year 2017, and there is very limited audit activity of the Company’s income tax returns in U.S. state jurisdictions or international jurisdictions.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considers the earnings of its non-U.S. subsidiaries to be indefinitely invested outside of the United States on the basis of estimates that future domestic cash generation will be sufficient to meet future domestic cash needs and specific plans for reinvestment of those subsidiary earnings. Should the Company decide to repatriate the foreign earnings, it would need to adjust the income tax provision in the period it was determined that the earnings will no longer be indefinitely invested outside the U.S.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were to prevail on all unrecognized tax benefits recorded, $2.2 million, $2.6 million and $3.1 million for fiscal 2021, 2020 and 2019, respectively, would benefit the effective tax rate. Also included in the balance of unrecognized tax benefits for fiscal 2021, 2020 and 2019, are $1.6 million, $1.5 million and $2.0 million, respectively, of tax benefits that, if recognized, would result in adjustments to deferred taxes.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Penalties and interest related to unrecognized tax benefits are recorded in income tax expense. For fiscal 2021, 2020 and 2019, we accrued penalties and interest related to unrecognized tax benefits of $0.3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total amounts of gross unrecognized tax benefits: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1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r>
      <w:tr>
        <w:trPr>
          <w:trHeight w:val="226"/>
        </w:trPr>
        <w:tc>
          <w:tcPr>
            <w:tcW w:w="7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Gross increases in tax positions for prior years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decreases in tax positions for prior years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Gross increases based on tax positions related to the current year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2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Statute of limitations expiration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r>
      <w:tr>
        <w:trPr>
          <w:trHeight w:val="248"/>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at 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27, 2020, the U.S. enacted the Coronavirus Aid, Relief, and Economic Security Act (“CARES Act”) in response to the COVID-19 pandemic. The CARES Act contains numerous income tax provisions, such as relaxing limitations on the deductibility of interest and the ability to carryback net operating losses arising in taxable years from 2018 through 2020. While these provisions did not impact the Company, a provision related to the temporary deferral of the employer share of payroll taxes allowed us to defer remittance of $13.6 million of payroll taxes in calendar 2020, which will be repaid equally in calendar years 2021 and 2022.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Basic earnings per share is computed by dividing net earnings by the weighted average number of common shares outstanding. Diluted earnings per share is computed by dividing net earnings by the weighted average number of common shares outstanding, including the dilutive effects of stock options, SARs and nonvested shares. The following table presents a reconciliation of the share amounts used in the computation of basic and diluted earnings per share: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7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 - weighted average common shares outstanding</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25,955</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26,474</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27,802</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Weighted average effect of nonvested share grants and assumed exercise of stock options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5"/>
              </w:rPr>
              <w:t>Diluted earnings per share - weighted average common shares and potential common shares outstanding</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w w:val="93"/>
              </w:rPr>
              <w:t>Stock awards excluded from the calculation of earnings per share because the award price was greater than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060" w:type="dxa"/>
            <w:vAlign w:val="bottom"/>
            <w:gridSpan w:val="3"/>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8060" w:type="dxa"/>
            <w:vAlign w:val="bottom"/>
            <w:gridSpan w:val="3"/>
          </w:tcPr>
          <w:p>
            <w:pPr>
              <w:ind w:left="180"/>
              <w:spacing w:after="0"/>
              <w:rPr>
                <w:sz w:val="20"/>
                <w:szCs w:val="20"/>
                <w:color w:val="auto"/>
              </w:rPr>
            </w:pPr>
            <w:r>
              <w:rPr>
                <w:rFonts w:ascii="Arial" w:cs="Arial" w:eastAsia="Arial" w:hAnsi="Arial"/>
                <w:sz w:val="18"/>
                <w:szCs w:val="18"/>
                <w:color w:val="auto"/>
              </w:rPr>
              <w:t>the average market price of the common shares</w:t>
            </w: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440" w:type="dxa"/>
            <w:vAlign w:val="bottom"/>
          </w:tcPr>
          <w:p>
            <w:pPr>
              <w:spacing w:after="0"/>
              <w:rPr>
                <w:sz w:val="20"/>
                <w:szCs w:val="20"/>
                <w:color w:val="auto"/>
              </w:rPr>
            </w:pPr>
            <w:r>
              <w:rPr>
                <w:rFonts w:ascii="Arial" w:cs="Arial" w:eastAsia="Arial" w:hAnsi="Arial"/>
                <w:sz w:val="18"/>
                <w:szCs w:val="18"/>
                <w:b w:val="1"/>
                <w:bCs w:val="1"/>
                <w:color w:val="auto"/>
              </w:rPr>
              <w:t>15.</w:t>
            </w:r>
          </w:p>
        </w:tc>
        <w:tc>
          <w:tcPr>
            <w:tcW w:w="7620" w:type="dxa"/>
            <w:vAlign w:val="bottom"/>
            <w:gridSpan w:val="2"/>
          </w:tcPr>
          <w:p>
            <w:pPr>
              <w:ind w:left="220"/>
              <w:spacing w:after="0"/>
              <w:rPr>
                <w:sz w:val="20"/>
                <w:szCs w:val="20"/>
                <w:color w:val="auto"/>
              </w:rPr>
            </w:pPr>
            <w:r>
              <w:rPr>
                <w:rFonts w:ascii="Arial" w:cs="Arial" w:eastAsia="Arial" w:hAnsi="Arial"/>
                <w:sz w:val="18"/>
                <w:szCs w:val="18"/>
                <w:b w:val="1"/>
                <w:bCs w:val="1"/>
                <w:color w:val="auto"/>
              </w:rPr>
              <w:t>Business Segment Data</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four reporting segments:</w:t>
      </w:r>
    </w:p>
    <w:p>
      <w:pPr>
        <w:spacing w:after="0" w:line="23" w:lineRule="exact"/>
        <w:rPr>
          <w:sz w:val="20"/>
          <w:szCs w:val="20"/>
          <w:color w:val="auto"/>
        </w:rPr>
      </w:pPr>
    </w:p>
    <w:p>
      <w:pPr>
        <w:jc w:val="both"/>
        <w:ind w:left="460" w:hanging="331"/>
        <w:spacing w:after="0" w:line="250" w:lineRule="auto"/>
        <w:tabs>
          <w:tab w:leader="none" w:pos="4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Framing Systems</w:t>
      </w:r>
      <w:r>
        <w:rPr>
          <w:rFonts w:ascii="Arial" w:cs="Arial" w:eastAsia="Arial" w:hAnsi="Arial"/>
          <w:sz w:val="18"/>
          <w:szCs w:val="18"/>
          <w:color w:val="auto"/>
        </w:rPr>
        <w:t xml:space="preserve"> segment designs, engineers, fabricates and finishes the aluminum frames used in customized aluminum and glass window, curtainwall, storefront and entrance systems comprising the outside skin and entrances of commercial, institutional and high-end multi-family residential buildings.</w:t>
      </w:r>
    </w:p>
    <w:p>
      <w:pPr>
        <w:spacing w:after="0" w:line="1" w:lineRule="exact"/>
        <w:rPr>
          <w:rFonts w:ascii="Arial" w:cs="Arial" w:eastAsia="Arial" w:hAnsi="Arial"/>
          <w:sz w:val="18"/>
          <w:szCs w:val="18"/>
          <w:color w:val="auto"/>
        </w:rPr>
      </w:pPr>
    </w:p>
    <w:p>
      <w:pPr>
        <w:ind w:left="460" w:right="20" w:hanging="331"/>
        <w:spacing w:after="0" w:line="250" w:lineRule="auto"/>
        <w:tabs>
          <w:tab w:leader="none" w:pos="4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Glass</w:t>
      </w:r>
      <w:r>
        <w:rPr>
          <w:rFonts w:ascii="Arial" w:cs="Arial" w:eastAsia="Arial" w:hAnsi="Arial"/>
          <w:sz w:val="18"/>
          <w:szCs w:val="18"/>
          <w:color w:val="auto"/>
        </w:rPr>
        <w:t xml:space="preserve"> segment fabricates coated, high-performance glass used globally in customized window and wall systems comprising the outside skin of commercial, institutional and high-end multi-family residential buildings.</w:t>
      </w:r>
    </w:p>
    <w:p>
      <w:pPr>
        <w:ind w:left="460" w:right="20" w:hanging="331"/>
        <w:spacing w:after="0" w:line="250" w:lineRule="auto"/>
        <w:tabs>
          <w:tab w:leader="none" w:pos="4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Services</w:t>
      </w:r>
      <w:r>
        <w:rPr>
          <w:rFonts w:ascii="Arial" w:cs="Arial" w:eastAsia="Arial" w:hAnsi="Arial"/>
          <w:sz w:val="18"/>
          <w:szCs w:val="18"/>
          <w:color w:val="auto"/>
        </w:rPr>
        <w:t xml:space="preserve"> segment provides full-service installation of the walls of glass, windows and other curtainwall products making up the outside skin of commercial and institutional buildings.</w:t>
      </w:r>
    </w:p>
    <w:p>
      <w:pPr>
        <w:ind w:left="440" w:hanging="311"/>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Large-Scale Optical Technologies</w:t>
      </w:r>
      <w:r>
        <w:rPr>
          <w:rFonts w:ascii="Arial" w:cs="Arial" w:eastAsia="Arial" w:hAnsi="Arial"/>
          <w:sz w:val="16"/>
          <w:szCs w:val="16"/>
          <w:color w:val="auto"/>
        </w:rPr>
        <w:t xml:space="preserve"> (LSO) segment manufactures value-added glass and acrylic products for framing and display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Architectural Framing Systems</w:t>
            </w:r>
          </w:p>
        </w:tc>
        <w:tc>
          <w:tcPr>
            <w:tcW w:w="3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570,850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686,596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720,829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Architectural Glass</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Architectural Services</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295,807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269,140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286,314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Large-Scale Optical</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w:t>
            </w:r>
          </w:p>
        </w:tc>
        <w:tc>
          <w:tcPr>
            <w:tcW w:w="3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Total</w:t>
            </w:r>
          </w:p>
        </w:tc>
        <w:tc>
          <w:tcPr>
            <w:tcW w:w="3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1,230,774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1,387,439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1,402,637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80" w:type="dxa"/>
            <w:vAlign w:val="bottom"/>
            <w:vMerge w:val="continue"/>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Architectural Framing Systems</w:t>
            </w:r>
          </w:p>
        </w:tc>
        <w:tc>
          <w:tcPr>
            <w:tcW w:w="3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Architectural Glass</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Architectural Services</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Large-Scale Optical</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380"/>
              <w:spacing w:after="0"/>
              <w:rPr>
                <w:sz w:val="20"/>
                <w:szCs w:val="20"/>
                <w:color w:val="auto"/>
              </w:rPr>
            </w:pPr>
            <w:r>
              <w:rPr>
                <w:rFonts w:ascii="Arial" w:cs="Arial" w:eastAsia="Arial" w:hAnsi="Arial"/>
                <w:sz w:val="18"/>
                <w:szCs w:val="18"/>
                <w:color w:val="auto"/>
              </w:rPr>
              <w:t>Total</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87,848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Architectural Framing Systems</w:t>
            </w:r>
          </w:p>
        </w:tc>
        <w:tc>
          <w:tcPr>
            <w:tcW w:w="3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27,298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25,432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28,937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Architectural Glass</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Architectural Services</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Large-Scale Optical</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3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Total</w:t>
            </w:r>
          </w:p>
        </w:tc>
        <w:tc>
          <w:tcPr>
            <w:tcW w:w="3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51,440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46,795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9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226"/>
        </w:trPr>
        <w:tc>
          <w:tcPr>
            <w:tcW w:w="70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2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Architectural Framing Systems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19,098</w:t>
            </w:r>
          </w:p>
        </w:tc>
      </w:tr>
      <w:tr>
        <w:trPr>
          <w:trHeight w:val="229"/>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Architectural Glass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27,722</w:t>
            </w:r>
          </w:p>
        </w:tc>
      </w:tr>
      <w:tr>
        <w:trPr>
          <w:trHeight w:val="23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Architectural Services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r>
      <w:tr>
        <w:trPr>
          <w:trHeight w:val="229"/>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Large-Scale Optical</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6,989</w:t>
            </w:r>
          </w:p>
        </w:tc>
      </w:tr>
      <w:tr>
        <w:trPr>
          <w:trHeight w:val="23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w:t>
            </w:r>
          </w:p>
        </w:tc>
      </w:tr>
      <w:tr>
        <w:trPr>
          <w:trHeight w:val="223"/>
        </w:trPr>
        <w:tc>
          <w:tcPr>
            <w:tcW w:w="71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60,717</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71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Identifiable Assets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Architectural Framing Systems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511,608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604,870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617,001</w:t>
            </w:r>
          </w:p>
        </w:tc>
      </w:tr>
      <w:tr>
        <w:trPr>
          <w:trHeight w:val="23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Architectural Glass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281,817</w:t>
            </w:r>
          </w:p>
        </w:tc>
      </w:tr>
      <w:tr>
        <w:trPr>
          <w:trHeight w:val="229"/>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Architectural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79,465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107,538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59,227</w:t>
            </w:r>
          </w:p>
        </w:tc>
      </w:tr>
      <w:tr>
        <w:trPr>
          <w:trHeight w:val="22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Large-Scale Optical</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61,031</w:t>
            </w:r>
          </w:p>
        </w:tc>
      </w:tr>
      <w:tr>
        <w:trPr>
          <w:trHeight w:val="230"/>
        </w:trPr>
        <w:tc>
          <w:tcPr>
            <w:tcW w:w="7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49,092</w:t>
            </w:r>
          </w:p>
        </w:tc>
      </w:tr>
      <w:tr>
        <w:trPr>
          <w:trHeight w:val="248"/>
        </w:trPr>
        <w:tc>
          <w:tcPr>
            <w:tcW w:w="7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1,015,099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1,128,991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1,068,168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varying combinations and integration of individual window, storefront and curtainwall systems, the Company has determined that it is impractical to report product revenues generated by class of product beyond the segment revenues currently reported.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is equal to net sales less cost of sales and operating expenses. Operating income does not include interest expense or a provision for income taxes. Corporate and other includes miscellaneous corporate activity, including certain legal, consulting and advisory costs not allocable to our segments. Corporate and other also includes $16.7 million in fiscal 2020 and $40.9 million in fiscal 2019, of project-related charges on acquired contracts, as well as $15.0 million of insurance proceeds related to a project matter in fiscal 2020. Identifiable assets for Corporate and other include all short- and long-term available-for-sale securities.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net sales, based on the location in which the sale originated, and long-lived assets, representing property, plant and equipment, net of related depreciation, by geographic region.</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1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7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1,115,872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1,254,311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1,259,319</w:t>
            </w:r>
          </w:p>
        </w:tc>
        <w:tc>
          <w:tcPr>
            <w:tcW w:w="0" w:type="dxa"/>
            <w:vAlign w:val="bottom"/>
          </w:tcPr>
          <w:p>
            <w:pPr>
              <w:spacing w:after="0"/>
              <w:rPr>
                <w:sz w:val="1"/>
                <w:szCs w:val="1"/>
                <w:color w:val="auto"/>
              </w:rPr>
            </w:pPr>
          </w:p>
        </w:tc>
      </w:tr>
      <w:tr>
        <w:trPr>
          <w:trHeight w:val="23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128,735</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Brazil</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14,583</w:t>
            </w:r>
          </w:p>
        </w:tc>
        <w:tc>
          <w:tcPr>
            <w:tcW w:w="0" w:type="dxa"/>
            <w:vAlign w:val="bottom"/>
          </w:tcPr>
          <w:p>
            <w:pPr>
              <w:spacing w:after="0"/>
              <w:rPr>
                <w:sz w:val="1"/>
                <w:szCs w:val="1"/>
                <w:color w:val="auto"/>
              </w:rPr>
            </w:pPr>
          </w:p>
        </w:tc>
      </w:tr>
      <w:tr>
        <w:trPr>
          <w:trHeight w:val="221"/>
        </w:trPr>
        <w:tc>
          <w:tcPr>
            <w:tcW w:w="714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1,230,774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1,387,439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1,402,637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Long-Lived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297,072</w:t>
            </w:r>
          </w:p>
        </w:tc>
        <w:tc>
          <w:tcPr>
            <w:tcW w:w="0" w:type="dxa"/>
            <w:vAlign w:val="bottom"/>
          </w:tcPr>
          <w:p>
            <w:pPr>
              <w:spacing w:after="0"/>
              <w:rPr>
                <w:sz w:val="1"/>
                <w:szCs w:val="1"/>
                <w:color w:val="auto"/>
              </w:rPr>
            </w:pP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r>
        <w:trPr>
          <w:trHeight w:val="23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23"/>
        </w:trPr>
        <w:tc>
          <w:tcPr>
            <w:tcW w:w="714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315,823</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Apogee's export net sales from U.S. operations were $33.1 million, $54.7 million, and $56.3 million in fiscal 2021, 2020, and 2019, respectively, representing approximately 3 percent of consolidated net sales in each of these fiscal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xml:space="preserve">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Management's Annual Report on Internal Control Over Financial Reporting.</w:t>
      </w:r>
      <w:r>
        <w:rPr>
          <w:rFonts w:ascii="Arial" w:cs="Arial" w:eastAsia="Arial" w:hAnsi="Arial"/>
          <w:sz w:val="17"/>
          <w:szCs w:val="17"/>
          <w:color w:val="auto"/>
        </w:rPr>
        <w:t xml:space="preserve"> The report of management required under this Item 9A is contained on page 27 in Item 8 of this Annual Report on Form 10-K under the caption “Management's Annual Report on Internal Control Over Financial Reporting.”</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Attestation Report of Independent Registered Public Accounting Firm.</w:t>
      </w:r>
      <w:r>
        <w:rPr>
          <w:rFonts w:ascii="Arial" w:cs="Arial" w:eastAsia="Arial" w:hAnsi="Arial"/>
          <w:sz w:val="18"/>
          <w:szCs w:val="18"/>
          <w:color w:val="auto"/>
        </w:rPr>
        <w:t xml:space="preserve"> The attestation report required under this Item 9A is contained on page 28 in Item 8 of this Annual Report on Form 10-K under the caption “Report of Independent Registered Public Accounting Firm.”</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xml:space="preserve"> There have not been any changes in our internal control over financial reporting (as such term is defined in Rules 13a-15(f) and 15d-15(f) under the Exchange Act) during the most recent fiscal quarter covered by this report that would have materially affected, or are reasonably likely to materially affect, the Company's internal control over financial reporting.</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CODE OF ETHICS AND CORPORATE GOVERNANCE</w:t>
      </w:r>
    </w:p>
    <w:p>
      <w:pPr>
        <w:spacing w:after="0" w:line="25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adopted a Code of Business Ethics and Conduct that applies to all of our employees, including our principal executive officer, president, principal financial officer and principal accounting officer, and Board of Directors. The Code of Business Ethics and Conduct is published on the “Investors-Governance” section of our website at www.apog.com. Any amendments to the Code of Business Ethics and Conduct and waivers of the Code of Business Ethics and Conduct for our Chief Executive Officer and Chief Financial Officer will be published on our website.</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other information required by this item, other than the information set forth in Part I above under the heading “Information About Our Executive Officers,” is set forth under the headings “Proposal 1: Election of Directors,” “Frequently Asked Questions - How Can I Recommend or Nominate a Director Candidate?”, “Corporate Governance - Board Meetings and 2020 Annual Meeting of Shareholders,” and “Corporate Governance - Board Committee Responsibilities, Meetings and Membership” in the Proxy Statement for the Company's Annual Meeting of Shareholders to be held on June 23, 2021, which will be filed with the Securities and Exchange Commission within 120 days after our fiscal year-end (our 2021 Proxy Statement). This information is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AND DIRECTOR COMPENSATION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set forth under the headings “Executive Compensation” and “Non-Employee Director Compensation" in our 2021 Proxy Statement. This information is incorporated herein by reference.</w:t>
      </w:r>
    </w:p>
    <w:p>
      <w:pPr>
        <w:spacing w:after="0" w:line="19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by this item is set forth under the headings “Equity Compensation Plan Information”, “Security Ownership of Certain Beneficial Owners” and “Security Ownership of Directors and Management” in our 2021 Proxy Statement. This information is incorporated herein by reference.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set forth under the headings “Corporate Governance - Director Independence” and "Corporate Governance - Certain Relationships and Related Transactions" in our 2021 Proxy Statement. This information is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set forth under the headings “Audit Committee Report" and "Fees Paid to Independent Registered Public Accounting Firm - Audit Fees, Audit-Related Fees, Tax Fees and All Other Fees” and “Policy on Audit Committee Pre-Approval of Audit and Permissible Non-Audit Services” in our 2021 Proxy Statement. This information is incorporated herein by reference.</w:t>
      </w: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List of documents filed as a part of this report:</w:t>
      </w:r>
    </w:p>
    <w:p>
      <w:pPr>
        <w:spacing w:after="0" w:line="252" w:lineRule="exact"/>
        <w:rPr>
          <w:sz w:val="20"/>
          <w:szCs w:val="20"/>
          <w:color w:val="auto"/>
        </w:rPr>
      </w:pPr>
    </w:p>
    <w:p>
      <w:pPr>
        <w:ind w:left="340" w:right="2300" w:hanging="332"/>
        <w:spacing w:after="0" w:line="53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Statements - The consolidated financial statements listed below are set forth in Item 8 of Part II of this report. Consolidated Balance Sheets as of February 27, 2021 and February 29, 2020</w:t>
      </w:r>
    </w:p>
    <w:p>
      <w:pPr>
        <w:ind w:left="340"/>
        <w:spacing w:after="0"/>
        <w:rPr>
          <w:rFonts w:ascii="Arial" w:cs="Arial" w:eastAsia="Arial" w:hAnsi="Arial"/>
          <w:sz w:val="18"/>
          <w:szCs w:val="18"/>
          <w:color w:val="auto"/>
        </w:rPr>
      </w:pPr>
      <w:r>
        <w:rPr>
          <w:rFonts w:ascii="Arial" w:cs="Arial" w:eastAsia="Arial" w:hAnsi="Arial"/>
          <w:sz w:val="18"/>
          <w:szCs w:val="18"/>
          <w:color w:val="auto"/>
        </w:rPr>
        <w:t>Consolidated Results of Operations for the Years Ended February 27, 2021, February 29, 2020 and March 2, 2019</w:t>
      </w:r>
    </w:p>
    <w:p>
      <w:pPr>
        <w:spacing w:after="0" w:line="252" w:lineRule="exact"/>
        <w:rPr>
          <w:rFonts w:ascii="Arial" w:cs="Arial" w:eastAsia="Arial" w:hAnsi="Arial"/>
          <w:sz w:val="18"/>
          <w:szCs w:val="18"/>
          <w:color w:val="auto"/>
        </w:rPr>
      </w:pPr>
    </w:p>
    <w:p>
      <w:pPr>
        <w:ind w:left="340" w:right="1420"/>
        <w:spacing w:after="0" w:line="524" w:lineRule="auto"/>
        <w:rPr>
          <w:rFonts w:ascii="Arial" w:cs="Arial" w:eastAsia="Arial" w:hAnsi="Arial"/>
          <w:sz w:val="18"/>
          <w:szCs w:val="18"/>
          <w:color w:val="auto"/>
        </w:rPr>
      </w:pPr>
      <w:r>
        <w:rPr>
          <w:rFonts w:ascii="Arial" w:cs="Arial" w:eastAsia="Arial" w:hAnsi="Arial"/>
          <w:sz w:val="18"/>
          <w:szCs w:val="18"/>
          <w:color w:val="auto"/>
        </w:rPr>
        <w:t>Consolidated Statements of Comprehensive Earnings for the Years Ended February 27, 2021, February 29, 2020 and March 2, 2019 Consolidated Statements of Cash Flows for the Years Ended February 27, 2021, February 29, 2020 and March 2, 2019 Consolidated Statements of Shareholders' Equity for the Years Ended February 27, 2021, February 29, 2020 and March 2, 2019 Notes to Consolidated Financial Statements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 Schedules - Valuation and Qualifying Accounts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Balance at</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9"/>
              </w:rPr>
              <w:t>Charged to Costs</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Deductions from</w:t>
            </w: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Balance at End of</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420" w:type="dxa"/>
            <w:vAlign w:val="bottom"/>
            <w:gridSpan w:val="3"/>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Other Changes</w:t>
            </w:r>
            <w:r>
              <w:rPr>
                <w:rFonts w:ascii="Arial" w:cs="Arial" w:eastAsia="Arial" w:hAnsi="Arial"/>
                <w:sz w:val="21"/>
                <w:szCs w:val="21"/>
                <w:b w:val="1"/>
                <w:bCs w:val="1"/>
                <w:color w:val="auto"/>
                <w:vertAlign w:val="superscript"/>
              </w:rPr>
              <w:t>(2)</w:t>
            </w: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Period</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and Expenses</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line="216" w:lineRule="exact"/>
              <w:rPr>
                <w:sz w:val="20"/>
                <w:szCs w:val="20"/>
                <w:color w:val="auto"/>
              </w:rPr>
            </w:pPr>
            <w:r>
              <w:rPr>
                <w:rFonts w:ascii="Arial" w:cs="Arial" w:eastAsia="Arial" w:hAnsi="Arial"/>
                <w:sz w:val="16"/>
                <w:szCs w:val="16"/>
                <w:b w:val="1"/>
                <w:bCs w:val="1"/>
                <w:color w:val="auto"/>
                <w:w w:val="83"/>
              </w:rPr>
              <w:t>Reserves</w:t>
            </w:r>
            <w:r>
              <w:rPr>
                <w:rFonts w:ascii="Arial" w:cs="Arial" w:eastAsia="Arial" w:hAnsi="Arial"/>
                <w:sz w:val="21"/>
                <w:szCs w:val="21"/>
                <w:b w:val="1"/>
                <w:bCs w:val="1"/>
                <w:color w:val="auto"/>
                <w:w w:val="83"/>
                <w:vertAlign w:val="superscript"/>
              </w:rPr>
              <w:t>(1)</w:t>
            </w:r>
          </w:p>
        </w:tc>
        <w:tc>
          <w:tcPr>
            <w:tcW w:w="142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12"/>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Allowances for credit losses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For the year ended February 27,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540" w:type="dxa"/>
            <w:vAlign w:val="bottom"/>
          </w:tcPr>
          <w:p>
            <w:pPr>
              <w:jc w:val="right"/>
              <w:ind w:right="355"/>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February 29, 2020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For the year ended March 2, 2019</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540" w:hanging="208"/>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Net of recoveries</w:t>
      </w:r>
    </w:p>
    <w:p>
      <w:pPr>
        <w:spacing w:after="0" w:line="13" w:lineRule="exact"/>
        <w:rPr>
          <w:rFonts w:ascii="Arial" w:cs="Arial" w:eastAsia="Arial" w:hAnsi="Arial"/>
          <w:sz w:val="14"/>
          <w:szCs w:val="14"/>
          <w:color w:val="auto"/>
        </w:rPr>
      </w:pPr>
    </w:p>
    <w:p>
      <w:pPr>
        <w:ind w:left="540" w:hanging="208"/>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Result of foreign currency effects</w:t>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197" w:lineRule="exact"/>
        <w:rPr>
          <w:sz w:val="20"/>
          <w:szCs w:val="20"/>
          <w:color w:val="auto"/>
        </w:rPr>
      </w:pPr>
    </w:p>
    <w:p>
      <w:pPr>
        <w:jc w:val="both"/>
        <w:ind w:left="340" w:right="2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 - Exhibits marked with an asterisk (*) identify each management contract or compensatory plan or arrangement. Exhibits marked with a pound sign (#) are filed herewith. The remainder of the exhibits have heretofore been filed with the Securities and Exchange Commission and are incorporated herein by reference.</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980" w:type="dxa"/>
            <w:vAlign w:val="bottom"/>
            <w:tcBorders>
              <w:right w:val="single" w:sz="8" w:color="CCEEFF"/>
            </w:tcBorders>
            <w:gridSpan w:val="2"/>
            <w:shd w:val="clear" w:color="auto" w:fill="CCEEFF"/>
          </w:tcPr>
          <w:p>
            <w:pPr>
              <w:jc w:val="right"/>
              <w:ind w:right="740"/>
              <w:spacing w:after="0"/>
              <w:rPr>
                <w:rFonts w:ascii="Arial" w:cs="Arial" w:eastAsia="Arial" w:hAnsi="Arial"/>
                <w:sz w:val="18"/>
                <w:szCs w:val="18"/>
                <w:color w:val="0000FF"/>
                <w:w w:val="87"/>
              </w:rPr>
            </w:pPr>
            <w:hyperlink r:id="rId8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0220" w:type="dxa"/>
            <w:vAlign w:val="bottom"/>
            <w:gridSpan w:val="5"/>
            <w:shd w:val="clear" w:color="auto" w:fill="CCEEFF"/>
          </w:tcPr>
          <w:p>
            <w:pPr>
              <w:spacing w:after="0"/>
              <w:rPr>
                <w:rFonts w:ascii="Arial" w:cs="Arial" w:eastAsia="Arial" w:hAnsi="Arial"/>
                <w:sz w:val="18"/>
                <w:szCs w:val="18"/>
                <w:color w:val="0000FF"/>
                <w:w w:val="92"/>
              </w:rPr>
            </w:pPr>
            <w:hyperlink r:id="rId81">
              <w:r>
                <w:rPr>
                  <w:rFonts w:ascii="Arial" w:cs="Arial" w:eastAsia="Arial" w:hAnsi="Arial"/>
                  <w:sz w:val="18"/>
                  <w:szCs w:val="18"/>
                  <w:color w:val="0000FF"/>
                  <w:w w:val="92"/>
                </w:rPr>
                <w:t>Restated Articles of Incorporation. Incorporated by reference to Exhibit 3.1 to Registrant's Annual Report on Form 10-K for the year-ended</w:t>
              </w:r>
            </w:hyperlink>
          </w:p>
        </w:tc>
      </w:tr>
      <w:tr>
        <w:trPr>
          <w:trHeight w:val="156"/>
        </w:trPr>
        <w:tc>
          <w:tcPr>
            <w:tcW w:w="240" w:type="dxa"/>
            <w:vAlign w:val="bottom"/>
            <w:tcBorders>
              <w:top w:val="single" w:sz="8" w:color="0000FF"/>
              <w:bottom w:val="single" w:sz="8" w:color="CCEEFF"/>
            </w:tcBorders>
            <w:shd w:val="clear" w:color="auto" w:fill="CCEEFF"/>
          </w:tcPr>
          <w:p>
            <w:pPr>
              <w:spacing w:after="0"/>
              <w:rPr>
                <w:sz w:val="13"/>
                <w:szCs w:val="13"/>
                <w:color w:val="auto"/>
              </w:rPr>
            </w:pPr>
          </w:p>
        </w:tc>
        <w:tc>
          <w:tcPr>
            <w:tcW w:w="7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1360" w:type="dxa"/>
            <w:vAlign w:val="bottom"/>
            <w:tcBorders>
              <w:top w:val="single" w:sz="8" w:color="0000FF"/>
              <w:bottom w:val="single" w:sz="8" w:color="0000FF"/>
            </w:tcBorders>
            <w:shd w:val="clear" w:color="auto" w:fill="CCEEFF"/>
          </w:tcPr>
          <w:p>
            <w:pPr>
              <w:spacing w:after="0" w:line="136" w:lineRule="exact"/>
              <w:rPr>
                <w:rFonts w:ascii="Arial" w:cs="Arial" w:eastAsia="Arial" w:hAnsi="Arial"/>
                <w:sz w:val="15"/>
                <w:szCs w:val="15"/>
                <w:color w:val="0000FF"/>
              </w:rPr>
            </w:pPr>
            <w:hyperlink r:id="rId81">
              <w:r>
                <w:rPr>
                  <w:rFonts w:ascii="Arial" w:cs="Arial" w:eastAsia="Arial" w:hAnsi="Arial"/>
                  <w:sz w:val="15"/>
                  <w:szCs w:val="15"/>
                  <w:color w:val="0000FF"/>
                </w:rPr>
                <w:t>February 28, 2004.</w:t>
              </w:r>
            </w:hyperlink>
          </w:p>
        </w:tc>
        <w:tc>
          <w:tcPr>
            <w:tcW w:w="884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9"/>
        </w:trPr>
        <w:tc>
          <w:tcPr>
            <w:tcW w:w="980" w:type="dxa"/>
            <w:vAlign w:val="bottom"/>
            <w:gridSpan w:val="2"/>
          </w:tcPr>
          <w:p>
            <w:pPr>
              <w:jc w:val="right"/>
              <w:ind w:right="740"/>
              <w:spacing w:after="0" w:line="189" w:lineRule="exact"/>
              <w:rPr>
                <w:rFonts w:ascii="Arial" w:cs="Arial" w:eastAsia="Arial" w:hAnsi="Arial"/>
                <w:sz w:val="18"/>
                <w:szCs w:val="18"/>
                <w:color w:val="0000FF"/>
                <w:w w:val="87"/>
              </w:rPr>
            </w:pPr>
            <w:hyperlink r:id="rId8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0220" w:type="dxa"/>
            <w:vAlign w:val="bottom"/>
            <w:gridSpan w:val="5"/>
          </w:tcPr>
          <w:p>
            <w:pPr>
              <w:spacing w:after="0" w:line="189" w:lineRule="exact"/>
              <w:rPr>
                <w:rFonts w:ascii="Arial" w:cs="Arial" w:eastAsia="Arial" w:hAnsi="Arial"/>
                <w:sz w:val="18"/>
                <w:szCs w:val="18"/>
                <w:color w:val="0000FF"/>
                <w:w w:val="95"/>
              </w:rPr>
            </w:pPr>
            <w:hyperlink r:id="rId82">
              <w:r>
                <w:rPr>
                  <w:rFonts w:ascii="Arial" w:cs="Arial" w:eastAsia="Arial" w:hAnsi="Arial"/>
                  <w:sz w:val="18"/>
                  <w:szCs w:val="18"/>
                  <w:color w:val="0000FF"/>
                  <w:w w:val="95"/>
                </w:rPr>
                <w:t>Articles of Amendment to Restated Articles of Incorporation. Incorporated by reference to Exhibit 3.1 to Registrant's Current Report on</w:t>
              </w:r>
            </w:hyperlink>
          </w:p>
        </w:tc>
      </w:tr>
      <w:tr>
        <w:trPr>
          <w:trHeight w:val="155"/>
        </w:trPr>
        <w:tc>
          <w:tcPr>
            <w:tcW w:w="24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1018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Form 8-K filed on January 16, 2020.</w:t>
              </w:r>
            </w:hyperlink>
          </w:p>
        </w:tc>
        <w:tc>
          <w:tcPr>
            <w:tcW w:w="40" w:type="dxa"/>
            <w:vAlign w:val="bottom"/>
            <w:gridSpan w:val="2"/>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20" w:type="dxa"/>
            <w:vAlign w:val="bottom"/>
            <w:gridSpan w:val="2"/>
            <w:shd w:val="clear" w:color="auto" w:fill="CCEEFF"/>
          </w:tcPr>
          <w:p>
            <w:pPr>
              <w:spacing w:after="0"/>
              <w:rPr>
                <w:rFonts w:ascii="Arial" w:cs="Arial" w:eastAsia="Arial" w:hAnsi="Arial"/>
                <w:sz w:val="18"/>
                <w:szCs w:val="18"/>
                <w:color w:val="0000FF"/>
              </w:rPr>
            </w:pPr>
            <w:hyperlink r:id="rId84">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700" w:type="dxa"/>
            <w:vAlign w:val="bottom"/>
            <w:tcBorders>
              <w:right w:val="single" w:sz="8" w:color="CCEEFF"/>
            </w:tcBorders>
            <w:gridSpan w:val="53"/>
            <w:shd w:val="clear" w:color="auto" w:fill="CCEEFF"/>
          </w:tcPr>
          <w:p>
            <w:pPr>
              <w:spacing w:after="0"/>
              <w:rPr>
                <w:rFonts w:ascii="Arial" w:cs="Arial" w:eastAsia="Arial" w:hAnsi="Arial"/>
                <w:sz w:val="18"/>
                <w:szCs w:val="18"/>
                <w:color w:val="0000FF"/>
                <w:w w:val="96"/>
              </w:rPr>
            </w:pPr>
            <w:hyperlink r:id="rId84">
              <w:r>
                <w:rPr>
                  <w:rFonts w:ascii="Arial" w:cs="Arial" w:eastAsia="Arial" w:hAnsi="Arial"/>
                  <w:sz w:val="18"/>
                  <w:szCs w:val="18"/>
                  <w:color w:val="0000FF"/>
                  <w:w w:val="96"/>
                </w:rPr>
                <w:t>Amended and Restated Bylaws of Apogee Enterprises, Inc. Incorporated by reference to Exhibit 3.1 to Registrant's Current Report on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40" w:type="dxa"/>
            <w:vAlign w:val="bottom"/>
            <w:tcBorders>
              <w:top w:val="single" w:sz="8" w:color="0000FF"/>
              <w:bottom w:val="single" w:sz="8" w:color="0000FF"/>
            </w:tcBorders>
            <w:gridSpan w:val="5"/>
            <w:shd w:val="clear" w:color="auto" w:fill="CCEEFF"/>
          </w:tcPr>
          <w:p>
            <w:pPr>
              <w:spacing w:after="0" w:line="15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8-K filed on July 3, 2018.</w:t>
              </w:r>
            </w:hyperlink>
          </w:p>
        </w:tc>
        <w:tc>
          <w:tcPr>
            <w:tcW w:w="8400" w:type="dxa"/>
            <w:vAlign w:val="bottom"/>
            <w:tcBorders>
              <w:top w:val="single" w:sz="8" w:color="0000FF"/>
              <w:bottom w:val="single" w:sz="8" w:color="CCEEFF"/>
            </w:tcBorders>
            <w:gridSpan w:val="26"/>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20" w:type="dxa"/>
            <w:vAlign w:val="bottom"/>
            <w:gridSpan w:val="2"/>
          </w:tcPr>
          <w:p>
            <w:pPr>
              <w:spacing w:after="0" w:line="189" w:lineRule="exact"/>
              <w:rPr>
                <w:rFonts w:ascii="Arial" w:cs="Arial" w:eastAsia="Arial" w:hAnsi="Arial"/>
                <w:sz w:val="18"/>
                <w:szCs w:val="18"/>
                <w:color w:val="0000FF"/>
              </w:rPr>
            </w:pPr>
            <w:hyperlink r:id="rId85">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700" w:type="dxa"/>
            <w:vAlign w:val="bottom"/>
            <w:gridSpan w:val="53"/>
          </w:tcPr>
          <w:p>
            <w:pPr>
              <w:spacing w:after="0" w:line="189" w:lineRule="exact"/>
              <w:rPr>
                <w:rFonts w:ascii="Arial" w:cs="Arial" w:eastAsia="Arial" w:hAnsi="Arial"/>
                <w:sz w:val="18"/>
                <w:szCs w:val="18"/>
                <w:color w:val="0000FF"/>
                <w:w w:val="95"/>
              </w:rPr>
            </w:pPr>
            <w:hyperlink r:id="rId85">
              <w:r>
                <w:rPr>
                  <w:rFonts w:ascii="Arial" w:cs="Arial" w:eastAsia="Arial" w:hAnsi="Arial"/>
                  <w:sz w:val="18"/>
                  <w:szCs w:val="18"/>
                  <w:color w:val="0000FF"/>
                  <w:w w:val="95"/>
                </w:rPr>
                <w:t>Specimen certificate for shares of common stock of Apogee Enterprises, Inc. Incorporated by reference to Exhibit 4.1 to Registrant's Annual</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0" w:type="dxa"/>
            <w:vAlign w:val="bottom"/>
            <w:tcBorders>
              <w:top w:val="single" w:sz="8" w:color="0000FF"/>
            </w:tcBorders>
            <w:gridSpan w:val="49"/>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Report on Form 10-K for the year ended March 3,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040" w:type="dxa"/>
            <w:vAlign w:val="bottom"/>
            <w:tcBorders>
              <w:top w:val="single" w:sz="8" w:color="0000FF"/>
            </w:tcBorders>
            <w:gridSpan w:val="10"/>
          </w:tcPr>
          <w:p>
            <w:pPr>
              <w:spacing w:after="0" w:line="20" w:lineRule="exact"/>
              <w:rPr>
                <w:sz w:val="1"/>
                <w:szCs w:val="1"/>
                <w:color w:val="auto"/>
              </w:rPr>
            </w:pPr>
          </w:p>
        </w:tc>
        <w:tc>
          <w:tcPr>
            <w:tcW w:w="6660" w:type="dxa"/>
            <w:vAlign w:val="bottom"/>
            <w:gridSpan w:val="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vMerge w:val="continue"/>
          </w:tcPr>
          <w:p>
            <w:pPr>
              <w:spacing w:after="0"/>
              <w:rPr>
                <w:sz w:val="17"/>
                <w:szCs w:val="17"/>
                <w:color w:val="auto"/>
              </w:rPr>
            </w:pPr>
          </w:p>
        </w:tc>
        <w:tc>
          <w:tcPr>
            <w:tcW w:w="420" w:type="dxa"/>
            <w:vAlign w:val="bottom"/>
            <w:gridSpan w:val="2"/>
            <w:shd w:val="clear" w:color="auto" w:fill="CCEEFF"/>
          </w:tcPr>
          <w:p>
            <w:pPr>
              <w:spacing w:after="0" w:line="169" w:lineRule="exact"/>
              <w:rPr>
                <w:rFonts w:ascii="Arial" w:cs="Arial" w:eastAsia="Arial" w:hAnsi="Arial"/>
                <w:sz w:val="18"/>
                <w:szCs w:val="18"/>
                <w:color w:val="0000FF"/>
              </w:rPr>
            </w:pPr>
            <w:hyperlink r:id="rId86">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700" w:type="dxa"/>
            <w:vAlign w:val="bottom"/>
            <w:tcBorders>
              <w:right w:val="single" w:sz="8" w:color="CCEEFF"/>
            </w:tcBorders>
            <w:gridSpan w:val="53"/>
            <w:shd w:val="clear" w:color="auto" w:fill="CCEEFF"/>
          </w:tcPr>
          <w:p>
            <w:pPr>
              <w:spacing w:after="0" w:line="169" w:lineRule="exact"/>
              <w:rPr>
                <w:rFonts w:ascii="Arial" w:cs="Arial" w:eastAsia="Arial" w:hAnsi="Arial"/>
                <w:sz w:val="18"/>
                <w:szCs w:val="18"/>
                <w:color w:val="0000FF"/>
                <w:w w:val="96"/>
              </w:rPr>
            </w:pPr>
            <w:hyperlink r:id="rId86">
              <w:r>
                <w:rPr>
                  <w:rFonts w:ascii="Arial" w:cs="Arial" w:eastAsia="Arial" w:hAnsi="Arial"/>
                  <w:sz w:val="18"/>
                  <w:szCs w:val="18"/>
                  <w:color w:val="0000FF"/>
                  <w:w w:val="96"/>
                </w:rPr>
                <w:t>Description of Securities</w:t>
              </w:r>
            </w:hyperlink>
            <w:r>
              <w:rPr>
                <w:rFonts w:ascii="Arial" w:cs="Arial" w:eastAsia="Arial" w:hAnsi="Arial"/>
                <w:sz w:val="18"/>
                <w:szCs w:val="18"/>
                <w:color w:val="000000"/>
                <w:w w:val="96"/>
              </w:rPr>
              <w:t>.</w:t>
            </w:r>
            <w:r>
              <w:rPr>
                <w:rFonts w:ascii="Arial" w:cs="Arial" w:eastAsia="Arial" w:hAnsi="Arial"/>
                <w:sz w:val="18"/>
                <w:szCs w:val="18"/>
                <w:color w:val="0000FF"/>
                <w:w w:val="96"/>
              </w:rPr>
              <w:t xml:space="preserve"> Incorporated by reference to Exhibit 4.2 to Registrant's Annual Report on Form 10-K for the year ended February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40" w:type="dxa"/>
            <w:vAlign w:val="bottom"/>
            <w:tcBorders>
              <w:top w:val="single" w:sz="8" w:color="0000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gridSpan w:val="4"/>
            <w:shd w:val="clear" w:color="auto" w:fill="CCEEFF"/>
          </w:tcPr>
          <w:p>
            <w:pPr>
              <w:spacing w:after="0"/>
              <w:rPr>
                <w:sz w:val="19"/>
                <w:szCs w:val="19"/>
                <w:color w:val="auto"/>
              </w:rPr>
            </w:pPr>
          </w:p>
        </w:tc>
        <w:tc>
          <w:tcPr>
            <w:tcW w:w="660" w:type="dxa"/>
            <w:vAlign w:val="bottom"/>
            <w:tcBorders>
              <w:top w:val="single" w:sz="8" w:color="0000FF"/>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5"/>
              </w:rPr>
              <w:t>29, 2020.</w:t>
            </w:r>
          </w:p>
        </w:tc>
        <w:tc>
          <w:tcPr>
            <w:tcW w:w="1120" w:type="dxa"/>
            <w:vAlign w:val="bottom"/>
            <w:tcBorders>
              <w:top w:val="single" w:sz="8" w:color="0000FF"/>
              <w:bottom w:val="single" w:sz="8" w:color="CCEEFF"/>
            </w:tcBorders>
            <w:gridSpan w:val="2"/>
            <w:shd w:val="clear" w:color="auto" w:fill="CCEEFF"/>
          </w:tcPr>
          <w:p>
            <w:pPr>
              <w:spacing w:after="0"/>
              <w:rPr>
                <w:sz w:val="19"/>
                <w:szCs w:val="19"/>
                <w:color w:val="auto"/>
              </w:rPr>
            </w:pPr>
          </w:p>
        </w:tc>
        <w:tc>
          <w:tcPr>
            <w:tcW w:w="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380" w:type="dxa"/>
            <w:vAlign w:val="bottom"/>
            <w:tcBorders>
              <w:top w:val="single" w:sz="8" w:color="0000FF"/>
              <w:bottom w:val="single" w:sz="8" w:color="CCEEFF"/>
            </w:tcBorders>
            <w:gridSpan w:val="25"/>
            <w:shd w:val="clear" w:color="auto" w:fill="CCEEFF"/>
          </w:tcPr>
          <w:p>
            <w:pPr>
              <w:spacing w:after="0"/>
              <w:rPr>
                <w:sz w:val="19"/>
                <w:szCs w:val="19"/>
                <w:color w:val="auto"/>
              </w:rPr>
            </w:pPr>
          </w:p>
        </w:tc>
        <w:tc>
          <w:tcPr>
            <w:tcW w:w="440" w:type="dxa"/>
            <w:vAlign w:val="bottom"/>
            <w:tcBorders>
              <w:top w:val="single" w:sz="8" w:color="CCEEFF"/>
              <w:bottom w:val="single" w:sz="8" w:color="CCEEFF"/>
              <w:right w:val="single" w:sz="8" w:color="CCEEFF"/>
            </w:tcBorders>
            <w:gridSpan w:val="21"/>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8"/>
                <w:szCs w:val="18"/>
                <w:color w:val="0000FF"/>
              </w:rPr>
            </w:pPr>
            <w:hyperlink r:id="rId87">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60" w:type="dxa"/>
            <w:vAlign w:val="bottom"/>
          </w:tcPr>
          <w:p>
            <w:pPr>
              <w:spacing w:after="0"/>
              <w:rPr>
                <w:sz w:val="16"/>
                <w:szCs w:val="16"/>
                <w:color w:val="auto"/>
              </w:rPr>
            </w:pPr>
          </w:p>
        </w:tc>
        <w:tc>
          <w:tcPr>
            <w:tcW w:w="10700" w:type="dxa"/>
            <w:vAlign w:val="bottom"/>
            <w:gridSpan w:val="53"/>
          </w:tcPr>
          <w:p>
            <w:pPr>
              <w:spacing w:after="0" w:line="189" w:lineRule="exact"/>
              <w:rPr>
                <w:rFonts w:ascii="Arial" w:cs="Arial" w:eastAsia="Arial" w:hAnsi="Arial"/>
                <w:sz w:val="18"/>
                <w:szCs w:val="18"/>
                <w:color w:val="0000FF"/>
                <w:w w:val="97"/>
              </w:rPr>
            </w:pPr>
            <w:hyperlink r:id="rId87">
              <w:r>
                <w:rPr>
                  <w:rFonts w:ascii="Arial" w:cs="Arial" w:eastAsia="Arial" w:hAnsi="Arial"/>
                  <w:sz w:val="18"/>
                  <w:szCs w:val="18"/>
                  <w:color w:val="0000FF"/>
                  <w:w w:val="97"/>
                </w:rPr>
                <w:t>Apogee Enterprises, Inc. Officers' Supplemental Executive Retirement Plan (2005 Restatement), First Amendment of Apogee Enterprises,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40" w:type="dxa"/>
            <w:vAlign w:val="bottom"/>
            <w:tcBorders>
              <w:top w:val="single" w:sz="8" w:color="0000FF"/>
            </w:tcBorders>
            <w:gridSpan w:val="41"/>
          </w:tcPr>
          <w:p>
            <w:pPr>
              <w:spacing w:after="0" w:line="156" w:lineRule="exact"/>
              <w:rPr>
                <w:rFonts w:ascii="Arial" w:cs="Arial" w:eastAsia="Arial" w:hAnsi="Arial"/>
                <w:sz w:val="18"/>
                <w:szCs w:val="18"/>
                <w:color w:val="0000FF"/>
                <w:w w:val="95"/>
              </w:rPr>
            </w:pPr>
            <w:hyperlink r:id="rId87">
              <w:r>
                <w:rPr>
                  <w:rFonts w:ascii="Arial" w:cs="Arial" w:eastAsia="Arial" w:hAnsi="Arial"/>
                  <w:sz w:val="18"/>
                  <w:szCs w:val="18"/>
                  <w:color w:val="0000FF"/>
                  <w:w w:val="95"/>
                </w:rPr>
                <w:t>Inc. Officers' Supplemental Executive Retirement Plan (2005 Restatement) and Second Amendment of Apogee Enterprises, Inc. Officers'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Supplemental Executive Retirement Plan (2005 Restatement). Incorporated by reference to Exhibit 10.1 to Registrant's Current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40" w:type="dxa"/>
            <w:vAlign w:val="bottom"/>
            <w:gridSpan w:val="31"/>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Form 8-K filed on January 29, 2008.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620" w:type="dxa"/>
            <w:vAlign w:val="bottom"/>
            <w:tcBorders>
              <w:top w:val="single" w:sz="8" w:color="0000FF"/>
            </w:tcBorders>
            <w:gridSpan w:val="7"/>
          </w:tcPr>
          <w:p>
            <w:pPr>
              <w:spacing w:after="0" w:line="20" w:lineRule="exact"/>
              <w:rPr>
                <w:sz w:val="1"/>
                <w:szCs w:val="1"/>
                <w:color w:val="auto"/>
              </w:rPr>
            </w:pPr>
          </w:p>
        </w:tc>
        <w:tc>
          <w:tcPr>
            <w:tcW w:w="8060" w:type="dxa"/>
            <w:vAlign w:val="bottom"/>
            <w:gridSpan w:val="45"/>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500" w:type="dxa"/>
            <w:vAlign w:val="bottom"/>
            <w:gridSpan w:val="3"/>
            <w:shd w:val="clear" w:color="auto" w:fill="CCEEFF"/>
          </w:tcPr>
          <w:p>
            <w:pPr>
              <w:spacing w:after="0" w:line="189" w:lineRule="exact"/>
              <w:rPr>
                <w:rFonts w:ascii="Arial" w:cs="Arial" w:eastAsia="Arial" w:hAnsi="Arial"/>
                <w:sz w:val="18"/>
                <w:szCs w:val="18"/>
                <w:color w:val="0000FF"/>
              </w:rPr>
            </w:pPr>
            <w:hyperlink r:id="rId88">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460" w:type="dxa"/>
            <w:vAlign w:val="bottom"/>
            <w:shd w:val="clear" w:color="auto" w:fill="CCEEFF"/>
          </w:tcPr>
          <w:p>
            <w:pPr>
              <w:spacing w:after="0"/>
              <w:rPr>
                <w:sz w:val="16"/>
                <w:szCs w:val="16"/>
                <w:color w:val="auto"/>
              </w:rPr>
            </w:pPr>
          </w:p>
        </w:tc>
        <w:tc>
          <w:tcPr>
            <w:tcW w:w="10700" w:type="dxa"/>
            <w:vAlign w:val="bottom"/>
            <w:tcBorders>
              <w:right w:val="single" w:sz="8" w:color="CCEEFF"/>
            </w:tcBorders>
            <w:gridSpan w:val="53"/>
            <w:shd w:val="clear" w:color="auto" w:fill="CCEEFF"/>
          </w:tcPr>
          <w:p>
            <w:pPr>
              <w:spacing w:after="0" w:line="189"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Third Amendment of Apogee Enterprises, Inc. Officers' Supplemental Executive Retirement Plan (2005 Restatement).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340" w:type="dxa"/>
            <w:vAlign w:val="bottom"/>
            <w:tcBorders>
              <w:top w:val="single" w:sz="8" w:color="0000FF"/>
            </w:tcBorders>
            <w:gridSpan w:val="36"/>
            <w:shd w:val="clear" w:color="auto" w:fill="CCEEFF"/>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reference to Exhibit 10.2 to Registrant's Current Report on Form 8-K filed on October 15, 2008.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980" w:type="dxa"/>
            <w:vAlign w:val="bottom"/>
            <w:tcBorders>
              <w:top w:val="single" w:sz="8" w:color="CCEEFF"/>
            </w:tcBorders>
            <w:gridSpan w:val="5"/>
            <w:shd w:val="clear" w:color="auto" w:fill="CCEEFF"/>
          </w:tcPr>
          <w:p>
            <w:pPr>
              <w:spacing w:after="0" w:line="20" w:lineRule="exact"/>
              <w:rPr>
                <w:sz w:val="1"/>
                <w:szCs w:val="1"/>
                <w:color w:val="auto"/>
              </w:rPr>
            </w:pPr>
          </w:p>
        </w:tc>
        <w:tc>
          <w:tcPr>
            <w:tcW w:w="6900" w:type="dxa"/>
            <w:vAlign w:val="bottom"/>
            <w:tcBorders>
              <w:top w:val="single" w:sz="8" w:color="0000FF"/>
            </w:tcBorders>
            <w:gridSpan w:val="24"/>
            <w:shd w:val="clear" w:color="auto" w:fill="CCEEFF"/>
          </w:tcPr>
          <w:p>
            <w:pPr>
              <w:spacing w:after="0" w:line="20" w:lineRule="exact"/>
              <w:rPr>
                <w:sz w:val="1"/>
                <w:szCs w:val="1"/>
                <w:color w:val="auto"/>
              </w:rPr>
            </w:pPr>
          </w:p>
        </w:tc>
        <w:tc>
          <w:tcPr>
            <w:tcW w:w="3780" w:type="dxa"/>
            <w:vAlign w:val="bottom"/>
            <w:tcBorders>
              <w:top w:val="single" w:sz="8" w:color="CCEEFF"/>
              <w:right w:val="single" w:sz="8" w:color="CCEEFF"/>
            </w:tcBorders>
            <w:gridSpan w:val="28"/>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8"/>
                <w:szCs w:val="18"/>
                <w:color w:val="0000FF"/>
              </w:rPr>
            </w:pPr>
            <w:hyperlink r:id="rId89">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460" w:type="dxa"/>
            <w:vAlign w:val="bottom"/>
          </w:tcPr>
          <w:p>
            <w:pPr>
              <w:spacing w:after="0"/>
              <w:rPr>
                <w:sz w:val="16"/>
                <w:szCs w:val="16"/>
                <w:color w:val="auto"/>
              </w:rPr>
            </w:pPr>
          </w:p>
        </w:tc>
        <w:tc>
          <w:tcPr>
            <w:tcW w:w="10700" w:type="dxa"/>
            <w:vAlign w:val="bottom"/>
            <w:gridSpan w:val="53"/>
          </w:tcPr>
          <w:p>
            <w:pPr>
              <w:spacing w:after="0" w:line="189" w:lineRule="exact"/>
              <w:rPr>
                <w:rFonts w:ascii="Arial" w:cs="Arial" w:eastAsia="Arial" w:hAnsi="Arial"/>
                <w:sz w:val="18"/>
                <w:szCs w:val="18"/>
                <w:color w:val="0000FF"/>
                <w:w w:val="95"/>
              </w:rPr>
            </w:pPr>
            <w:hyperlink r:id="rId89">
              <w:r>
                <w:rPr>
                  <w:rFonts w:ascii="Arial" w:cs="Arial" w:eastAsia="Arial" w:hAnsi="Arial"/>
                  <w:sz w:val="18"/>
                  <w:szCs w:val="18"/>
                  <w:color w:val="0000FF"/>
                  <w:w w:val="95"/>
                </w:rPr>
                <w:t>Apogee Enterprises, Inc. Deferred Compensation Plan for Non-Employee Directors (2014 Restatement). Incorporated by reference to Exhibit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6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4.</w:t>
              </w:r>
              <w:r>
                <w:rPr>
                  <w:rFonts w:ascii="Arial" w:cs="Arial" w:eastAsia="Arial" w:hAnsi="Arial"/>
                  <w:sz w:val="18"/>
                  <w:szCs w:val="18"/>
                  <w:u w:val="single" w:color="auto"/>
                  <w:color w:val="0000FF"/>
                </w:rPr>
                <w:t>4</w:t>
              </w:r>
              <w:r>
                <w:rPr>
                  <w:rFonts w:ascii="Arial" w:cs="Arial" w:eastAsia="Arial" w:hAnsi="Arial"/>
                  <w:sz w:val="18"/>
                  <w:szCs w:val="18"/>
                  <w:color w:val="0000FF"/>
                </w:rPr>
                <w:t xml:space="preserve"> to Registrant's Registration Statement on Form S-8 filed on July 24,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5580" w:type="dxa"/>
            <w:vAlign w:val="bottom"/>
            <w:tcBorders>
              <w:top w:val="single" w:sz="8" w:color="0000FF"/>
            </w:tcBorders>
            <w:gridSpan w:val="17"/>
          </w:tcPr>
          <w:p>
            <w:pPr>
              <w:spacing w:after="0" w:line="20" w:lineRule="exact"/>
              <w:rPr>
                <w:sz w:val="1"/>
                <w:szCs w:val="1"/>
                <w:color w:val="auto"/>
              </w:rPr>
            </w:pPr>
          </w:p>
        </w:tc>
        <w:tc>
          <w:tcPr>
            <w:tcW w:w="5100" w:type="dxa"/>
            <w:vAlign w:val="bottom"/>
            <w:gridSpan w:val="35"/>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700" w:type="dxa"/>
            <w:vAlign w:val="bottom"/>
            <w:tcBorders>
              <w:right w:val="single" w:sz="8" w:color="CCEEFF"/>
            </w:tcBorders>
            <w:gridSpan w:val="53"/>
            <w:shd w:val="clear" w:color="auto" w:fill="CCEEFF"/>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Apogee Enterprises, Inc. 2000 Employee Stock Purchase Plan (Amended and Restated Effective as of April 21, 2021).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500" w:type="dxa"/>
            <w:vAlign w:val="bottom"/>
            <w:tcBorders>
              <w:top w:val="single" w:sz="8" w:color="0000FF"/>
            </w:tcBorders>
            <w:gridSpan w:val="3"/>
            <w:shd w:val="clear" w:color="auto" w:fill="CCEEFF"/>
          </w:tcPr>
          <w:p>
            <w:pPr>
              <w:spacing w:after="0" w:line="20" w:lineRule="exact"/>
              <w:rPr>
                <w:sz w:val="1"/>
                <w:szCs w:val="1"/>
                <w:color w:val="auto"/>
              </w:rPr>
            </w:pPr>
          </w:p>
        </w:tc>
        <w:tc>
          <w:tcPr>
            <w:tcW w:w="480" w:type="dxa"/>
            <w:vAlign w:val="bottom"/>
            <w:tcBorders>
              <w:top w:val="single" w:sz="8" w:color="CCEEFF"/>
            </w:tcBorders>
            <w:gridSpan w:val="2"/>
            <w:shd w:val="clear" w:color="auto" w:fill="CCEEFF"/>
          </w:tcPr>
          <w:p>
            <w:pPr>
              <w:spacing w:after="0" w:line="20" w:lineRule="exact"/>
              <w:rPr>
                <w:sz w:val="1"/>
                <w:szCs w:val="1"/>
                <w:color w:val="auto"/>
              </w:rPr>
            </w:pPr>
          </w:p>
        </w:tc>
        <w:tc>
          <w:tcPr>
            <w:tcW w:w="8520" w:type="dxa"/>
            <w:vAlign w:val="bottom"/>
            <w:tcBorders>
              <w:top w:val="single" w:sz="8" w:color="0000FF"/>
            </w:tcBorders>
            <w:gridSpan w:val="26"/>
            <w:shd w:val="clear" w:color="auto" w:fill="CCEEFF"/>
          </w:tcPr>
          <w:p>
            <w:pPr>
              <w:spacing w:after="0" w:line="20" w:lineRule="exact"/>
              <w:rPr>
                <w:sz w:val="1"/>
                <w:szCs w:val="1"/>
                <w:color w:val="auto"/>
              </w:rPr>
            </w:pPr>
          </w:p>
        </w:tc>
        <w:tc>
          <w:tcPr>
            <w:tcW w:w="2160" w:type="dxa"/>
            <w:vAlign w:val="bottom"/>
            <w:tcBorders>
              <w:top w:val="single" w:sz="8" w:color="CCEEFF"/>
              <w:right w:val="single" w:sz="8" w:color="CCEEFF"/>
            </w:tcBorders>
            <w:gridSpan w:val="26"/>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8"/>
                <w:szCs w:val="18"/>
                <w:color w:val="0000FF"/>
              </w:rPr>
            </w:pPr>
            <w:hyperlink r:id="rId90">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460" w:type="dxa"/>
            <w:vAlign w:val="bottom"/>
          </w:tcPr>
          <w:p>
            <w:pPr>
              <w:spacing w:after="0"/>
              <w:rPr>
                <w:sz w:val="16"/>
                <w:szCs w:val="16"/>
                <w:color w:val="auto"/>
              </w:rPr>
            </w:pPr>
          </w:p>
        </w:tc>
        <w:tc>
          <w:tcPr>
            <w:tcW w:w="10700" w:type="dxa"/>
            <w:vAlign w:val="bottom"/>
            <w:gridSpan w:val="53"/>
          </w:tcPr>
          <w:p>
            <w:pPr>
              <w:spacing w:after="0" w:line="189" w:lineRule="exact"/>
              <w:rPr>
                <w:rFonts w:ascii="Arial" w:cs="Arial" w:eastAsia="Arial" w:hAnsi="Arial"/>
                <w:sz w:val="18"/>
                <w:szCs w:val="18"/>
                <w:color w:val="0000FF"/>
                <w:w w:val="97"/>
              </w:rPr>
            </w:pPr>
            <w:hyperlink r:id="rId90">
              <w:r>
                <w:rPr>
                  <w:rFonts w:ascii="Arial" w:cs="Arial" w:eastAsia="Arial" w:hAnsi="Arial"/>
                  <w:sz w:val="18"/>
                  <w:szCs w:val="18"/>
                  <w:color w:val="0000FF"/>
                  <w:w w:val="97"/>
                </w:rPr>
                <w:t>Apogee Enterprises, Inc. Non-Employee Director Charitable Matching Contribution Program. Incorporated by reference to Exhibit 10.25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Registrant's Annual Report on Form 10-K for the year-ended February 26, 2005.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5780" w:type="dxa"/>
            <w:vAlign w:val="bottom"/>
            <w:tcBorders>
              <w:top w:val="single" w:sz="8" w:color="0000FF"/>
            </w:tcBorders>
            <w:gridSpan w:val="18"/>
          </w:tcPr>
          <w:p>
            <w:pPr>
              <w:spacing w:after="0" w:line="20" w:lineRule="exact"/>
              <w:rPr>
                <w:sz w:val="1"/>
                <w:szCs w:val="1"/>
                <w:color w:val="auto"/>
              </w:rPr>
            </w:pPr>
          </w:p>
        </w:tc>
        <w:tc>
          <w:tcPr>
            <w:tcW w:w="4900" w:type="dxa"/>
            <w:vAlign w:val="bottom"/>
            <w:gridSpan w:val="3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500" w:type="dxa"/>
            <w:vAlign w:val="bottom"/>
            <w:gridSpan w:val="3"/>
            <w:shd w:val="clear" w:color="auto" w:fill="CCEEFF"/>
          </w:tcPr>
          <w:p>
            <w:pPr>
              <w:spacing w:after="0" w:line="189" w:lineRule="exact"/>
              <w:rPr>
                <w:rFonts w:ascii="Arial" w:cs="Arial" w:eastAsia="Arial" w:hAnsi="Arial"/>
                <w:sz w:val="18"/>
                <w:szCs w:val="18"/>
                <w:color w:val="0000FF"/>
              </w:rPr>
            </w:pPr>
            <w:hyperlink r:id="rId91">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460" w:type="dxa"/>
            <w:vAlign w:val="bottom"/>
            <w:shd w:val="clear" w:color="auto" w:fill="CCEEFF"/>
          </w:tcPr>
          <w:p>
            <w:pPr>
              <w:spacing w:after="0"/>
              <w:rPr>
                <w:sz w:val="16"/>
                <w:szCs w:val="16"/>
                <w:color w:val="auto"/>
              </w:rPr>
            </w:pPr>
          </w:p>
        </w:tc>
        <w:tc>
          <w:tcPr>
            <w:tcW w:w="10700" w:type="dxa"/>
            <w:vAlign w:val="bottom"/>
            <w:tcBorders>
              <w:right w:val="single" w:sz="8" w:color="CCEEFF"/>
            </w:tcBorders>
            <w:gridSpan w:val="53"/>
            <w:shd w:val="clear" w:color="auto" w:fill="CCEEFF"/>
          </w:tcPr>
          <w:p>
            <w:pPr>
              <w:spacing w:after="0" w:line="189" w:lineRule="exact"/>
              <w:rPr>
                <w:rFonts w:ascii="Arial" w:cs="Arial" w:eastAsia="Arial" w:hAnsi="Arial"/>
                <w:sz w:val="18"/>
                <w:szCs w:val="18"/>
                <w:color w:val="0000FF"/>
              </w:rPr>
            </w:pPr>
            <w:hyperlink r:id="rId91">
              <w:r>
                <w:rPr>
                  <w:rFonts w:ascii="Arial" w:cs="Arial" w:eastAsia="Arial" w:hAnsi="Arial"/>
                  <w:sz w:val="18"/>
                  <w:szCs w:val="18"/>
                  <w:color w:val="0000FF"/>
                </w:rPr>
                <w:t>Apogee Enterprises, Inc. Deferred Incentive Compensation Plan (2005 Restatement). Incorporated by reference to Exhibit 10.3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Registrant's Current Report on Form 8-K filed on October 17, 2006.</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980" w:type="dxa"/>
            <w:vAlign w:val="bottom"/>
            <w:tcBorders>
              <w:top w:val="single" w:sz="8" w:color="CCEEFF"/>
            </w:tcBorders>
            <w:gridSpan w:val="5"/>
            <w:shd w:val="clear" w:color="auto" w:fill="CCEEFF"/>
          </w:tcPr>
          <w:p>
            <w:pPr>
              <w:spacing w:after="0" w:line="20" w:lineRule="exact"/>
              <w:rPr>
                <w:sz w:val="1"/>
                <w:szCs w:val="1"/>
                <w:color w:val="auto"/>
              </w:rPr>
            </w:pPr>
          </w:p>
        </w:tc>
        <w:tc>
          <w:tcPr>
            <w:tcW w:w="4880" w:type="dxa"/>
            <w:vAlign w:val="bottom"/>
            <w:tcBorders>
              <w:top w:val="single" w:sz="8" w:color="0000FF"/>
            </w:tcBorders>
            <w:gridSpan w:val="16"/>
            <w:shd w:val="clear" w:color="auto" w:fill="CCEEFF"/>
          </w:tcPr>
          <w:p>
            <w:pPr>
              <w:spacing w:after="0" w:line="20" w:lineRule="exact"/>
              <w:rPr>
                <w:sz w:val="1"/>
                <w:szCs w:val="1"/>
                <w:color w:val="auto"/>
              </w:rPr>
            </w:pPr>
          </w:p>
        </w:tc>
        <w:tc>
          <w:tcPr>
            <w:tcW w:w="5800" w:type="dxa"/>
            <w:vAlign w:val="bottom"/>
            <w:tcBorders>
              <w:top w:val="single" w:sz="8" w:color="CCEEFF"/>
              <w:right w:val="single" w:sz="8" w:color="CCEEFF"/>
            </w:tcBorders>
            <w:gridSpan w:val="36"/>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8"/>
                <w:szCs w:val="18"/>
                <w:color w:val="0000FF"/>
              </w:rPr>
            </w:pPr>
            <w:hyperlink r:id="rId92">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460" w:type="dxa"/>
            <w:vAlign w:val="bottom"/>
          </w:tcPr>
          <w:p>
            <w:pPr>
              <w:spacing w:after="0"/>
              <w:rPr>
                <w:sz w:val="16"/>
                <w:szCs w:val="16"/>
                <w:color w:val="auto"/>
              </w:rPr>
            </w:pPr>
          </w:p>
        </w:tc>
        <w:tc>
          <w:tcPr>
            <w:tcW w:w="10700" w:type="dxa"/>
            <w:vAlign w:val="bottom"/>
            <w:gridSpan w:val="53"/>
          </w:tcPr>
          <w:p>
            <w:pPr>
              <w:spacing w:after="0" w:line="189" w:lineRule="exact"/>
              <w:rPr>
                <w:rFonts w:ascii="Arial" w:cs="Arial" w:eastAsia="Arial" w:hAnsi="Arial"/>
                <w:sz w:val="18"/>
                <w:szCs w:val="18"/>
                <w:color w:val="0000FF"/>
                <w:w w:val="99"/>
              </w:rPr>
            </w:pPr>
            <w:hyperlink r:id="rId92">
              <w:r>
                <w:rPr>
                  <w:rFonts w:ascii="Arial" w:cs="Arial" w:eastAsia="Arial" w:hAnsi="Arial"/>
                  <w:sz w:val="18"/>
                  <w:szCs w:val="18"/>
                  <w:color w:val="0000FF"/>
                  <w:w w:val="99"/>
                </w:rPr>
                <w:t>First Amendment of Apogee Enterprises, Inc. Deferred Incentive Compensation Plan (2005 Restatement). Incorporated by reference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560" w:type="dxa"/>
            <w:vAlign w:val="bottom"/>
            <w:tcBorders>
              <w:top w:val="single" w:sz="8" w:color="0000FF"/>
            </w:tcBorders>
            <w:gridSpan w:val="47"/>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Exhibit 10.4 to Registrant's Current Report on Form 8-K filed on October 15, 2008.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000" w:type="dxa"/>
            <w:vAlign w:val="bottom"/>
            <w:tcBorders>
              <w:top w:val="single" w:sz="8" w:color="0000FF"/>
            </w:tcBorders>
            <w:gridSpan w:val="20"/>
          </w:tcPr>
          <w:p>
            <w:pPr>
              <w:spacing w:after="0" w:line="20" w:lineRule="exact"/>
              <w:rPr>
                <w:sz w:val="1"/>
                <w:szCs w:val="1"/>
                <w:color w:val="auto"/>
              </w:rPr>
            </w:pPr>
          </w:p>
        </w:tc>
        <w:tc>
          <w:tcPr>
            <w:tcW w:w="4680" w:type="dxa"/>
            <w:vAlign w:val="bottom"/>
            <w:gridSpan w:val="3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500" w:type="dxa"/>
            <w:vAlign w:val="bottom"/>
            <w:gridSpan w:val="3"/>
            <w:shd w:val="clear" w:color="auto" w:fill="CCEEFF"/>
          </w:tcPr>
          <w:p>
            <w:pPr>
              <w:spacing w:after="0" w:line="189" w:lineRule="exact"/>
              <w:rPr>
                <w:rFonts w:ascii="Arial" w:cs="Arial" w:eastAsia="Arial" w:hAnsi="Arial"/>
                <w:sz w:val="18"/>
                <w:szCs w:val="18"/>
                <w:color w:val="0000FF"/>
              </w:rPr>
            </w:pPr>
            <w:hyperlink r:id="rId93">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460" w:type="dxa"/>
            <w:vAlign w:val="bottom"/>
            <w:shd w:val="clear" w:color="auto" w:fill="CCEEFF"/>
          </w:tcPr>
          <w:p>
            <w:pPr>
              <w:spacing w:after="0"/>
              <w:rPr>
                <w:sz w:val="16"/>
                <w:szCs w:val="16"/>
                <w:color w:val="auto"/>
              </w:rPr>
            </w:pPr>
          </w:p>
        </w:tc>
        <w:tc>
          <w:tcPr>
            <w:tcW w:w="10700" w:type="dxa"/>
            <w:vAlign w:val="bottom"/>
            <w:tcBorders>
              <w:right w:val="single" w:sz="8" w:color="CCEEFF"/>
            </w:tcBorders>
            <w:gridSpan w:val="53"/>
            <w:shd w:val="clear" w:color="auto" w:fill="CCEEFF"/>
          </w:tcPr>
          <w:p>
            <w:pPr>
              <w:spacing w:after="0" w:line="189" w:lineRule="exact"/>
              <w:rPr>
                <w:rFonts w:ascii="Arial" w:cs="Arial" w:eastAsia="Arial" w:hAnsi="Arial"/>
                <w:sz w:val="18"/>
                <w:szCs w:val="18"/>
                <w:color w:val="0000FF"/>
                <w:w w:val="96"/>
              </w:rPr>
            </w:pPr>
            <w:hyperlink r:id="rId93">
              <w:r>
                <w:rPr>
                  <w:rFonts w:ascii="Arial" w:cs="Arial" w:eastAsia="Arial" w:hAnsi="Arial"/>
                  <w:sz w:val="18"/>
                  <w:szCs w:val="18"/>
                  <w:color w:val="0000FF"/>
                  <w:w w:val="96"/>
                </w:rPr>
                <w:t>Second Amendment of Apogee Enterprises, Inc. Deferred Incentive Compensation Plan (2005 Restatement). Incorporated by reference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480" w:type="dxa"/>
            <w:vAlign w:val="bottom"/>
            <w:tcBorders>
              <w:top w:val="single" w:sz="8" w:color="0000FF"/>
            </w:tcBorders>
            <w:gridSpan w:val="43"/>
            <w:shd w:val="clear" w:color="auto" w:fill="CCEEFF"/>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Exhibit 10.3 to Registrant's Current Report on Form 8-K filed on March 4, 2009.</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980" w:type="dxa"/>
            <w:vAlign w:val="bottom"/>
            <w:tcBorders>
              <w:top w:val="single" w:sz="8" w:color="CCEEFF"/>
            </w:tcBorders>
            <w:gridSpan w:val="5"/>
            <w:shd w:val="clear" w:color="auto" w:fill="CCEEFF"/>
          </w:tcPr>
          <w:p>
            <w:pPr>
              <w:spacing w:after="0" w:line="20" w:lineRule="exact"/>
              <w:rPr>
                <w:sz w:val="1"/>
                <w:szCs w:val="1"/>
                <w:color w:val="auto"/>
              </w:rPr>
            </w:pPr>
          </w:p>
        </w:tc>
        <w:tc>
          <w:tcPr>
            <w:tcW w:w="5800" w:type="dxa"/>
            <w:vAlign w:val="bottom"/>
            <w:tcBorders>
              <w:top w:val="single" w:sz="8" w:color="0000FF"/>
            </w:tcBorders>
            <w:gridSpan w:val="19"/>
            <w:shd w:val="clear" w:color="auto" w:fill="CCEEFF"/>
          </w:tcPr>
          <w:p>
            <w:pPr>
              <w:spacing w:after="0" w:line="20" w:lineRule="exact"/>
              <w:rPr>
                <w:sz w:val="1"/>
                <w:szCs w:val="1"/>
                <w:color w:val="auto"/>
              </w:rPr>
            </w:pPr>
          </w:p>
        </w:tc>
        <w:tc>
          <w:tcPr>
            <w:tcW w:w="4880" w:type="dxa"/>
            <w:vAlign w:val="bottom"/>
            <w:tcBorders>
              <w:top w:val="single" w:sz="8" w:color="CCEEFF"/>
              <w:right w:val="single" w:sz="8" w:color="CCEEFF"/>
            </w:tcBorders>
            <w:gridSpan w:val="33"/>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8"/>
                <w:szCs w:val="18"/>
                <w:color w:val="0000FF"/>
              </w:rPr>
            </w:pPr>
            <w:hyperlink r:id="rId94">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460" w:type="dxa"/>
            <w:vAlign w:val="bottom"/>
          </w:tcPr>
          <w:p>
            <w:pPr>
              <w:spacing w:after="0"/>
              <w:rPr>
                <w:sz w:val="16"/>
                <w:szCs w:val="16"/>
                <w:color w:val="auto"/>
              </w:rPr>
            </w:pPr>
          </w:p>
        </w:tc>
        <w:tc>
          <w:tcPr>
            <w:tcW w:w="10700" w:type="dxa"/>
            <w:vAlign w:val="bottom"/>
            <w:gridSpan w:val="53"/>
          </w:tcPr>
          <w:p>
            <w:pPr>
              <w:spacing w:after="0" w:line="189" w:lineRule="exact"/>
              <w:rPr>
                <w:rFonts w:ascii="Arial" w:cs="Arial" w:eastAsia="Arial" w:hAnsi="Arial"/>
                <w:sz w:val="18"/>
                <w:szCs w:val="18"/>
                <w:color w:val="0000FF"/>
                <w:w w:val="98"/>
              </w:rPr>
            </w:pPr>
            <w:hyperlink r:id="rId94">
              <w:r>
                <w:rPr>
                  <w:rFonts w:ascii="Arial" w:cs="Arial" w:eastAsia="Arial" w:hAnsi="Arial"/>
                  <w:sz w:val="18"/>
                  <w:szCs w:val="18"/>
                  <w:color w:val="0000FF"/>
                  <w:w w:val="98"/>
                </w:rPr>
                <w:t>Third Amendment of Apogee Enterprises, Inc. Deferred Incentive Compensation Plan (2005 Restatement). Incorporated by reference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Exhibit 10.5 to Registrant's Current Report on Form 8-K filed on October 12, 2010.</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000" w:type="dxa"/>
            <w:vAlign w:val="bottom"/>
            <w:tcBorders>
              <w:top w:val="single" w:sz="8" w:color="0000FF"/>
            </w:tcBorders>
            <w:gridSpan w:val="20"/>
          </w:tcPr>
          <w:p>
            <w:pPr>
              <w:spacing w:after="0" w:line="20" w:lineRule="exact"/>
              <w:rPr>
                <w:sz w:val="1"/>
                <w:szCs w:val="1"/>
                <w:color w:val="auto"/>
              </w:rPr>
            </w:pPr>
          </w:p>
        </w:tc>
        <w:tc>
          <w:tcPr>
            <w:tcW w:w="4680" w:type="dxa"/>
            <w:vAlign w:val="bottom"/>
            <w:gridSpan w:val="3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95">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700" w:type="dxa"/>
            <w:vAlign w:val="bottom"/>
            <w:tcBorders>
              <w:right w:val="single" w:sz="8" w:color="CCEEFF"/>
            </w:tcBorders>
            <w:gridSpan w:val="53"/>
            <w:shd w:val="clear" w:color="auto" w:fill="CCEEFF"/>
          </w:tcPr>
          <w:p>
            <w:pPr>
              <w:spacing w:after="0" w:line="189" w:lineRule="exact"/>
              <w:rPr>
                <w:rFonts w:ascii="Arial" w:cs="Arial" w:eastAsia="Arial" w:hAnsi="Arial"/>
                <w:sz w:val="18"/>
                <w:szCs w:val="18"/>
                <w:color w:val="0000FF"/>
                <w:w w:val="97"/>
              </w:rPr>
            </w:pPr>
            <w:hyperlink r:id="rId95">
              <w:r>
                <w:rPr>
                  <w:rFonts w:ascii="Arial" w:cs="Arial" w:eastAsia="Arial" w:hAnsi="Arial"/>
                  <w:sz w:val="18"/>
                  <w:szCs w:val="18"/>
                  <w:color w:val="0000FF"/>
                  <w:w w:val="97"/>
                </w:rPr>
                <w:t>Fourth Amendment of Apogee Enterprises, Inc. Deferred Incentive Compensation Plan (2005 Restatement). Incorporated by reference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18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120" w:type="dxa"/>
            <w:vAlign w:val="bottom"/>
            <w:tcBorders>
              <w:top w:val="single" w:sz="8" w:color="0000FF"/>
              <w:bottom w:val="single" w:sz="8" w:color="0000FF"/>
            </w:tcBorders>
            <w:gridSpan w:val="21"/>
            <w:shd w:val="clear" w:color="auto" w:fill="CCEEFF"/>
          </w:tcPr>
          <w:p>
            <w:pPr>
              <w:spacing w:after="0" w:line="15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Exhibit 10.3 to Registrant's Quarterly Report on Form 10-Q filed on January 6, 2011.</w:t>
              </w:r>
            </w:hyperlink>
          </w:p>
        </w:tc>
        <w:tc>
          <w:tcPr>
            <w:tcW w:w="4520" w:type="dxa"/>
            <w:vAlign w:val="bottom"/>
            <w:tcBorders>
              <w:top w:val="single" w:sz="8" w:color="0000FF"/>
              <w:bottom w:val="single" w:sz="8" w:color="CCEEFF"/>
            </w:tcBorders>
            <w:gridSpan w:val="30"/>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8"/>
                <w:szCs w:val="18"/>
                <w:color w:val="0000FF"/>
                <w:w w:val="92"/>
              </w:rPr>
            </w:pPr>
            <w:hyperlink r:id="rId96">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11*</w:t>
              </w:r>
            </w:hyperlink>
          </w:p>
        </w:tc>
        <w:tc>
          <w:tcPr>
            <w:tcW w:w="460" w:type="dxa"/>
            <w:vAlign w:val="bottom"/>
          </w:tcPr>
          <w:p>
            <w:pPr>
              <w:spacing w:after="0"/>
              <w:rPr>
                <w:sz w:val="16"/>
                <w:szCs w:val="16"/>
                <w:color w:val="auto"/>
              </w:rPr>
            </w:pPr>
          </w:p>
        </w:tc>
        <w:tc>
          <w:tcPr>
            <w:tcW w:w="10700" w:type="dxa"/>
            <w:vAlign w:val="bottom"/>
            <w:gridSpan w:val="53"/>
          </w:tcPr>
          <w:p>
            <w:pPr>
              <w:spacing w:after="0" w:line="189" w:lineRule="exact"/>
              <w:rPr>
                <w:rFonts w:ascii="Arial" w:cs="Arial" w:eastAsia="Arial" w:hAnsi="Arial"/>
                <w:sz w:val="18"/>
                <w:szCs w:val="18"/>
                <w:color w:val="0000FF"/>
                <w:w w:val="96"/>
              </w:rPr>
            </w:pPr>
            <w:hyperlink r:id="rId96">
              <w:r>
                <w:rPr>
                  <w:rFonts w:ascii="Arial" w:cs="Arial" w:eastAsia="Arial" w:hAnsi="Arial"/>
                  <w:sz w:val="18"/>
                  <w:szCs w:val="18"/>
                  <w:color w:val="0000FF"/>
                  <w:w w:val="96"/>
                </w:rPr>
                <w:t>Apogee Enterprises, Inc. Partnership Plan (2005 Restatement). Incorporated by reference to Exhibit 10.5 to Registrant's Current Report on</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1040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Form 8-K filed on October 17, 2006.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640" w:type="dxa"/>
            <w:vAlign w:val="bottom"/>
            <w:tcBorders>
              <w:top w:val="single" w:sz="8" w:color="0000FF"/>
            </w:tcBorders>
            <w:gridSpan w:val="8"/>
          </w:tcPr>
          <w:p>
            <w:pPr>
              <w:spacing w:after="0" w:line="20" w:lineRule="exact"/>
              <w:rPr>
                <w:sz w:val="1"/>
                <w:szCs w:val="1"/>
                <w:color w:val="auto"/>
              </w:rPr>
            </w:pPr>
          </w:p>
        </w:tc>
        <w:tc>
          <w:tcPr>
            <w:tcW w:w="8040" w:type="dxa"/>
            <w:vAlign w:val="bottom"/>
            <w:gridSpan w:val="4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97">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700" w:type="dxa"/>
            <w:vAlign w:val="bottom"/>
            <w:tcBorders>
              <w:right w:val="single" w:sz="8" w:color="CCEEFF"/>
            </w:tcBorders>
            <w:gridSpan w:val="53"/>
            <w:shd w:val="clear" w:color="auto" w:fill="CCEEFF"/>
          </w:tcPr>
          <w:p>
            <w:pPr>
              <w:spacing w:after="0" w:line="189" w:lineRule="exact"/>
              <w:rPr>
                <w:rFonts w:ascii="Arial" w:cs="Arial" w:eastAsia="Arial" w:hAnsi="Arial"/>
                <w:sz w:val="18"/>
                <w:szCs w:val="18"/>
                <w:color w:val="0000FF"/>
                <w:w w:val="95"/>
              </w:rPr>
            </w:pPr>
            <w:hyperlink r:id="rId97">
              <w:r>
                <w:rPr>
                  <w:rFonts w:ascii="Arial" w:cs="Arial" w:eastAsia="Arial" w:hAnsi="Arial"/>
                  <w:sz w:val="18"/>
                  <w:szCs w:val="18"/>
                  <w:color w:val="0000FF"/>
                  <w:w w:val="95"/>
                </w:rPr>
                <w:t>First Amendment of Apogee Enterprises, Inc. Partnership Plan (2005 Restatement). Incorporated by reference to Exhibit 10.6 to Registrant's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440" w:type="dxa"/>
            <w:vAlign w:val="bottom"/>
            <w:tcBorders>
              <w:top w:val="single" w:sz="8" w:color="0000FF"/>
            </w:tcBorders>
            <w:gridSpan w:val="41"/>
            <w:shd w:val="clear" w:color="auto" w:fill="CCEEFF"/>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Current Report on Form 8-K filed on October 15, 2008.</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980" w:type="dxa"/>
            <w:vAlign w:val="bottom"/>
            <w:tcBorders>
              <w:top w:val="single" w:sz="8" w:color="CCEEFF"/>
            </w:tcBorders>
            <w:gridSpan w:val="5"/>
            <w:shd w:val="clear" w:color="auto" w:fill="CCEEFF"/>
          </w:tcPr>
          <w:p>
            <w:pPr>
              <w:spacing w:after="0" w:line="20" w:lineRule="exact"/>
              <w:rPr>
                <w:sz w:val="1"/>
                <w:szCs w:val="1"/>
                <w:color w:val="auto"/>
              </w:rPr>
            </w:pPr>
          </w:p>
        </w:tc>
        <w:tc>
          <w:tcPr>
            <w:tcW w:w="4000" w:type="dxa"/>
            <w:vAlign w:val="bottom"/>
            <w:tcBorders>
              <w:top w:val="single" w:sz="8" w:color="0000FF"/>
            </w:tcBorders>
            <w:gridSpan w:val="9"/>
            <w:shd w:val="clear" w:color="auto" w:fill="CCEEFF"/>
          </w:tcPr>
          <w:p>
            <w:pPr>
              <w:spacing w:after="0" w:line="20" w:lineRule="exact"/>
              <w:rPr>
                <w:sz w:val="1"/>
                <w:szCs w:val="1"/>
                <w:color w:val="auto"/>
              </w:rPr>
            </w:pPr>
          </w:p>
        </w:tc>
        <w:tc>
          <w:tcPr>
            <w:tcW w:w="6680" w:type="dxa"/>
            <w:vAlign w:val="bottom"/>
            <w:tcBorders>
              <w:top w:val="single" w:sz="8" w:color="CCEEFF"/>
              <w:right w:val="single" w:sz="8" w:color="CCEEFF"/>
            </w:tcBorders>
            <w:gridSpan w:val="43"/>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98">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700" w:type="dxa"/>
            <w:vAlign w:val="bottom"/>
            <w:gridSpan w:val="53"/>
          </w:tcPr>
          <w:p>
            <w:pPr>
              <w:spacing w:after="0" w:line="189" w:lineRule="exact"/>
              <w:rPr>
                <w:rFonts w:ascii="Arial" w:cs="Arial" w:eastAsia="Arial" w:hAnsi="Arial"/>
                <w:sz w:val="18"/>
                <w:szCs w:val="18"/>
                <w:color w:val="0000FF"/>
              </w:rPr>
            </w:pPr>
            <w:hyperlink r:id="rId98">
              <w:r>
                <w:rPr>
                  <w:rFonts w:ascii="Arial" w:cs="Arial" w:eastAsia="Arial" w:hAnsi="Arial"/>
                  <w:sz w:val="18"/>
                  <w:szCs w:val="18"/>
                  <w:color w:val="0000FF"/>
                </w:rPr>
                <w:t>Second Amendment of Apogee Enterprises, Inc. Partnership Plan (2005 Restatement). Incorporated by reference to Exhibit 10.8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10520" w:type="dxa"/>
            <w:vAlign w:val="bottom"/>
            <w:tcBorders>
              <w:top w:val="single" w:sz="8" w:color="0000FF"/>
            </w:tcBorders>
            <w:gridSpan w:val="45"/>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Registrant's Current Report on Form 8-K filed on March 4,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680" w:type="dxa"/>
            <w:vAlign w:val="bottom"/>
            <w:tcBorders>
              <w:top w:val="single" w:sz="8" w:color="0000FF"/>
            </w:tcBorders>
            <w:gridSpan w:val="15"/>
          </w:tcPr>
          <w:p>
            <w:pPr>
              <w:spacing w:after="0" w:line="20" w:lineRule="exact"/>
              <w:rPr>
                <w:sz w:val="1"/>
                <w:szCs w:val="1"/>
                <w:color w:val="auto"/>
              </w:rPr>
            </w:pPr>
          </w:p>
        </w:tc>
        <w:tc>
          <w:tcPr>
            <w:tcW w:w="6000" w:type="dxa"/>
            <w:vAlign w:val="bottom"/>
            <w:gridSpan w:val="37"/>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99">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700" w:type="dxa"/>
            <w:vAlign w:val="bottom"/>
            <w:tcBorders>
              <w:right w:val="single" w:sz="8" w:color="CCEEFF"/>
            </w:tcBorders>
            <w:gridSpan w:val="53"/>
            <w:shd w:val="clear" w:color="auto" w:fill="CCEEFF"/>
          </w:tcPr>
          <w:p>
            <w:pPr>
              <w:spacing w:after="0" w:line="189" w:lineRule="exact"/>
              <w:rPr>
                <w:rFonts w:ascii="Arial" w:cs="Arial" w:eastAsia="Arial" w:hAnsi="Arial"/>
                <w:sz w:val="18"/>
                <w:szCs w:val="18"/>
                <w:color w:val="0000FF"/>
                <w:w w:val="95"/>
              </w:rPr>
            </w:pPr>
            <w:hyperlink r:id="rId99">
              <w:r>
                <w:rPr>
                  <w:rFonts w:ascii="Arial" w:cs="Arial" w:eastAsia="Arial" w:hAnsi="Arial"/>
                  <w:sz w:val="18"/>
                  <w:szCs w:val="18"/>
                  <w:color w:val="0000FF"/>
                  <w:w w:val="95"/>
                </w:rPr>
                <w:t>Third Amendment of Apogee Enterprises, Inc. Partnership Plan (2005 Restatement). Incorporated by reference to Exhibit 10.4 to Registrant's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540" w:type="dxa"/>
            <w:vAlign w:val="bottom"/>
            <w:tcBorders>
              <w:top w:val="single" w:sz="8" w:color="0000FF"/>
            </w:tcBorders>
            <w:gridSpan w:val="46"/>
            <w:shd w:val="clear" w:color="auto" w:fill="CCEEFF"/>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Quarterly Report on Form 10-Q filed on January 6, 2011.</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980" w:type="dxa"/>
            <w:vAlign w:val="bottom"/>
            <w:tcBorders>
              <w:top w:val="single" w:sz="8" w:color="CCEEFF"/>
            </w:tcBorders>
            <w:gridSpan w:val="5"/>
            <w:shd w:val="clear" w:color="auto" w:fill="CCEEFF"/>
          </w:tcPr>
          <w:p>
            <w:pPr>
              <w:spacing w:after="0" w:line="20" w:lineRule="exact"/>
              <w:rPr>
                <w:sz w:val="1"/>
                <w:szCs w:val="1"/>
                <w:color w:val="auto"/>
              </w:rPr>
            </w:pPr>
          </w:p>
        </w:tc>
        <w:tc>
          <w:tcPr>
            <w:tcW w:w="4120" w:type="dxa"/>
            <w:vAlign w:val="bottom"/>
            <w:tcBorders>
              <w:top w:val="single" w:sz="8" w:color="0000FF"/>
            </w:tcBorders>
            <w:gridSpan w:val="11"/>
            <w:shd w:val="clear" w:color="auto" w:fill="CCEEFF"/>
          </w:tcPr>
          <w:p>
            <w:pPr>
              <w:spacing w:after="0" w:line="20" w:lineRule="exact"/>
              <w:rPr>
                <w:sz w:val="1"/>
                <w:szCs w:val="1"/>
                <w:color w:val="auto"/>
              </w:rPr>
            </w:pPr>
          </w:p>
        </w:tc>
        <w:tc>
          <w:tcPr>
            <w:tcW w:w="6560" w:type="dxa"/>
            <w:vAlign w:val="bottom"/>
            <w:tcBorders>
              <w:top w:val="single" w:sz="8" w:color="CCEEFF"/>
              <w:right w:val="single" w:sz="8" w:color="CCEEFF"/>
            </w:tcBorders>
            <w:gridSpan w:val="41"/>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00">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700" w:type="dxa"/>
            <w:vAlign w:val="bottom"/>
            <w:gridSpan w:val="53"/>
          </w:tcPr>
          <w:p>
            <w:pPr>
              <w:spacing w:after="0" w:line="189" w:lineRule="exact"/>
              <w:rPr>
                <w:rFonts w:ascii="Arial" w:cs="Arial" w:eastAsia="Arial" w:hAnsi="Arial"/>
                <w:sz w:val="18"/>
                <w:szCs w:val="18"/>
                <w:color w:val="0000FF"/>
              </w:rPr>
            </w:pPr>
            <w:hyperlink r:id="rId100">
              <w:r>
                <w:rPr>
                  <w:rFonts w:ascii="Arial" w:cs="Arial" w:eastAsia="Arial" w:hAnsi="Arial"/>
                  <w:sz w:val="18"/>
                  <w:szCs w:val="18"/>
                  <w:color w:val="0000FF"/>
                </w:rPr>
                <w:t>Apogee Enterprises, Inc. 2009 Stock Incentive Plan, as amended and restated (2011). Incorporated by reference to Exhibit 10.1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580" w:type="dxa"/>
            <w:vAlign w:val="bottom"/>
            <w:tcBorders>
              <w:top w:val="single" w:sz="8" w:color="0000FF"/>
            </w:tcBorders>
            <w:gridSpan w:val="48"/>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Registrant's Current Report on Form 8-K filed on June 28, 2011.</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620" w:type="dxa"/>
            <w:vAlign w:val="bottom"/>
            <w:tcBorders>
              <w:top w:val="single" w:sz="8" w:color="0000FF"/>
            </w:tcBorders>
            <w:gridSpan w:val="13"/>
          </w:tcPr>
          <w:p>
            <w:pPr>
              <w:spacing w:after="0" w:line="20" w:lineRule="exact"/>
              <w:rPr>
                <w:sz w:val="1"/>
                <w:szCs w:val="1"/>
                <w:color w:val="auto"/>
              </w:rPr>
            </w:pPr>
          </w:p>
        </w:tc>
        <w:tc>
          <w:tcPr>
            <w:tcW w:w="6060" w:type="dxa"/>
            <w:vAlign w:val="bottom"/>
            <w:gridSpan w:val="3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101">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0700" w:type="dxa"/>
            <w:vAlign w:val="bottom"/>
            <w:tcBorders>
              <w:right w:val="single" w:sz="8" w:color="CCEEFF"/>
            </w:tcBorders>
            <w:gridSpan w:val="53"/>
            <w:shd w:val="clear" w:color="auto" w:fill="CCEEFF"/>
          </w:tcPr>
          <w:p>
            <w:pPr>
              <w:spacing w:after="0" w:line="189" w:lineRule="exact"/>
              <w:rPr>
                <w:rFonts w:ascii="Arial" w:cs="Arial" w:eastAsia="Arial" w:hAnsi="Arial"/>
                <w:sz w:val="18"/>
                <w:szCs w:val="18"/>
                <w:color w:val="0000FF"/>
                <w:w w:val="96"/>
              </w:rPr>
            </w:pPr>
            <w:hyperlink r:id="rId101">
              <w:r>
                <w:rPr>
                  <w:rFonts w:ascii="Arial" w:cs="Arial" w:eastAsia="Arial" w:hAnsi="Arial"/>
                  <w:sz w:val="18"/>
                  <w:szCs w:val="18"/>
                  <w:color w:val="0000FF"/>
                  <w:w w:val="96"/>
                </w:rPr>
                <w:t>Apogee Enterprises, Inc. 2009 Non-Employee Director Stock Incentive Plan, as amended and restated (2014). Incorporated by reference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620" w:type="dxa"/>
            <w:vAlign w:val="bottom"/>
            <w:tcBorders>
              <w:top w:val="single" w:sz="8" w:color="0000FF"/>
            </w:tcBorders>
            <w:gridSpan w:val="50"/>
            <w:shd w:val="clear" w:color="auto" w:fill="CCEEFF"/>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Exhibit 4.4 to Registrant's Registration Statement on Form S-8 filed on July 24, 2014.</w:t>
              </w:r>
            </w:hyperlink>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980" w:type="dxa"/>
            <w:vAlign w:val="bottom"/>
            <w:tcBorders>
              <w:top w:val="single" w:sz="8" w:color="CCEEFF"/>
            </w:tcBorders>
            <w:gridSpan w:val="5"/>
            <w:shd w:val="clear" w:color="auto" w:fill="CCEEFF"/>
          </w:tcPr>
          <w:p>
            <w:pPr>
              <w:spacing w:after="0" w:line="20" w:lineRule="exact"/>
              <w:rPr>
                <w:sz w:val="1"/>
                <w:szCs w:val="1"/>
                <w:color w:val="auto"/>
              </w:rPr>
            </w:pPr>
          </w:p>
        </w:tc>
        <w:tc>
          <w:tcPr>
            <w:tcW w:w="6160" w:type="dxa"/>
            <w:vAlign w:val="bottom"/>
            <w:tcBorders>
              <w:top w:val="single" w:sz="8" w:color="0000FF"/>
            </w:tcBorders>
            <w:gridSpan w:val="22"/>
            <w:shd w:val="clear" w:color="auto" w:fill="CCEEFF"/>
          </w:tcPr>
          <w:p>
            <w:pPr>
              <w:spacing w:after="0" w:line="20" w:lineRule="exact"/>
              <w:rPr>
                <w:sz w:val="1"/>
                <w:szCs w:val="1"/>
                <w:color w:val="auto"/>
              </w:rPr>
            </w:pPr>
          </w:p>
        </w:tc>
        <w:tc>
          <w:tcPr>
            <w:tcW w:w="4520" w:type="dxa"/>
            <w:vAlign w:val="bottom"/>
            <w:tcBorders>
              <w:top w:val="single" w:sz="8" w:color="CCEEFF"/>
              <w:right w:val="single" w:sz="8" w:color="CCEEFF"/>
            </w:tcBorders>
            <w:gridSpan w:val="30"/>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02">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10700" w:type="dxa"/>
            <w:vAlign w:val="bottom"/>
            <w:gridSpan w:val="53"/>
          </w:tcPr>
          <w:p>
            <w:pPr>
              <w:spacing w:after="0" w:line="189" w:lineRule="exact"/>
              <w:rPr>
                <w:rFonts w:ascii="Arial" w:cs="Arial" w:eastAsia="Arial" w:hAnsi="Arial"/>
                <w:sz w:val="18"/>
                <w:szCs w:val="18"/>
                <w:color w:val="0000FF"/>
                <w:w w:val="95"/>
              </w:rPr>
            </w:pPr>
            <w:hyperlink r:id="rId102">
              <w:r>
                <w:rPr>
                  <w:rFonts w:ascii="Arial" w:cs="Arial" w:eastAsia="Arial" w:hAnsi="Arial"/>
                  <w:sz w:val="18"/>
                  <w:szCs w:val="18"/>
                  <w:color w:val="0000FF"/>
                  <w:w w:val="95"/>
                </w:rPr>
                <w:t>Form of Restricted Stock Agreement under the Apogee Enterprises, Inc. 2009 Non-Employee Director Stock Incentive Plan.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6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reference to Exhibit 10.3 to Registrant's Current Report on Form 8-K filed on June 30, 2009.</w:t>
              </w:r>
            </w:hyperlink>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660" w:type="dxa"/>
            <w:vAlign w:val="bottom"/>
            <w:tcBorders>
              <w:top w:val="single" w:sz="8" w:color="0000FF"/>
            </w:tcBorders>
            <w:gridSpan w:val="23"/>
          </w:tcPr>
          <w:p>
            <w:pPr>
              <w:spacing w:after="0" w:line="20" w:lineRule="exact"/>
              <w:rPr>
                <w:sz w:val="1"/>
                <w:szCs w:val="1"/>
                <w:color w:val="auto"/>
              </w:rPr>
            </w:pPr>
          </w:p>
        </w:tc>
        <w:tc>
          <w:tcPr>
            <w:tcW w:w="4020" w:type="dxa"/>
            <w:vAlign w:val="bottom"/>
            <w:gridSpan w:val="2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103">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10700" w:type="dxa"/>
            <w:vAlign w:val="bottom"/>
            <w:tcBorders>
              <w:right w:val="single" w:sz="8" w:color="CCEEFF"/>
            </w:tcBorders>
            <w:gridSpan w:val="53"/>
            <w:shd w:val="clear" w:color="auto" w:fill="CCEEFF"/>
          </w:tcPr>
          <w:p>
            <w:pPr>
              <w:spacing w:after="0" w:line="189" w:lineRule="exact"/>
              <w:rPr>
                <w:rFonts w:ascii="Arial" w:cs="Arial" w:eastAsia="Arial" w:hAnsi="Arial"/>
                <w:sz w:val="18"/>
                <w:szCs w:val="18"/>
                <w:color w:val="0000FF"/>
                <w:w w:val="96"/>
              </w:rPr>
            </w:pPr>
            <w:hyperlink r:id="rId103">
              <w:r>
                <w:rPr>
                  <w:rFonts w:ascii="Arial" w:cs="Arial" w:eastAsia="Arial" w:hAnsi="Arial"/>
                  <w:sz w:val="18"/>
                  <w:szCs w:val="18"/>
                  <w:color w:val="0000FF"/>
                  <w:w w:val="96"/>
                </w:rPr>
                <w:t>Restricted Stock Deferral Program under the Apogee Enterprises, Inc. 2009 Non-Employee Director Stock Incentive Plan, as Amended and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bottom w:val="single" w:sz="8" w:color="CCEEFF"/>
            </w:tcBorders>
            <w:shd w:val="clear" w:color="auto" w:fill="CCEEFF"/>
          </w:tcPr>
          <w:p>
            <w:pPr>
              <w:spacing w:after="0"/>
              <w:rPr>
                <w:sz w:val="13"/>
                <w:szCs w:val="13"/>
                <w:color w:val="auto"/>
              </w:rPr>
            </w:pPr>
          </w:p>
        </w:tc>
        <w:tc>
          <w:tcPr>
            <w:tcW w:w="180" w:type="dxa"/>
            <w:vAlign w:val="bottom"/>
            <w:tcBorders>
              <w:top w:val="single" w:sz="8" w:color="0000FF"/>
              <w:bottom w:val="single" w:sz="8" w:color="CCEEFF"/>
            </w:tcBorders>
            <w:shd w:val="clear" w:color="auto" w:fill="CCEEFF"/>
          </w:tcPr>
          <w:p>
            <w:pPr>
              <w:spacing w:after="0"/>
              <w:rPr>
                <w:sz w:val="13"/>
                <w:szCs w:val="13"/>
                <w:color w:val="auto"/>
              </w:rPr>
            </w:pPr>
          </w:p>
        </w:tc>
        <w:tc>
          <w:tcPr>
            <w:tcW w:w="80" w:type="dxa"/>
            <w:vAlign w:val="bottom"/>
            <w:tcBorders>
              <w:top w:val="single" w:sz="8" w:color="0000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0280" w:type="dxa"/>
            <w:vAlign w:val="bottom"/>
            <w:tcBorders>
              <w:top w:val="single" w:sz="8" w:color="0000FF"/>
              <w:bottom w:val="single" w:sz="8" w:color="0000FF"/>
            </w:tcBorders>
            <w:gridSpan w:val="33"/>
            <w:shd w:val="clear" w:color="auto" w:fill="CCEEFF"/>
          </w:tcPr>
          <w:p>
            <w:pPr>
              <w:spacing w:after="0" w:line="156" w:lineRule="exact"/>
              <w:rPr>
                <w:rFonts w:ascii="Arial" w:cs="Arial" w:eastAsia="Arial" w:hAnsi="Arial"/>
                <w:sz w:val="18"/>
                <w:szCs w:val="18"/>
                <w:color w:val="0000FF"/>
                <w:w w:val="93"/>
              </w:rPr>
            </w:pPr>
            <w:hyperlink r:id="rId103">
              <w:r>
                <w:rPr>
                  <w:rFonts w:ascii="Arial" w:cs="Arial" w:eastAsia="Arial" w:hAnsi="Arial"/>
                  <w:sz w:val="18"/>
                  <w:szCs w:val="18"/>
                  <w:color w:val="0000FF"/>
                  <w:w w:val="93"/>
                </w:rPr>
                <w:t>Restated (2014) (2015 Statement). Incorporated by reference to Exhibit 10.1 to Registrant's Current Report on Form 8-K filed on June 30,</w:t>
              </w:r>
            </w:hyperlink>
          </w:p>
        </w:tc>
        <w:tc>
          <w:tcPr>
            <w:tcW w:w="12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140" w:type="dxa"/>
            <w:vAlign w:val="bottom"/>
            <w:tcBorders>
              <w:top w:val="single" w:sz="8" w:color="CCEEFF"/>
              <w:bottom w:val="single" w:sz="8" w:color="CCEEFF"/>
              <w:right w:val="single" w:sz="8" w:color="CCEEFF"/>
            </w:tcBorders>
            <w:gridSpan w:val="6"/>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700" w:type="dxa"/>
            <w:vAlign w:val="bottom"/>
            <w:tcBorders>
              <w:right w:val="single" w:sz="8" w:color="CCEEFF"/>
            </w:tcBorders>
            <w:gridSpan w:val="58"/>
          </w:tcPr>
          <w:p>
            <w:pPr>
              <w:spacing w:after="0"/>
              <w:rPr>
                <w:rFonts w:ascii="Arial" w:cs="Arial" w:eastAsia="Arial" w:hAnsi="Arial"/>
                <w:sz w:val="18"/>
                <w:szCs w:val="18"/>
                <w:color w:val="0000FF"/>
              </w:rPr>
            </w:pPr>
            <w:hyperlink r:id="rId103">
              <w:r>
                <w:rPr>
                  <w:rFonts w:ascii="Arial" w:cs="Arial" w:eastAsia="Arial" w:hAnsi="Arial"/>
                  <w:sz w:val="18"/>
                  <w:szCs w:val="18"/>
                  <w:color w:val="0000FF"/>
                </w:rPr>
                <w:t>2015.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980" w:type="dxa"/>
            <w:vAlign w:val="bottom"/>
            <w:tcBorders>
              <w:top w:val="single" w:sz="8" w:color="CCEEFF"/>
            </w:tcBorders>
            <w:gridSpan w:val="5"/>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0300" w:type="dxa"/>
            <w:vAlign w:val="bottom"/>
            <w:tcBorders>
              <w:top w:val="single" w:sz="8" w:color="CCEEFF"/>
              <w:right w:val="single" w:sz="8" w:color="CCEEFF"/>
            </w:tcBorders>
            <w:gridSpan w:val="51"/>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04">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10700" w:type="dxa"/>
            <w:vAlign w:val="bottom"/>
            <w:gridSpan w:val="53"/>
          </w:tcPr>
          <w:p>
            <w:pPr>
              <w:spacing w:after="0" w:line="189" w:lineRule="exact"/>
              <w:rPr>
                <w:rFonts w:ascii="Arial" w:cs="Arial" w:eastAsia="Arial" w:hAnsi="Arial"/>
                <w:sz w:val="18"/>
                <w:szCs w:val="18"/>
                <w:color w:val="0000FF"/>
                <w:w w:val="97"/>
              </w:rPr>
            </w:pPr>
            <w:hyperlink r:id="rId104">
              <w:r>
                <w:rPr>
                  <w:rFonts w:ascii="Arial" w:cs="Arial" w:eastAsia="Arial" w:hAnsi="Arial"/>
                  <w:sz w:val="18"/>
                  <w:szCs w:val="18"/>
                  <w:color w:val="0000FF"/>
                  <w:w w:val="97"/>
                </w:rPr>
                <w:t>Form of Deferred Restricted Stock Unit Agreement under the Apogee Enterprises, Inc. 2009 Non-Employee Director Stock Incentive Plan,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20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as Amended and Restated (2014) (2015 Statement). Incorporated by reference to Exhibit 10.2 to Registrant's Current Report on Form 8-K</w:t>
              </w:r>
            </w:hyperlink>
          </w:p>
        </w:tc>
        <w:tc>
          <w:tcPr>
            <w:tcW w:w="60" w:type="dxa"/>
            <w:vAlign w:val="bottom"/>
            <w:tcBorders>
              <w:bottom w:val="single" w:sz="8" w:color="0000FF"/>
            </w:tcBorders>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140" w:type="dxa"/>
            <w:vAlign w:val="bottom"/>
            <w:gridSpan w:val="7"/>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80" w:type="dxa"/>
            <w:vAlign w:val="bottom"/>
            <w:gridSpan w:val="33"/>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filed on June 30, 2015.</w:t>
              </w:r>
            </w:hyperlink>
          </w:p>
        </w:tc>
        <w:tc>
          <w:tcPr>
            <w:tcW w:w="140" w:type="dxa"/>
            <w:vAlign w:val="bottom"/>
            <w:gridSpan w:val="7"/>
          </w:tcPr>
          <w:p>
            <w:pPr>
              <w:spacing w:after="0"/>
              <w:rPr>
                <w:sz w:val="13"/>
                <w:szCs w:val="13"/>
                <w:color w:val="auto"/>
              </w:rPr>
            </w:pPr>
          </w:p>
        </w:tc>
        <w:tc>
          <w:tcPr>
            <w:tcW w:w="140" w:type="dxa"/>
            <w:vAlign w:val="bottom"/>
            <w:gridSpan w:val="7"/>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640" w:type="dxa"/>
            <w:vAlign w:val="bottom"/>
            <w:tcBorders>
              <w:top w:val="single" w:sz="8" w:color="0000FF"/>
            </w:tcBorders>
            <w:gridSpan w:val="3"/>
          </w:tcPr>
          <w:p>
            <w:pPr>
              <w:spacing w:after="0" w:line="20" w:lineRule="exact"/>
              <w:rPr>
                <w:sz w:val="1"/>
                <w:szCs w:val="1"/>
                <w:color w:val="auto"/>
              </w:rPr>
            </w:pPr>
          </w:p>
        </w:tc>
        <w:tc>
          <w:tcPr>
            <w:tcW w:w="9040" w:type="dxa"/>
            <w:vAlign w:val="bottom"/>
            <w:gridSpan w:val="4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105">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10700" w:type="dxa"/>
            <w:vAlign w:val="bottom"/>
            <w:tcBorders>
              <w:right w:val="single" w:sz="8" w:color="CCEEFF"/>
            </w:tcBorders>
            <w:gridSpan w:val="53"/>
            <w:shd w:val="clear" w:color="auto" w:fill="CCEEFF"/>
          </w:tcPr>
          <w:p>
            <w:pPr>
              <w:spacing w:after="0" w:line="189" w:lineRule="exact"/>
              <w:rPr>
                <w:rFonts w:ascii="Arial" w:cs="Arial" w:eastAsia="Arial" w:hAnsi="Arial"/>
                <w:sz w:val="18"/>
                <w:szCs w:val="18"/>
                <w:color w:val="0000FF"/>
                <w:w w:val="98"/>
              </w:rPr>
            </w:pPr>
            <w:hyperlink r:id="rId105">
              <w:r>
                <w:rPr>
                  <w:rFonts w:ascii="Arial" w:cs="Arial" w:eastAsia="Arial" w:hAnsi="Arial"/>
                  <w:sz w:val="18"/>
                  <w:szCs w:val="18"/>
                  <w:color w:val="0000FF"/>
                  <w:w w:val="98"/>
                </w:rPr>
                <w:t>Form of Restricted Stock Agreement under the Apogee Enterprises, Inc. 2009 Stock Incentive Plan for awards made on or after April 26,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680" w:type="dxa"/>
            <w:vAlign w:val="bottom"/>
            <w:tcBorders>
              <w:top w:val="single" w:sz="8" w:color="0000FF"/>
              <w:right w:val="single" w:sz="8" w:color="CCEEFF"/>
            </w:tcBorders>
            <w:gridSpan w:val="52"/>
            <w:shd w:val="clear" w:color="auto" w:fill="CCEEFF"/>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2011. Incorporated by reference to Exhibit 10.3 to Registrant's Current Report on Form 8-K filed on May 2, 2011.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980" w:type="dxa"/>
            <w:vAlign w:val="bottom"/>
            <w:tcBorders>
              <w:top w:val="single" w:sz="8" w:color="CCEEFF"/>
            </w:tcBorders>
            <w:gridSpan w:val="5"/>
            <w:shd w:val="clear" w:color="auto" w:fill="CCEEFF"/>
          </w:tcPr>
          <w:p>
            <w:pPr>
              <w:spacing w:after="0" w:line="20" w:lineRule="exact"/>
              <w:rPr>
                <w:sz w:val="1"/>
                <w:szCs w:val="1"/>
                <w:color w:val="auto"/>
              </w:rPr>
            </w:pPr>
          </w:p>
        </w:tc>
        <w:tc>
          <w:tcPr>
            <w:tcW w:w="8180" w:type="dxa"/>
            <w:vAlign w:val="bottom"/>
            <w:tcBorders>
              <w:top w:val="single" w:sz="8" w:color="0000FF"/>
            </w:tcBorders>
            <w:gridSpan w:val="25"/>
            <w:shd w:val="clear" w:color="auto" w:fill="CCEEFF"/>
          </w:tcPr>
          <w:p>
            <w:pPr>
              <w:spacing w:after="0" w:line="20" w:lineRule="exact"/>
              <w:rPr>
                <w:sz w:val="1"/>
                <w:szCs w:val="1"/>
                <w:color w:val="auto"/>
              </w:rPr>
            </w:pPr>
          </w:p>
        </w:tc>
        <w:tc>
          <w:tcPr>
            <w:tcW w:w="2500" w:type="dxa"/>
            <w:vAlign w:val="bottom"/>
            <w:tcBorders>
              <w:top w:val="single" w:sz="8" w:color="CCEEFF"/>
              <w:right w:val="single" w:sz="8" w:color="CCEEFF"/>
            </w:tcBorders>
            <w:gridSpan w:val="27"/>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06">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10700" w:type="dxa"/>
            <w:vAlign w:val="bottom"/>
            <w:gridSpan w:val="53"/>
          </w:tcPr>
          <w:p>
            <w:pPr>
              <w:spacing w:after="0" w:line="189" w:lineRule="exact"/>
              <w:rPr>
                <w:rFonts w:ascii="Arial" w:cs="Arial" w:eastAsia="Arial" w:hAnsi="Arial"/>
                <w:sz w:val="18"/>
                <w:szCs w:val="18"/>
                <w:color w:val="0000FF"/>
              </w:rPr>
            </w:pPr>
            <w:hyperlink r:id="rId106">
              <w:r>
                <w:rPr>
                  <w:rFonts w:ascii="Arial" w:cs="Arial" w:eastAsia="Arial" w:hAnsi="Arial"/>
                  <w:sz w:val="18"/>
                  <w:szCs w:val="18"/>
                  <w:color w:val="0000FF"/>
                </w:rPr>
                <w:t>Apogee Enterprises, Inc. 2011 Deferred Compensation Plan, effective January 1, 2011. Incorporated by reference to Exhibit 10.1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Registrant's Current Report on Form 8-K filed on October 12, 2010.</w:t>
              </w:r>
            </w:hyperlink>
          </w:p>
        </w:tc>
        <w:tc>
          <w:tcPr>
            <w:tcW w:w="140" w:type="dxa"/>
            <w:vAlign w:val="bottom"/>
            <w:gridSpan w:val="7"/>
          </w:tcPr>
          <w:p>
            <w:pPr>
              <w:spacing w:after="0"/>
              <w:rPr>
                <w:sz w:val="13"/>
                <w:szCs w:val="13"/>
                <w:color w:val="auto"/>
              </w:rPr>
            </w:pPr>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880" w:type="dxa"/>
            <w:vAlign w:val="bottom"/>
            <w:tcBorders>
              <w:top w:val="single" w:sz="8" w:color="0000FF"/>
            </w:tcBorders>
            <w:gridSpan w:val="16"/>
          </w:tcPr>
          <w:p>
            <w:pPr>
              <w:spacing w:after="0" w:line="20" w:lineRule="exact"/>
              <w:rPr>
                <w:sz w:val="1"/>
                <w:szCs w:val="1"/>
                <w:color w:val="auto"/>
              </w:rPr>
            </w:pPr>
          </w:p>
        </w:tc>
        <w:tc>
          <w:tcPr>
            <w:tcW w:w="5800" w:type="dxa"/>
            <w:vAlign w:val="bottom"/>
            <w:gridSpan w:val="36"/>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107">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10700" w:type="dxa"/>
            <w:vAlign w:val="bottom"/>
            <w:tcBorders>
              <w:right w:val="single" w:sz="8" w:color="CCEEFF"/>
            </w:tcBorders>
            <w:gridSpan w:val="53"/>
            <w:shd w:val="clear" w:color="auto" w:fill="CCEEFF"/>
          </w:tcPr>
          <w:p>
            <w:pPr>
              <w:spacing w:after="0" w:line="189" w:lineRule="exact"/>
              <w:rPr>
                <w:rFonts w:ascii="Arial" w:cs="Arial" w:eastAsia="Arial" w:hAnsi="Arial"/>
                <w:sz w:val="18"/>
                <w:szCs w:val="18"/>
                <w:color w:val="0000FF"/>
              </w:rPr>
            </w:pPr>
            <w:hyperlink r:id="rId107">
              <w:r>
                <w:rPr>
                  <w:rFonts w:ascii="Arial" w:cs="Arial" w:eastAsia="Arial" w:hAnsi="Arial"/>
                  <w:sz w:val="18"/>
                  <w:szCs w:val="18"/>
                  <w:color w:val="0000FF"/>
                </w:rPr>
                <w:t>First Amendment to the Apogee Enterprises, Inc. 2011 Deferred Compensation Plan. Incorporated by reference to Exhibit 10.3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540" w:type="dxa"/>
            <w:vAlign w:val="bottom"/>
            <w:tcBorders>
              <w:top w:val="single" w:sz="8" w:color="0000FF"/>
            </w:tcBorders>
            <w:gridSpan w:val="46"/>
            <w:shd w:val="clear" w:color="auto" w:fill="CCEEFF"/>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Registrant's Current Report on Form 8-K filed July 1, 2014.</w:t>
              </w:r>
            </w:hyperlink>
          </w:p>
        </w:tc>
        <w:tc>
          <w:tcPr>
            <w:tcW w:w="140" w:type="dxa"/>
            <w:vAlign w:val="bottom"/>
            <w:tcBorders>
              <w:top w:val="single" w:sz="8" w:color="CCEEFF"/>
              <w:right w:val="single" w:sz="8" w:color="CCEEFF"/>
            </w:tcBorders>
            <w:gridSpan w:val="6"/>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980" w:type="dxa"/>
            <w:vAlign w:val="bottom"/>
            <w:tcBorders>
              <w:top w:val="single" w:sz="8" w:color="CCEEFF"/>
            </w:tcBorders>
            <w:gridSpan w:val="5"/>
            <w:shd w:val="clear" w:color="auto" w:fill="CCEEFF"/>
          </w:tcPr>
          <w:p>
            <w:pPr>
              <w:spacing w:after="0" w:line="20" w:lineRule="exact"/>
              <w:rPr>
                <w:sz w:val="1"/>
                <w:szCs w:val="1"/>
                <w:color w:val="auto"/>
              </w:rPr>
            </w:pPr>
          </w:p>
        </w:tc>
        <w:tc>
          <w:tcPr>
            <w:tcW w:w="4280" w:type="dxa"/>
            <w:vAlign w:val="bottom"/>
            <w:tcBorders>
              <w:top w:val="single" w:sz="8" w:color="0000FF"/>
            </w:tcBorders>
            <w:gridSpan w:val="12"/>
            <w:shd w:val="clear" w:color="auto" w:fill="CCEEFF"/>
          </w:tcPr>
          <w:p>
            <w:pPr>
              <w:spacing w:after="0" w:line="20" w:lineRule="exact"/>
              <w:rPr>
                <w:sz w:val="1"/>
                <w:szCs w:val="1"/>
                <w:color w:val="auto"/>
              </w:rPr>
            </w:pPr>
          </w:p>
        </w:tc>
        <w:tc>
          <w:tcPr>
            <w:tcW w:w="6400" w:type="dxa"/>
            <w:vAlign w:val="bottom"/>
            <w:tcBorders>
              <w:top w:val="single" w:sz="8" w:color="CCEEFF"/>
              <w:right w:val="single" w:sz="8" w:color="CCEEFF"/>
            </w:tcBorders>
            <w:gridSpan w:val="40"/>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08">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10700" w:type="dxa"/>
            <w:vAlign w:val="bottom"/>
            <w:gridSpan w:val="53"/>
          </w:tcPr>
          <w:p>
            <w:pPr>
              <w:spacing w:after="0" w:line="189" w:lineRule="exact"/>
              <w:rPr>
                <w:rFonts w:ascii="Arial" w:cs="Arial" w:eastAsia="Arial" w:hAnsi="Arial"/>
                <w:sz w:val="18"/>
                <w:szCs w:val="18"/>
                <w:color w:val="0000FF"/>
                <w:w w:val="96"/>
              </w:rPr>
            </w:pPr>
            <w:hyperlink r:id="rId108">
              <w:r>
                <w:rPr>
                  <w:rFonts w:ascii="Arial" w:cs="Arial" w:eastAsia="Arial" w:hAnsi="Arial"/>
                  <w:sz w:val="18"/>
                  <w:szCs w:val="18"/>
                  <w:color w:val="0000FF"/>
                  <w:w w:val="96"/>
                </w:rPr>
                <w:t>Second Amendment to the Apogee Enterprises, Inc. 2011 Deferred Compensation Plan. Incorporated herein by reference to Exhibit 10.2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Registrant’s Current Report on Form 8-K filed on June 29, 2016.</w:t>
              </w:r>
            </w:hyperlink>
          </w:p>
        </w:tc>
        <w:tc>
          <w:tcPr>
            <w:tcW w:w="5760" w:type="dxa"/>
            <w:vAlign w:val="bottom"/>
            <w:tcBorders>
              <w:top w:val="single" w:sz="8" w:color="0000FF"/>
            </w:tcBorders>
            <w:gridSpan w:val="26"/>
          </w:tcPr>
          <w:p>
            <w:pPr>
              <w:spacing w:after="0"/>
              <w:rPr>
                <w:sz w:val="13"/>
                <w:szCs w:val="13"/>
                <w:color w:val="auto"/>
              </w:rPr>
            </w:pPr>
          </w:p>
        </w:tc>
        <w:tc>
          <w:tcPr>
            <w:tcW w:w="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00" w:type="dxa"/>
            <w:vAlign w:val="bottom"/>
            <w:gridSpan w:val="17"/>
          </w:tcPr>
          <w:p>
            <w:pPr>
              <w:ind w:left="4540"/>
              <w:spacing w:after="0"/>
              <w:rPr>
                <w:sz w:val="20"/>
                <w:szCs w:val="20"/>
                <w:color w:val="auto"/>
              </w:rPr>
            </w:pPr>
            <w:r>
              <w:rPr>
                <w:rFonts w:ascii="Arial" w:cs="Arial" w:eastAsia="Arial" w:hAnsi="Arial"/>
                <w:sz w:val="18"/>
                <w:szCs w:val="18"/>
                <w:color w:val="auto"/>
              </w:rPr>
              <w:t>62</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720" w:type="dxa"/>
            <w:vAlign w:val="bottom"/>
            <w:tcBorders>
              <w:bottom w:val="single" w:sz="8" w:color="9A9A9A"/>
            </w:tcBorders>
            <w:gridSpan w:val="59"/>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60" w:type="dxa"/>
            <w:vAlign w:val="bottom"/>
            <w:gridSpan w:val="4"/>
            <w:shd w:val="clear" w:color="auto" w:fill="CCEEFF"/>
          </w:tcPr>
          <w:p>
            <w:pPr>
              <w:spacing w:after="0"/>
              <w:rPr>
                <w:rFonts w:ascii="Arial" w:cs="Arial" w:eastAsia="Arial" w:hAnsi="Arial"/>
                <w:sz w:val="18"/>
                <w:szCs w:val="18"/>
                <w:color w:val="0000FF"/>
              </w:rPr>
            </w:pPr>
            <w:hyperlink r:id="rId111">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10640" w:type="dxa"/>
            <w:vAlign w:val="bottom"/>
            <w:tcBorders>
              <w:right w:val="single" w:sz="8" w:color="CCEEFF"/>
            </w:tcBorders>
            <w:gridSpan w:val="47"/>
            <w:shd w:val="clear" w:color="auto" w:fill="CCEEFF"/>
          </w:tcPr>
          <w:p>
            <w:pPr>
              <w:spacing w:after="0"/>
              <w:rPr>
                <w:rFonts w:ascii="Arial" w:cs="Arial" w:eastAsia="Arial" w:hAnsi="Arial"/>
                <w:sz w:val="18"/>
                <w:szCs w:val="18"/>
                <w:color w:val="0000FF"/>
                <w:w w:val="96"/>
              </w:rPr>
            </w:pPr>
            <w:hyperlink r:id="rId111">
              <w:r>
                <w:rPr>
                  <w:rFonts w:ascii="Arial" w:cs="Arial" w:eastAsia="Arial" w:hAnsi="Arial"/>
                  <w:sz w:val="18"/>
                  <w:szCs w:val="18"/>
                  <w:color w:val="0000FF"/>
                  <w:w w:val="96"/>
                </w:rPr>
                <w:t>Third Amendment to the Apogee Enterprises, Inc. 2011 Deferred Compensation Plan, dated October 5, 2017. Incorporated by reference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380" w:type="dxa"/>
            <w:vAlign w:val="bottom"/>
            <w:tcBorders>
              <w:top w:val="single" w:sz="8" w:color="0000FF"/>
            </w:tcBorders>
            <w:gridSpan w:val="35"/>
            <w:shd w:val="clear" w:color="auto" w:fill="CCEEFF"/>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Exhibit 10.1 to the Registrant's Current Report on Form 8-K filed on October 10, 2017.</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12">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10640" w:type="dxa"/>
            <w:vAlign w:val="bottom"/>
            <w:gridSpan w:val="47"/>
          </w:tcPr>
          <w:p>
            <w:pPr>
              <w:spacing w:after="0" w:line="189" w:lineRule="exact"/>
              <w:rPr>
                <w:rFonts w:ascii="Arial" w:cs="Arial" w:eastAsia="Arial" w:hAnsi="Arial"/>
                <w:sz w:val="18"/>
                <w:szCs w:val="18"/>
                <w:color w:val="0000FF"/>
                <w:w w:val="96"/>
              </w:rPr>
            </w:pPr>
            <w:hyperlink r:id="rId112">
              <w:r>
                <w:rPr>
                  <w:rFonts w:ascii="Arial" w:cs="Arial" w:eastAsia="Arial" w:hAnsi="Arial"/>
                  <w:sz w:val="18"/>
                  <w:szCs w:val="18"/>
                  <w:color w:val="0000FF"/>
                  <w:w w:val="96"/>
                </w:rPr>
                <w:t>Fourth Amendment to the Apogee Enterprises, Inc. 2011 Deferred Compensation Plan, dated June 28, 2018. Incorporated by reference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1046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Exhibit 10.2 to Registrant's Current Report on Form 8-K filed on July 3,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500" w:type="dxa"/>
            <w:vAlign w:val="bottom"/>
            <w:gridSpan w:val="3"/>
            <w:shd w:val="clear" w:color="auto" w:fill="CCEEFF"/>
          </w:tcPr>
          <w:p>
            <w:pPr>
              <w:spacing w:after="0" w:line="189" w:lineRule="exact"/>
              <w:rPr>
                <w:rFonts w:ascii="Arial" w:cs="Arial" w:eastAsia="Arial" w:hAnsi="Arial"/>
                <w:sz w:val="18"/>
                <w:szCs w:val="18"/>
                <w:color w:val="0000FF"/>
              </w:rPr>
            </w:pPr>
            <w:hyperlink r:id="rId113">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460" w:type="dxa"/>
            <w:vAlign w:val="bottom"/>
            <w:shd w:val="clear" w:color="auto" w:fill="CCEEFF"/>
          </w:tcPr>
          <w:p>
            <w:pPr>
              <w:spacing w:after="0"/>
              <w:rPr>
                <w:sz w:val="16"/>
                <w:szCs w:val="16"/>
                <w:color w:val="auto"/>
              </w:rPr>
            </w:pPr>
          </w:p>
        </w:tc>
        <w:tc>
          <w:tcPr>
            <w:tcW w:w="1064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w w:val="95"/>
              </w:rPr>
            </w:pPr>
            <w:hyperlink r:id="rId113">
              <w:r>
                <w:rPr>
                  <w:rFonts w:ascii="Arial" w:cs="Arial" w:eastAsia="Arial" w:hAnsi="Arial"/>
                  <w:sz w:val="18"/>
                  <w:szCs w:val="18"/>
                  <w:color w:val="0000FF"/>
                  <w:w w:val="95"/>
                </w:rPr>
                <w:t>Stock Purchase Agreement, dated as of April 28, 2017, by and among Apogee Enterprises, Inc., EFCO Corporation, and Pella Corporation.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400" w:type="dxa"/>
            <w:vAlign w:val="bottom"/>
            <w:tcBorders>
              <w:top w:val="single" w:sz="8" w:color="0000FF"/>
            </w:tcBorders>
            <w:gridSpan w:val="36"/>
            <w:shd w:val="clear" w:color="auto" w:fill="CCEEFF"/>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Incorporated by reference to Exhibit 2.1 to the Registrant's Current Report on Form 8-K filed on May 2, 2017.</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14">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10640" w:type="dxa"/>
            <w:vAlign w:val="bottom"/>
            <w:gridSpan w:val="47"/>
          </w:tcPr>
          <w:p>
            <w:pPr>
              <w:spacing w:after="0" w:line="189" w:lineRule="exact"/>
              <w:rPr>
                <w:rFonts w:ascii="Arial" w:cs="Arial" w:eastAsia="Arial" w:hAnsi="Arial"/>
                <w:sz w:val="18"/>
                <w:szCs w:val="18"/>
                <w:color w:val="0000FF"/>
                <w:w w:val="95"/>
              </w:rPr>
            </w:pPr>
            <w:hyperlink r:id="rId114">
              <w:r>
                <w:rPr>
                  <w:rFonts w:ascii="Arial" w:cs="Arial" w:eastAsia="Arial" w:hAnsi="Arial"/>
                  <w:sz w:val="18"/>
                  <w:szCs w:val="18"/>
                  <w:color w:val="0000FF"/>
                  <w:w w:val="95"/>
                </w:rPr>
                <w:t>Form of Change-in-Control Severance Agreement. Incorporated herein by reference to Exhibit 10.38 to Registrant's Annual Report on Form</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1044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10-K filed on April 30,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115">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1064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rPr>
            </w:pPr>
            <w:hyperlink r:id="rId115">
              <w:r>
                <w:rPr>
                  <w:rFonts w:ascii="Arial" w:cs="Arial" w:eastAsia="Arial" w:hAnsi="Arial"/>
                  <w:sz w:val="18"/>
                  <w:szCs w:val="18"/>
                  <w:color w:val="0000FF"/>
                </w:rPr>
                <w:t>Apogee Enterprises, Inc. 401(k) Retirement Plan, effective January 1, 2015. Incorporated by reference to Exhibit 4.4 to Registrant's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600" w:type="dxa"/>
            <w:vAlign w:val="bottom"/>
            <w:tcBorders>
              <w:top w:val="single" w:sz="8" w:color="0000FF"/>
            </w:tcBorders>
            <w:gridSpan w:val="46"/>
            <w:shd w:val="clear" w:color="auto" w:fill="CCEEFF"/>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Registration Statement on Form S-8 filed October 9, 2015.</w:t>
              </w:r>
            </w:hyperlink>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16">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10640" w:type="dxa"/>
            <w:vAlign w:val="bottom"/>
            <w:gridSpan w:val="47"/>
          </w:tcPr>
          <w:p>
            <w:pPr>
              <w:spacing w:after="0" w:line="189" w:lineRule="exact"/>
              <w:rPr>
                <w:rFonts w:ascii="Arial" w:cs="Arial" w:eastAsia="Arial" w:hAnsi="Arial"/>
                <w:sz w:val="18"/>
                <w:szCs w:val="18"/>
                <w:color w:val="0000FF"/>
                <w:w w:val="95"/>
              </w:rPr>
            </w:pPr>
            <w:hyperlink r:id="rId116">
              <w:r>
                <w:rPr>
                  <w:rFonts w:ascii="Arial" w:cs="Arial" w:eastAsia="Arial" w:hAnsi="Arial"/>
                  <w:sz w:val="18"/>
                  <w:szCs w:val="18"/>
                  <w:color w:val="0000FF"/>
                  <w:w w:val="95"/>
                </w:rPr>
                <w:t>Apogee Enterprises, Inc. 2019 Stock Incentive Plan. Incorporated by reference to Exhibit 4.5 to Registrant's Registration Statement on Form</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10640" w:type="dxa"/>
            <w:vAlign w:val="bottom"/>
            <w:tcBorders>
              <w:top w:val="single" w:sz="8" w:color="0000FF"/>
            </w:tcBorders>
            <w:gridSpan w:val="47"/>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S-8 filed on February 12,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117">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1064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w w:val="99"/>
              </w:rPr>
            </w:pPr>
            <w:hyperlink r:id="rId117">
              <w:r>
                <w:rPr>
                  <w:rFonts w:ascii="Arial" w:cs="Arial" w:eastAsia="Arial" w:hAnsi="Arial"/>
                  <w:sz w:val="18"/>
                  <w:szCs w:val="18"/>
                  <w:color w:val="0000FF"/>
                  <w:w w:val="99"/>
                </w:rPr>
                <w:t>Form of Restricted Stock Agreement under the Apogee Enterprises, Inc. 2019 Stock Plan. Incorporated by reference to Exhibit 10.1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420" w:type="dxa"/>
            <w:vAlign w:val="bottom"/>
            <w:tcBorders>
              <w:top w:val="single" w:sz="8" w:color="0000FF"/>
            </w:tcBorders>
            <w:gridSpan w:val="37"/>
            <w:shd w:val="clear" w:color="auto" w:fill="CCEEFF"/>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Registrant’s Current Report on Form 8-K filed on January 16, 2020.</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18">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10640" w:type="dxa"/>
            <w:vAlign w:val="bottom"/>
            <w:gridSpan w:val="47"/>
          </w:tcPr>
          <w:p>
            <w:pPr>
              <w:spacing w:after="0" w:line="189" w:lineRule="exact"/>
              <w:rPr>
                <w:rFonts w:ascii="Arial" w:cs="Arial" w:eastAsia="Arial" w:hAnsi="Arial"/>
                <w:sz w:val="18"/>
                <w:szCs w:val="18"/>
                <w:color w:val="0000FF"/>
                <w:w w:val="95"/>
              </w:rPr>
            </w:pPr>
            <w:hyperlink r:id="rId118">
              <w:r>
                <w:rPr>
                  <w:rFonts w:ascii="Arial" w:cs="Arial" w:eastAsia="Arial" w:hAnsi="Arial"/>
                  <w:sz w:val="18"/>
                  <w:szCs w:val="18"/>
                  <w:color w:val="0000FF"/>
                  <w:w w:val="95"/>
                </w:rPr>
                <w:t>Form of Stock Option Agreement under the Apogee Enterprises, Inc. 2019 Stock Incentive Plan. Incorporated by reference to Exhibit 10.1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103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Registrant's Current Report on Form 8-K filed on July 7, 2020.</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119">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1064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w w:val="98"/>
              </w:rPr>
            </w:pPr>
            <w:hyperlink r:id="rId119">
              <w:r>
                <w:rPr>
                  <w:rFonts w:ascii="Arial" w:cs="Arial" w:eastAsia="Arial" w:hAnsi="Arial"/>
                  <w:sz w:val="18"/>
                  <w:szCs w:val="18"/>
                  <w:color w:val="0000FF"/>
                  <w:w w:val="98"/>
                </w:rPr>
                <w:t>Apogee Enterprises, Inc. 2019 Non-Employee Director Stock Plan. Incorporated by reference to Exhibit 4.6 to Registrant's Registration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22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Statement on Form S-8 filed on February 12,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20">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10640" w:type="dxa"/>
            <w:vAlign w:val="bottom"/>
            <w:gridSpan w:val="47"/>
          </w:tcPr>
          <w:p>
            <w:pPr>
              <w:spacing w:after="0" w:line="189" w:lineRule="exact"/>
              <w:rPr>
                <w:rFonts w:ascii="Arial" w:cs="Arial" w:eastAsia="Arial" w:hAnsi="Arial"/>
                <w:sz w:val="18"/>
                <w:szCs w:val="18"/>
                <w:color w:val="0000FF"/>
                <w:w w:val="94"/>
              </w:rPr>
            </w:pPr>
            <w:hyperlink r:id="rId121">
              <w:r>
                <w:rPr>
                  <w:rFonts w:ascii="Arial" w:cs="Arial" w:eastAsia="Arial" w:hAnsi="Arial"/>
                  <w:sz w:val="18"/>
                  <w:szCs w:val="18"/>
                  <w:color w:val="0000FF"/>
                  <w:w w:val="94"/>
                </w:rPr>
                <w:t>Form of Restricted Stock Agreement under the Apogee Enterprises, Inc. 2019 Non-Employee Director Stock Plan. Incorporated by reference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to Exhibit 10.2 to Registrant’s Current Report on Form 8-K filed on January 16, 2020.</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122">
              <w:r>
                <w:rPr>
                  <w:rFonts w:ascii="Arial" w:cs="Arial" w:eastAsia="Arial" w:hAnsi="Arial"/>
                  <w:sz w:val="18"/>
                  <w:szCs w:val="18"/>
                  <w:color w:val="0000FF"/>
                </w:rPr>
                <w:t>10.</w:t>
              </w:r>
              <w:r>
                <w:rPr>
                  <w:rFonts w:ascii="Arial" w:cs="Arial" w:eastAsia="Arial" w:hAnsi="Arial"/>
                  <w:sz w:val="18"/>
                  <w:szCs w:val="18"/>
                  <w:u w:val="single" w:color="auto"/>
                  <w:color w:val="0000FF"/>
                </w:rPr>
                <w:t>34*</w:t>
              </w:r>
            </w:hyperlink>
          </w:p>
        </w:tc>
        <w:tc>
          <w:tcPr>
            <w:tcW w:w="1064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w w:val="96"/>
              </w:rPr>
            </w:pPr>
            <w:hyperlink r:id="rId122">
              <w:r>
                <w:rPr>
                  <w:rFonts w:ascii="Arial" w:cs="Arial" w:eastAsia="Arial" w:hAnsi="Arial"/>
                  <w:sz w:val="18"/>
                  <w:szCs w:val="18"/>
                  <w:color w:val="0000FF"/>
                  <w:w w:val="96"/>
                </w:rPr>
                <w:t>Form of Deferred Restricted Stock Unit Agreement under the Apogee Enterprises, Inc. 2019 Non-Employee Director Stock Incentive Plan.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22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Incorporated by reference to Exhibit 10.3 to Registrant’s Current Report on Form 8-K filed on January 16,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23">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10640" w:type="dxa"/>
            <w:vAlign w:val="bottom"/>
            <w:gridSpan w:val="47"/>
          </w:tcPr>
          <w:p>
            <w:pPr>
              <w:spacing w:after="0" w:line="189" w:lineRule="exact"/>
              <w:rPr>
                <w:rFonts w:ascii="Arial" w:cs="Arial" w:eastAsia="Arial" w:hAnsi="Arial"/>
                <w:sz w:val="18"/>
                <w:szCs w:val="18"/>
                <w:color w:val="0000FF"/>
                <w:w w:val="96"/>
              </w:rPr>
            </w:pPr>
            <w:hyperlink r:id="rId123">
              <w:r>
                <w:rPr>
                  <w:rFonts w:ascii="Arial" w:cs="Arial" w:eastAsia="Arial" w:hAnsi="Arial"/>
                  <w:sz w:val="18"/>
                  <w:szCs w:val="18"/>
                  <w:color w:val="0000FF"/>
                  <w:w w:val="96"/>
                </w:rPr>
                <w:t>Restricted Stock Deferral Program Under the Apogee Enterprises, Inc. 2019 Non-Employee Director Stock Incentive Plan.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reference to Exhibit 10.1 to Registrant's Current Report on Form 8-K filed on April 29,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124">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1064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w w:val="98"/>
              </w:rPr>
            </w:pPr>
            <w:hyperlink r:id="rId124">
              <w:r>
                <w:rPr>
                  <w:rFonts w:ascii="Arial" w:cs="Arial" w:eastAsia="Arial" w:hAnsi="Arial"/>
                  <w:sz w:val="18"/>
                  <w:szCs w:val="18"/>
                  <w:color w:val="0000FF"/>
                  <w:w w:val="98"/>
                </w:rPr>
                <w:t>Form of Restricted Stock Unit Agreement under the Apogee Enterprises, Inc. 2019 Non-Employee Director Stock Plan.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400" w:type="dxa"/>
            <w:vAlign w:val="bottom"/>
            <w:tcBorders>
              <w:top w:val="single" w:sz="8" w:color="0000FF"/>
            </w:tcBorders>
            <w:gridSpan w:val="36"/>
            <w:shd w:val="clear" w:color="auto" w:fill="CCEEFF"/>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reference to Exhibit 10.2 to Registrant's Current Report on Form 8-K filed on April 29, 2020.</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25">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10640" w:type="dxa"/>
            <w:vAlign w:val="bottom"/>
            <w:gridSpan w:val="47"/>
          </w:tcPr>
          <w:p>
            <w:pPr>
              <w:spacing w:after="0" w:line="189" w:lineRule="exact"/>
              <w:rPr>
                <w:rFonts w:ascii="Arial" w:cs="Arial" w:eastAsia="Arial" w:hAnsi="Arial"/>
                <w:sz w:val="18"/>
                <w:szCs w:val="18"/>
                <w:color w:val="0000FF"/>
                <w:w w:val="95"/>
              </w:rPr>
            </w:pPr>
            <w:hyperlink r:id="rId125">
              <w:r>
                <w:rPr>
                  <w:rFonts w:ascii="Arial" w:cs="Arial" w:eastAsia="Arial" w:hAnsi="Arial"/>
                  <w:sz w:val="18"/>
                  <w:szCs w:val="18"/>
                  <w:color w:val="0000FF"/>
                  <w:w w:val="95"/>
                </w:rPr>
                <w:t>Form of CEO Evaluation-Based Incentive Agreement. Incorporated by reference to Exhibit 10.2 to Registrant’s Current Report on Form 8-K</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filed on April 30, 2019.</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126">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p>
        </w:tc>
        <w:tc>
          <w:tcPr>
            <w:tcW w:w="1064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w w:val="99"/>
              </w:rPr>
            </w:pPr>
            <w:hyperlink r:id="rId126">
              <w:r>
                <w:rPr>
                  <w:rFonts w:ascii="Arial" w:cs="Arial" w:eastAsia="Arial" w:hAnsi="Arial"/>
                  <w:sz w:val="18"/>
                  <w:szCs w:val="18"/>
                  <w:color w:val="0000FF"/>
                  <w:w w:val="99"/>
                </w:rPr>
                <w:t>Offer Letter dated May 27, 2020 between Apogee Enterprises, Inc. and Nisheet Gupta. Incorporated by reference to Exhibit 10.3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28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Registrant’s Quarterly Report on Form 10-Q filed on July 9,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27">
              <w:r>
                <w:rPr>
                  <w:rFonts w:ascii="Arial" w:cs="Arial" w:eastAsia="Arial" w:hAnsi="Arial"/>
                  <w:sz w:val="18"/>
                  <w:szCs w:val="18"/>
                  <w:color w:val="0000FF"/>
                </w:rPr>
                <w:t>10.</w:t>
              </w:r>
              <w:r>
                <w:rPr>
                  <w:rFonts w:ascii="Arial" w:cs="Arial" w:eastAsia="Arial" w:hAnsi="Arial"/>
                  <w:sz w:val="18"/>
                  <w:szCs w:val="18"/>
                  <w:u w:val="single" w:color="auto"/>
                  <w:color w:val="0000FF"/>
                </w:rPr>
                <w:t>39*</w:t>
              </w:r>
            </w:hyperlink>
          </w:p>
        </w:tc>
        <w:tc>
          <w:tcPr>
            <w:tcW w:w="10640" w:type="dxa"/>
            <w:vAlign w:val="bottom"/>
            <w:gridSpan w:val="47"/>
          </w:tcPr>
          <w:p>
            <w:pPr>
              <w:spacing w:after="0" w:line="189" w:lineRule="exact"/>
              <w:rPr>
                <w:rFonts w:ascii="Arial" w:cs="Arial" w:eastAsia="Arial" w:hAnsi="Arial"/>
                <w:sz w:val="18"/>
                <w:szCs w:val="18"/>
                <w:color w:val="0000FF"/>
                <w:w w:val="98"/>
              </w:rPr>
            </w:pPr>
            <w:hyperlink r:id="rId127">
              <w:r>
                <w:rPr>
                  <w:rFonts w:ascii="Arial" w:cs="Arial" w:eastAsia="Arial" w:hAnsi="Arial"/>
                  <w:sz w:val="18"/>
                  <w:szCs w:val="18"/>
                  <w:color w:val="0000FF"/>
                  <w:w w:val="98"/>
                </w:rPr>
                <w:t>Form of Annual Cash Incentive Award Agreement. Incorporated by reference to Exhibit 10.2 to Registrant's Current Report on Form 8-K</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filed on July 7, 2020.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128">
              <w:r>
                <w:rPr>
                  <w:rFonts w:ascii="Arial" w:cs="Arial" w:eastAsia="Arial" w:hAnsi="Arial"/>
                  <w:sz w:val="18"/>
                  <w:szCs w:val="18"/>
                  <w:color w:val="0000FF"/>
                </w:rPr>
                <w:t>10.</w:t>
              </w:r>
              <w:r>
                <w:rPr>
                  <w:rFonts w:ascii="Arial" w:cs="Arial" w:eastAsia="Arial" w:hAnsi="Arial"/>
                  <w:sz w:val="18"/>
                  <w:szCs w:val="18"/>
                  <w:u w:val="single" w:color="auto"/>
                  <w:color w:val="0000FF"/>
                </w:rPr>
                <w:t>40*</w:t>
              </w:r>
            </w:hyperlink>
          </w:p>
        </w:tc>
        <w:tc>
          <w:tcPr>
            <w:tcW w:w="1064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w w:val="96"/>
              </w:rPr>
            </w:pPr>
            <w:hyperlink r:id="rId128">
              <w:r>
                <w:rPr>
                  <w:rFonts w:ascii="Arial" w:cs="Arial" w:eastAsia="Arial" w:hAnsi="Arial"/>
                  <w:sz w:val="18"/>
                  <w:szCs w:val="18"/>
                  <w:color w:val="0000FF"/>
                  <w:w w:val="96"/>
                </w:rPr>
                <w:t>Transition Agreement between Apogee Enterprises, Inc. and Joseph F. Puishys, dated September 15, 2020. Incorporated by reference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80" w:type="dxa"/>
            <w:vAlign w:val="bottom"/>
            <w:tcBorders>
              <w:top w:val="single" w:sz="8" w:color="0000FF"/>
              <w:bottom w:val="single" w:sz="8" w:color="CCEEFF"/>
            </w:tcBorders>
            <w:shd w:val="clear" w:color="auto" w:fill="CCEEFF"/>
          </w:tcPr>
          <w:p>
            <w:pPr>
              <w:spacing w:after="0"/>
              <w:rPr>
                <w:sz w:val="15"/>
                <w:szCs w:val="15"/>
                <w:color w:val="auto"/>
              </w:rPr>
            </w:pPr>
          </w:p>
        </w:tc>
        <w:tc>
          <w:tcPr>
            <w:tcW w:w="14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220" w:type="dxa"/>
            <w:vAlign w:val="bottom"/>
            <w:tcBorders>
              <w:top w:val="single" w:sz="8" w:color="0000FF"/>
              <w:bottom w:val="single" w:sz="8" w:color="0000FF"/>
            </w:tcBorders>
            <w:gridSpan w:val="17"/>
            <w:shd w:val="clear" w:color="auto" w:fill="CCEEFF"/>
          </w:tcPr>
          <w:p>
            <w:pPr>
              <w:spacing w:after="0" w:line="15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Exhibit 10.1 to Registrant’s Current Report on Form 8-K filed on September 17, 2020.</w:t>
              </w:r>
            </w:hyperlink>
          </w:p>
        </w:tc>
        <w:tc>
          <w:tcPr>
            <w:tcW w:w="4020" w:type="dxa"/>
            <w:vAlign w:val="bottom"/>
            <w:tcBorders>
              <w:top w:val="single" w:sz="8" w:color="0000FF"/>
              <w:bottom w:val="single" w:sz="8" w:color="CCEEFF"/>
            </w:tcBorders>
            <w:gridSpan w:val="11"/>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60" w:type="dxa"/>
            <w:vAlign w:val="bottom"/>
            <w:gridSpan w:val="4"/>
          </w:tcPr>
          <w:p>
            <w:pPr>
              <w:spacing w:after="0" w:line="189" w:lineRule="exact"/>
              <w:rPr>
                <w:rFonts w:ascii="Arial" w:cs="Arial" w:eastAsia="Arial" w:hAnsi="Arial"/>
                <w:sz w:val="18"/>
                <w:szCs w:val="18"/>
                <w:color w:val="0000FF"/>
              </w:rPr>
            </w:pPr>
            <w:hyperlink r:id="rId129">
              <w:r>
                <w:rPr>
                  <w:rFonts w:ascii="Arial" w:cs="Arial" w:eastAsia="Arial" w:hAnsi="Arial"/>
                  <w:sz w:val="18"/>
                  <w:szCs w:val="18"/>
                  <w:color w:val="0000FF"/>
                </w:rPr>
                <w:t>10.</w:t>
              </w:r>
              <w:r>
                <w:rPr>
                  <w:rFonts w:ascii="Arial" w:cs="Arial" w:eastAsia="Arial" w:hAnsi="Arial"/>
                  <w:sz w:val="18"/>
                  <w:szCs w:val="18"/>
                  <w:u w:val="single" w:color="auto"/>
                  <w:color w:val="0000FF"/>
                </w:rPr>
                <w:t>41*</w:t>
              </w:r>
            </w:hyperlink>
          </w:p>
        </w:tc>
        <w:tc>
          <w:tcPr>
            <w:tcW w:w="10640" w:type="dxa"/>
            <w:vAlign w:val="bottom"/>
            <w:gridSpan w:val="47"/>
          </w:tcPr>
          <w:p>
            <w:pPr>
              <w:spacing w:after="0" w:line="189" w:lineRule="exact"/>
              <w:rPr>
                <w:rFonts w:ascii="Arial" w:cs="Arial" w:eastAsia="Arial" w:hAnsi="Arial"/>
                <w:sz w:val="18"/>
                <w:szCs w:val="18"/>
                <w:color w:val="0000FF"/>
                <w:w w:val="97"/>
              </w:rPr>
            </w:pPr>
            <w:hyperlink r:id="rId129">
              <w:r>
                <w:rPr>
                  <w:rFonts w:ascii="Arial" w:cs="Arial" w:eastAsia="Arial" w:hAnsi="Arial"/>
                  <w:sz w:val="18"/>
                  <w:szCs w:val="18"/>
                  <w:color w:val="0000FF"/>
                  <w:w w:val="97"/>
                </w:rPr>
                <w:t>Employment Agreement between Apogee Enterprises, Inc. and Ty R. Silberhorn, dated December 15, 2020. Incorporated by reference to</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Exhibit 10.1 to Registrant’s Current Report on Form 8-K filed on December 21, 2020.</w:t>
              </w:r>
            </w:hyperlink>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960" w:type="dxa"/>
            <w:vAlign w:val="bottom"/>
            <w:gridSpan w:val="4"/>
            <w:shd w:val="clear" w:color="auto" w:fill="CCEEFF"/>
          </w:tcPr>
          <w:p>
            <w:pPr>
              <w:spacing w:after="0" w:line="189" w:lineRule="exact"/>
              <w:rPr>
                <w:rFonts w:ascii="Arial" w:cs="Arial" w:eastAsia="Arial" w:hAnsi="Arial"/>
                <w:sz w:val="18"/>
                <w:szCs w:val="18"/>
                <w:color w:val="0000FF"/>
              </w:rPr>
            </w:pPr>
            <w:hyperlink r:id="rId130">
              <w:r>
                <w:rPr>
                  <w:rFonts w:ascii="Arial" w:cs="Arial" w:eastAsia="Arial" w:hAnsi="Arial"/>
                  <w:sz w:val="18"/>
                  <w:szCs w:val="18"/>
                  <w:color w:val="0000FF"/>
                </w:rPr>
                <w:t>10.</w:t>
              </w:r>
              <w:r>
                <w:rPr>
                  <w:rFonts w:ascii="Arial" w:cs="Arial" w:eastAsia="Arial" w:hAnsi="Arial"/>
                  <w:sz w:val="18"/>
                  <w:szCs w:val="18"/>
                  <w:u w:val="single" w:color="auto"/>
                  <w:color w:val="0000FF"/>
                </w:rPr>
                <w:t>42*</w:t>
              </w:r>
            </w:hyperlink>
          </w:p>
        </w:tc>
        <w:tc>
          <w:tcPr>
            <w:tcW w:w="1064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w w:val="95"/>
              </w:rPr>
            </w:pPr>
            <w:hyperlink r:id="rId130">
              <w:r>
                <w:rPr>
                  <w:rFonts w:ascii="Arial" w:cs="Arial" w:eastAsia="Arial" w:hAnsi="Arial"/>
                  <w:sz w:val="18"/>
                  <w:szCs w:val="18"/>
                  <w:color w:val="0000FF"/>
                  <w:w w:val="95"/>
                </w:rPr>
                <w:t>Form of Restricted Stock Award Agreement entered into by Apogee Enterprises, Inc. and Ty R. Silberhorn on January 4, 2021. Incorporated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480" w:type="dxa"/>
            <w:vAlign w:val="bottom"/>
            <w:tcBorders>
              <w:top w:val="single" w:sz="8" w:color="0000FF"/>
            </w:tcBorders>
            <w:gridSpan w:val="40"/>
            <w:shd w:val="clear" w:color="auto" w:fill="CCEEFF"/>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by reference to Exhibit 10.2 to Registrant’s Current Report on Form 8-K filed on December 21,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8"/>
                <w:szCs w:val="18"/>
                <w:color w:val="0000FF"/>
              </w:rPr>
            </w:pPr>
            <w:hyperlink r:id="rId131">
              <w:r>
                <w:rPr>
                  <w:rFonts w:ascii="Arial" w:cs="Arial" w:eastAsia="Arial" w:hAnsi="Arial"/>
                  <w:sz w:val="18"/>
                  <w:szCs w:val="18"/>
                  <w:color w:val="0000FF"/>
                </w:rPr>
                <w:t>10.</w:t>
              </w:r>
              <w:r>
                <w:rPr>
                  <w:rFonts w:ascii="Arial" w:cs="Arial" w:eastAsia="Arial" w:hAnsi="Arial"/>
                  <w:sz w:val="18"/>
                  <w:szCs w:val="18"/>
                  <w:u w:val="single" w:color="auto"/>
                  <w:color w:val="0000FF"/>
                </w:rPr>
                <w:t>43</w:t>
              </w:r>
            </w:hyperlink>
          </w:p>
        </w:tc>
        <w:tc>
          <w:tcPr>
            <w:tcW w:w="460" w:type="dxa"/>
            <w:vAlign w:val="bottom"/>
          </w:tcPr>
          <w:p>
            <w:pPr>
              <w:spacing w:after="0"/>
              <w:rPr>
                <w:sz w:val="16"/>
                <w:szCs w:val="16"/>
                <w:color w:val="auto"/>
              </w:rPr>
            </w:pPr>
          </w:p>
        </w:tc>
        <w:tc>
          <w:tcPr>
            <w:tcW w:w="10640" w:type="dxa"/>
            <w:vAlign w:val="bottom"/>
            <w:gridSpan w:val="47"/>
          </w:tcPr>
          <w:p>
            <w:pPr>
              <w:spacing w:after="0" w:line="189" w:lineRule="exact"/>
              <w:rPr>
                <w:rFonts w:ascii="Arial" w:cs="Arial" w:eastAsia="Arial" w:hAnsi="Arial"/>
                <w:sz w:val="18"/>
                <w:szCs w:val="18"/>
                <w:color w:val="0000FF"/>
                <w:w w:val="96"/>
              </w:rPr>
            </w:pPr>
            <w:hyperlink r:id="rId131">
              <w:r>
                <w:rPr>
                  <w:rFonts w:ascii="Arial" w:cs="Arial" w:eastAsia="Arial" w:hAnsi="Arial"/>
                  <w:sz w:val="18"/>
                  <w:szCs w:val="18"/>
                  <w:color w:val="0000FF"/>
                  <w:w w:val="96"/>
                </w:rPr>
                <w:t>Third Amended and Restated Credit Agreement, dated as of June 25, 2019, by and among Apogee Enterprises, Inc., as the Borrower,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20" w:type="dxa"/>
            <w:vAlign w:val="bottom"/>
            <w:tcBorders>
              <w:top w:val="single" w:sz="8" w:color="0000FF"/>
            </w:tcBorders>
            <w:gridSpan w:val="46"/>
          </w:tcPr>
          <w:p>
            <w:pPr>
              <w:spacing w:after="0" w:line="156" w:lineRule="exact"/>
              <w:rPr>
                <w:rFonts w:ascii="Arial" w:cs="Arial" w:eastAsia="Arial" w:hAnsi="Arial"/>
                <w:sz w:val="18"/>
                <w:szCs w:val="18"/>
                <w:color w:val="0000FF"/>
                <w:w w:val="97"/>
              </w:rPr>
            </w:pPr>
            <w:hyperlink r:id="rId131">
              <w:r>
                <w:rPr>
                  <w:rFonts w:ascii="Arial" w:cs="Arial" w:eastAsia="Arial" w:hAnsi="Arial"/>
                  <w:sz w:val="18"/>
                  <w:szCs w:val="18"/>
                  <w:color w:val="0000FF"/>
                  <w:w w:val="97"/>
                </w:rPr>
                <w:t>Lenders referred to therein, Wells Fargo Bank, National Association, as Administrative Agent, Swingline Lender and Issuing Lender,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560" w:type="dxa"/>
            <w:vAlign w:val="bottom"/>
            <w:tcBorders>
              <w:top w:val="single" w:sz="8" w:color="0000FF"/>
            </w:tcBorders>
            <w:gridSpan w:val="44"/>
          </w:tcPr>
          <w:p>
            <w:pPr>
              <w:spacing w:after="0" w:line="156" w:lineRule="exact"/>
              <w:rPr>
                <w:rFonts w:ascii="Arial" w:cs="Arial" w:eastAsia="Arial" w:hAnsi="Arial"/>
                <w:sz w:val="18"/>
                <w:szCs w:val="18"/>
                <w:color w:val="0000FF"/>
                <w:w w:val="95"/>
              </w:rPr>
            </w:pPr>
            <w:hyperlink r:id="rId131">
              <w:r>
                <w:rPr>
                  <w:rFonts w:ascii="Arial" w:cs="Arial" w:eastAsia="Arial" w:hAnsi="Arial"/>
                  <w:sz w:val="18"/>
                  <w:szCs w:val="18"/>
                  <w:color w:val="0000FF"/>
                  <w:w w:val="95"/>
                </w:rPr>
                <w:t>U.S. Bank National Association, as Syndication Agent and Issuing Lender. Incorporated by reference to Exhibit 10.1 to Registrant’s Current</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8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Report on Form 8-K filed on June 28,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500" w:type="dxa"/>
            <w:vAlign w:val="bottom"/>
            <w:gridSpan w:val="3"/>
            <w:shd w:val="clear" w:color="auto" w:fill="CCEEFF"/>
          </w:tcPr>
          <w:p>
            <w:pPr>
              <w:spacing w:after="0" w:line="189" w:lineRule="exact"/>
              <w:rPr>
                <w:rFonts w:ascii="Arial" w:cs="Arial" w:eastAsia="Arial" w:hAnsi="Arial"/>
                <w:sz w:val="18"/>
                <w:szCs w:val="18"/>
                <w:color w:val="0000FF"/>
              </w:rPr>
            </w:pPr>
            <w:hyperlink r:id="rId132">
              <w:r>
                <w:rPr>
                  <w:rFonts w:ascii="Arial" w:cs="Arial" w:eastAsia="Arial" w:hAnsi="Arial"/>
                  <w:sz w:val="18"/>
                  <w:szCs w:val="18"/>
                  <w:color w:val="0000FF"/>
                </w:rPr>
                <w:t>10.</w:t>
              </w:r>
              <w:r>
                <w:rPr>
                  <w:rFonts w:ascii="Arial" w:cs="Arial" w:eastAsia="Arial" w:hAnsi="Arial"/>
                  <w:sz w:val="18"/>
                  <w:szCs w:val="18"/>
                  <w:u w:val="single" w:color="auto"/>
                  <w:color w:val="0000FF"/>
                </w:rPr>
                <w:t>44</w:t>
              </w:r>
            </w:hyperlink>
          </w:p>
        </w:tc>
        <w:tc>
          <w:tcPr>
            <w:tcW w:w="460" w:type="dxa"/>
            <w:vAlign w:val="bottom"/>
            <w:shd w:val="clear" w:color="auto" w:fill="CCEEFF"/>
          </w:tcPr>
          <w:p>
            <w:pPr>
              <w:spacing w:after="0"/>
              <w:rPr>
                <w:sz w:val="16"/>
                <w:szCs w:val="16"/>
                <w:color w:val="auto"/>
              </w:rPr>
            </w:pPr>
          </w:p>
        </w:tc>
        <w:tc>
          <w:tcPr>
            <w:tcW w:w="1064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w w:val="94"/>
              </w:rPr>
            </w:pPr>
            <w:hyperlink r:id="rId132">
              <w:r>
                <w:rPr>
                  <w:rFonts w:ascii="Arial" w:cs="Arial" w:eastAsia="Arial" w:hAnsi="Arial"/>
                  <w:sz w:val="18"/>
                  <w:szCs w:val="18"/>
                  <w:color w:val="0000FF"/>
                  <w:w w:val="94"/>
                </w:rPr>
                <w:t>Amendment No. 1 to Third Amended and Restated Credit Agreement dated as of June 25, 2019, by and among Apogee Enterprises, Inc., as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22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w w:val="95"/>
              </w:rPr>
            </w:pPr>
            <w:hyperlink r:id="rId132">
              <w:r>
                <w:rPr>
                  <w:rFonts w:ascii="Arial" w:cs="Arial" w:eastAsia="Arial" w:hAnsi="Arial"/>
                  <w:sz w:val="18"/>
                  <w:szCs w:val="18"/>
                  <w:color w:val="0000FF"/>
                  <w:w w:val="95"/>
                </w:rPr>
                <w:t>the Borrower, the Lenders referred to therein, Wells Fargo Bank, National Association, as Administrative Agent, Swingline Lender and</w:t>
              </w:r>
            </w:hyperlink>
          </w:p>
        </w:tc>
        <w:tc>
          <w:tcPr>
            <w:tcW w:w="280" w:type="dxa"/>
            <w:vAlign w:val="bottom"/>
            <w:tcBorders>
              <w:top w:val="single" w:sz="8" w:color="CCEEFF"/>
            </w:tcBorders>
            <w:gridSpan w:val="1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200" w:type="dxa"/>
            <w:vAlign w:val="bottom"/>
            <w:tcBorders>
              <w:top w:val="single" w:sz="8" w:color="0000FF"/>
            </w:tcBorders>
            <w:gridSpan w:val="26"/>
            <w:shd w:val="clear" w:color="auto" w:fill="CCEEFF"/>
          </w:tcPr>
          <w:p>
            <w:pPr>
              <w:spacing w:after="0" w:line="156" w:lineRule="exact"/>
              <w:rPr>
                <w:rFonts w:ascii="Arial" w:cs="Arial" w:eastAsia="Arial" w:hAnsi="Arial"/>
                <w:sz w:val="18"/>
                <w:szCs w:val="18"/>
                <w:color w:val="0000FF"/>
                <w:w w:val="92"/>
              </w:rPr>
            </w:pPr>
            <w:hyperlink r:id="rId132">
              <w:r>
                <w:rPr>
                  <w:rFonts w:ascii="Arial" w:cs="Arial" w:eastAsia="Arial" w:hAnsi="Arial"/>
                  <w:sz w:val="18"/>
                  <w:szCs w:val="18"/>
                  <w:color w:val="0000FF"/>
                  <w:w w:val="92"/>
                </w:rPr>
                <w:t>Issuing Lender, and U.S. Bank National Association, as Syndication Agent and Issuing Lender. Incorporated by reference to Exhibit 10.1 to</w:t>
              </w:r>
            </w:hyperlink>
          </w:p>
        </w:tc>
        <w:tc>
          <w:tcPr>
            <w:tcW w:w="320" w:type="dxa"/>
            <w:vAlign w:val="bottom"/>
            <w:tcBorders>
              <w:top w:val="single" w:sz="8" w:color="CCEEFF"/>
            </w:tcBorders>
            <w:gridSpan w:val="16"/>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600" w:type="dxa"/>
            <w:vAlign w:val="bottom"/>
            <w:tcBorders>
              <w:top w:val="single" w:sz="8" w:color="0000FF"/>
            </w:tcBorders>
            <w:gridSpan w:val="46"/>
            <w:shd w:val="clear" w:color="auto" w:fill="CCEEFF"/>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Registrant’s Current Report on Form 8-K filed on April 10, 2020.</w:t>
              </w:r>
            </w:hyperlink>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500" w:type="dxa"/>
            <w:vAlign w:val="bottom"/>
            <w:gridSpan w:val="3"/>
          </w:tcPr>
          <w:p>
            <w:pPr>
              <w:spacing w:after="0" w:line="189" w:lineRule="exact"/>
              <w:rPr>
                <w:rFonts w:ascii="Arial" w:cs="Arial" w:eastAsia="Arial" w:hAnsi="Arial"/>
                <w:sz w:val="18"/>
                <w:szCs w:val="18"/>
                <w:color w:val="0000FF"/>
              </w:rPr>
            </w:pPr>
            <w:hyperlink r:id="rId133">
              <w:r>
                <w:rPr>
                  <w:rFonts w:ascii="Arial" w:cs="Arial" w:eastAsia="Arial" w:hAnsi="Arial"/>
                  <w:sz w:val="18"/>
                  <w:szCs w:val="18"/>
                  <w:color w:val="0000FF"/>
                </w:rPr>
                <w:t>10.</w:t>
              </w:r>
              <w:r>
                <w:rPr>
                  <w:rFonts w:ascii="Arial" w:cs="Arial" w:eastAsia="Arial" w:hAnsi="Arial"/>
                  <w:sz w:val="18"/>
                  <w:szCs w:val="18"/>
                  <w:u w:val="single" w:color="auto"/>
                  <w:color w:val="0000FF"/>
                </w:rPr>
                <w:t>45</w:t>
              </w:r>
            </w:hyperlink>
          </w:p>
        </w:tc>
        <w:tc>
          <w:tcPr>
            <w:tcW w:w="460" w:type="dxa"/>
            <w:vAlign w:val="bottom"/>
          </w:tcPr>
          <w:p>
            <w:pPr>
              <w:spacing w:after="0"/>
              <w:rPr>
                <w:sz w:val="16"/>
                <w:szCs w:val="16"/>
                <w:color w:val="auto"/>
              </w:rPr>
            </w:pPr>
          </w:p>
        </w:tc>
        <w:tc>
          <w:tcPr>
            <w:tcW w:w="10640" w:type="dxa"/>
            <w:vAlign w:val="bottom"/>
            <w:gridSpan w:val="47"/>
          </w:tcPr>
          <w:p>
            <w:pPr>
              <w:spacing w:after="0" w:line="189" w:lineRule="exact"/>
              <w:rPr>
                <w:rFonts w:ascii="Arial" w:cs="Arial" w:eastAsia="Arial" w:hAnsi="Arial"/>
                <w:sz w:val="18"/>
                <w:szCs w:val="18"/>
                <w:color w:val="0000FF"/>
                <w:w w:val="97"/>
              </w:rPr>
            </w:pPr>
            <w:hyperlink r:id="rId133">
              <w:r>
                <w:rPr>
                  <w:rFonts w:ascii="Arial" w:cs="Arial" w:eastAsia="Arial" w:hAnsi="Arial"/>
                  <w:sz w:val="18"/>
                  <w:szCs w:val="18"/>
                  <w:color w:val="0000FF"/>
                  <w:w w:val="97"/>
                </w:rPr>
                <w:t>Amendment No. 2 to Third Amended and Restated Credit Agreement dated as of November 6, 2020, by and among Apogee Enterprises,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500" w:type="dxa"/>
            <w:vAlign w:val="bottom"/>
            <w:tcBorders>
              <w:top w:val="single" w:sz="8" w:color="0000FF"/>
              <w:bottom w:val="single" w:sz="8" w:color="0000FF"/>
            </w:tcBorders>
            <w:gridSpan w:val="41"/>
          </w:tcPr>
          <w:p>
            <w:pPr>
              <w:spacing w:after="0" w:line="156" w:lineRule="exact"/>
              <w:rPr>
                <w:rFonts w:ascii="Arial" w:cs="Arial" w:eastAsia="Arial" w:hAnsi="Arial"/>
                <w:sz w:val="18"/>
                <w:szCs w:val="18"/>
                <w:color w:val="0000FF"/>
                <w:w w:val="96"/>
              </w:rPr>
            </w:pPr>
            <w:hyperlink r:id="rId133">
              <w:r>
                <w:rPr>
                  <w:rFonts w:ascii="Arial" w:cs="Arial" w:eastAsia="Arial" w:hAnsi="Arial"/>
                  <w:sz w:val="18"/>
                  <w:szCs w:val="18"/>
                  <w:color w:val="0000FF"/>
                  <w:w w:val="96"/>
                </w:rPr>
                <w:t>Inc., as the Borrower, the Lenders referred to therein, Wells Fargo Bank, National Association, as Administrative Agent, Swingline Lender</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580" w:type="dxa"/>
            <w:vAlign w:val="bottom"/>
            <w:gridSpan w:val="45"/>
          </w:tcPr>
          <w:p>
            <w:pPr>
              <w:spacing w:after="0" w:line="156" w:lineRule="exact"/>
              <w:rPr>
                <w:rFonts w:ascii="Arial" w:cs="Arial" w:eastAsia="Arial" w:hAnsi="Arial"/>
                <w:sz w:val="18"/>
                <w:szCs w:val="18"/>
                <w:color w:val="0000FF"/>
                <w:w w:val="94"/>
              </w:rPr>
            </w:pPr>
            <w:hyperlink r:id="rId133">
              <w:r>
                <w:rPr>
                  <w:rFonts w:ascii="Arial" w:cs="Arial" w:eastAsia="Arial" w:hAnsi="Arial"/>
                  <w:sz w:val="18"/>
                  <w:szCs w:val="18"/>
                  <w:color w:val="0000FF"/>
                  <w:w w:val="94"/>
                </w:rPr>
                <w:t>and Issuing Lender, and U.S. Bank National Association, as Syndication Agent and Issuing Lender. Incorporated by reference to Exhibit 10.1</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54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to the Registrant’s Current Report on Form 8-K filed on November 10, 2020.</w:t>
              </w:r>
            </w:hyperlink>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280" w:type="dxa"/>
            <w:vAlign w:val="bottom"/>
            <w:shd w:val="clear" w:color="auto" w:fill="CCEEFF"/>
          </w:tcPr>
          <w:p>
            <w:pPr>
              <w:spacing w:after="0" w:line="189" w:lineRule="exact"/>
              <w:rPr>
                <w:rFonts w:ascii="Arial" w:cs="Arial" w:eastAsia="Arial" w:hAnsi="Arial"/>
                <w:sz w:val="18"/>
                <w:szCs w:val="18"/>
                <w:color w:val="0000FF"/>
                <w:w w:val="86"/>
              </w:rPr>
            </w:pPr>
            <w:hyperlink w:anchor="page72">
              <w:r>
                <w:rPr>
                  <w:rFonts w:ascii="Arial" w:cs="Arial" w:eastAsia="Arial" w:hAnsi="Arial"/>
                  <w:sz w:val="18"/>
                  <w:szCs w:val="18"/>
                  <w:color w:val="0000FF"/>
                  <w:w w:val="86"/>
                </w:rPr>
                <w:t>21#</w:t>
              </w:r>
            </w:hyperlink>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4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Subsidiaries of the Registrant.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280" w:type="dxa"/>
            <w:vAlign w:val="bottom"/>
          </w:tcPr>
          <w:p>
            <w:pPr>
              <w:spacing w:after="0" w:line="189" w:lineRule="exact"/>
              <w:rPr>
                <w:rFonts w:ascii="Arial" w:cs="Arial" w:eastAsia="Arial" w:hAnsi="Arial"/>
                <w:sz w:val="18"/>
                <w:szCs w:val="18"/>
                <w:color w:val="0000FF"/>
                <w:w w:val="86"/>
              </w:rPr>
            </w:pPr>
            <w:hyperlink w:anchor="page73">
              <w:r>
                <w:rPr>
                  <w:rFonts w:ascii="Arial" w:cs="Arial" w:eastAsia="Arial" w:hAnsi="Arial"/>
                  <w:sz w:val="18"/>
                  <w:szCs w:val="18"/>
                  <w:color w:val="0000FF"/>
                  <w:w w:val="86"/>
                </w:rPr>
                <w:t>23#</w:t>
              </w:r>
            </w:hyperlink>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40" w:type="dxa"/>
            <w:vAlign w:val="bottom"/>
            <w:gridSpan w:val="47"/>
          </w:tcPr>
          <w:p>
            <w:pPr>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Consent of Deloitte &amp; Touche LLP.</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vMerge w:val="continue"/>
          </w:tcPr>
          <w:p>
            <w:pPr>
              <w:spacing w:after="0"/>
              <w:rPr>
                <w:sz w:val="18"/>
                <w:szCs w:val="18"/>
                <w:color w:val="auto"/>
              </w:rPr>
            </w:pPr>
          </w:p>
        </w:tc>
        <w:tc>
          <w:tcPr>
            <w:tcW w:w="420" w:type="dxa"/>
            <w:vAlign w:val="bottom"/>
            <w:gridSpan w:val="2"/>
            <w:shd w:val="clear" w:color="auto" w:fill="CCEEFF"/>
          </w:tcPr>
          <w:p>
            <w:pPr>
              <w:spacing w:after="0" w:line="189" w:lineRule="exact"/>
              <w:rPr>
                <w:rFonts w:ascii="Arial" w:cs="Arial" w:eastAsia="Arial" w:hAnsi="Arial"/>
                <w:sz w:val="18"/>
                <w:szCs w:val="18"/>
                <w:color w:val="0000FF"/>
                <w:w w:val="88"/>
              </w:rPr>
            </w:pPr>
            <w:hyperlink w:anchor="page74">
              <w:r>
                <w:rPr>
                  <w:rFonts w:ascii="Arial" w:cs="Arial" w:eastAsia="Arial" w:hAnsi="Arial"/>
                  <w:sz w:val="18"/>
                  <w:szCs w:val="18"/>
                  <w:color w:val="0000FF"/>
                  <w:w w:val="88"/>
                </w:rPr>
                <w:t>31.</w:t>
              </w:r>
              <w:r>
                <w:rPr>
                  <w:rFonts w:ascii="Arial" w:cs="Arial" w:eastAsia="Arial" w:hAnsi="Arial"/>
                  <w:sz w:val="18"/>
                  <w:szCs w:val="18"/>
                  <w:u w:val="single" w:color="auto"/>
                  <w:color w:val="0000FF"/>
                  <w:w w:val="88"/>
                </w:rPr>
                <w:t>1#</w:t>
              </w:r>
            </w:hyperlink>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40" w:type="dxa"/>
            <w:vAlign w:val="bottom"/>
            <w:tcBorders>
              <w:right w:val="single" w:sz="8" w:color="CCEEFF"/>
            </w:tcBorders>
            <w:gridSpan w:val="47"/>
            <w:shd w:val="clear" w:color="auto" w:fill="CCEEFF"/>
          </w:tcPr>
          <w:p>
            <w:pPr>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Certification of Chief Executive Officer pursuant to rule 13a-14(a) under the Securities Exchange Act of 1934.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50"/>
        </w:trPr>
        <w:tc>
          <w:tcPr>
            <w:tcW w:w="4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700" w:type="dxa"/>
            <w:vAlign w:val="bottom"/>
            <w:tcBorders>
              <w:top w:val="single" w:sz="8" w:color="0000FF"/>
            </w:tcBorders>
            <w:gridSpan w:val="11"/>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tabs>
          <w:tab w:leader="none" w:pos="980" w:val="left"/>
        </w:tabs>
        <w:rPr>
          <w:rFonts w:ascii="Arial" w:cs="Arial" w:eastAsia="Arial" w:hAnsi="Arial"/>
          <w:sz w:val="16"/>
          <w:szCs w:val="16"/>
          <w:u w:val="single" w:color="auto"/>
          <w:color w:val="0000FF"/>
        </w:rPr>
      </w:pPr>
      <w:hyperlink w:anchor="page75">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75">
        <w:r>
          <w:rPr>
            <w:rFonts w:ascii="Arial" w:cs="Arial" w:eastAsia="Arial" w:hAnsi="Arial"/>
            <w:sz w:val="16"/>
            <w:szCs w:val="16"/>
            <w:u w:val="single" w:color="auto"/>
            <w:color w:val="0000FF"/>
          </w:rPr>
          <w:t>Certification of Chief Financial Officer pursuant to rule 13a-14(a) under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57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6">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1000" w:hanging="957"/>
        <w:spacing w:after="0" w:line="234" w:lineRule="auto"/>
        <w:tabs>
          <w:tab w:leader="none" w:pos="980" w:val="left"/>
        </w:tabs>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76">
        <w:r>
          <w:rPr>
            <w:rFonts w:ascii="Arial" w:cs="Arial" w:eastAsia="Arial" w:hAnsi="Arial"/>
            <w:sz w:val="18"/>
            <w:szCs w:val="18"/>
            <w:u w:val="single" w:color="auto"/>
            <w:color w:val="0000FF"/>
          </w:rPr>
          <w:t>Certification of Chief Executive Officer pursuant to 18 U.S.C. Section 1350, as adopted pursuant to Section 906 of the Sarbanes-Oxley Act</w:t>
        </w:r>
      </w:hyperlink>
      <w:r>
        <w:rPr>
          <w:rFonts w:ascii="Arial" w:cs="Arial" w:eastAsia="Arial" w:hAnsi="Arial"/>
          <w:sz w:val="18"/>
          <w:szCs w:val="18"/>
          <w:u w:val="single" w:color="auto"/>
          <w:color w:val="0000FF"/>
        </w:rPr>
        <w:t xml:space="preserve"> </w:t>
      </w:r>
      <w:hyperlink w:anchor="page76">
        <w:r>
          <w:rPr>
            <w:rFonts w:ascii="Arial" w:cs="Arial" w:eastAsia="Arial" w:hAnsi="Arial"/>
            <w:sz w:val="18"/>
            <w:szCs w:val="18"/>
            <w:u w:val="single" w:color="auto"/>
            <w:color w:val="0000FF"/>
          </w:rPr>
          <w:t>of 2002.</w:t>
        </w:r>
      </w:hyperlink>
    </w:p>
    <w:p>
      <w:pPr>
        <w:ind w:left="40"/>
        <w:spacing w:after="0"/>
        <w:tabs>
          <w:tab w:leader="none" w:pos="980" w:val="left"/>
        </w:tabs>
        <w:rPr>
          <w:rFonts w:ascii="Arial" w:cs="Arial" w:eastAsia="Arial" w:hAnsi="Arial"/>
          <w:sz w:val="16"/>
          <w:szCs w:val="16"/>
          <w:u w:val="single" w:color="auto"/>
          <w:color w:val="0000FF"/>
        </w:rPr>
      </w:pPr>
      <w:hyperlink w:anchor="page77">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77">
        <w:r>
          <w:rPr>
            <w:rFonts w:ascii="Arial" w:cs="Arial" w:eastAsia="Arial" w:hAnsi="Arial"/>
            <w:sz w:val="16"/>
            <w:szCs w:val="16"/>
            <w:u w:val="single" w:color="auto"/>
            <w:color w:val="0000FF"/>
          </w:rPr>
          <w:t>Certification of Chief Financial Officer pursuant to 18 U.S.C. Section 1350, as adopted pursuant to Section 906 of the Sarbanes-Oxley Act of</w:t>
        </w:r>
      </w:hyperlink>
    </w:p>
    <w:p>
      <w:pPr>
        <w:spacing w:after="0" w:line="1" w:lineRule="exact"/>
        <w:rPr>
          <w:sz w:val="20"/>
          <w:szCs w:val="20"/>
          <w:color w:val="auto"/>
        </w:rPr>
      </w:pPr>
    </w:p>
    <w:p>
      <w:pPr>
        <w:ind w:left="100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06285" cy="814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7">
                      <a:extLst>
                        <a:ext uri="{28A0092B-C50C-407E-A947-70E740481C1C}"/>
                      </a:extLst>
                    </a:blip>
                    <a:srcRect/>
                    <a:stretch>
                      <a:fillRect/>
                    </a:stretch>
                  </pic:blipFill>
                  <pic:spPr bwMode="auto">
                    <a:xfrm>
                      <a:off x="0" y="0"/>
                      <a:ext cx="7106285" cy="814705"/>
                    </a:xfrm>
                    <a:prstGeom prst="rect">
                      <a:avLst/>
                    </a:prstGeom>
                    <a:noFill/>
                  </pic:spPr>
                </pic:pic>
              </a:graphicData>
            </a:graphic>
          </wp:anchor>
        </w:drawing>
      </w:r>
    </w:p>
    <w:p>
      <w:pPr>
        <w:jc w:val="both"/>
        <w:ind w:left="1000" w:hanging="954"/>
        <w:spacing w:after="0" w:line="224"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following materials from Apogee Enterprises, Inc.'s Annual Report on Form 10-K for the year ended February 27, 2021 are furnished herewith, formatted in iXBRL (Inline Extensible Business Reporting Language): (i) the Consolidated Balance Sheets as of February 27, 2021 and February 29, 2020, (ii) the Consolidated Results of Operations for the three years ended February 27, 2021, February 29, 2020 and March 2, 2019, (iii) the Consolidated Statements of Comprehensive Earnings for the three years February 27, 2021, February 29, 2020 and March 2, 2019, (iv) the Consolidated Statements of Cash Flows for the three years ended February 27, 2021, February 29, 2020 and March 2, 2019, (v) the Consolidated Statements of Shareholders' Equity for the three years ended February 27, 2021, February 29, 2020 and March 2, 2019 and (vi) the Notes to Consolidated Financial Statements.</w:t>
      </w:r>
    </w:p>
    <w:p>
      <w:pPr>
        <w:spacing w:after="0" w:line="5"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April 22, 2021.</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APOGEE ENTERPRISES,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6909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9">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Ty R. Silberhorn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April 22, 2021.</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3380" w:type="dxa"/>
            <w:vAlign w:val="bottom"/>
          </w:tcPr>
          <w:p>
            <w:pPr>
              <w:ind w:left="2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169"/>
        </w:trPr>
        <w:tc>
          <w:tcPr>
            <w:tcW w:w="33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/s/ Ty R. Silberhorn</w:t>
            </w:r>
          </w:p>
        </w:tc>
        <w:tc>
          <w:tcPr>
            <w:tcW w:w="220" w:type="dxa"/>
            <w:vAlign w:val="bottom"/>
          </w:tcPr>
          <w:p>
            <w:pPr>
              <w:spacing w:after="0"/>
              <w:rPr>
                <w:sz w:val="14"/>
                <w:szCs w:val="14"/>
                <w:color w:val="auto"/>
              </w:rPr>
            </w:pPr>
          </w:p>
        </w:tc>
        <w:tc>
          <w:tcPr>
            <w:tcW w:w="19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14"/>
                <w:szCs w:val="14"/>
                <w:color w:val="auto"/>
              </w:rPr>
            </w:pPr>
          </w:p>
        </w:tc>
        <w:tc>
          <w:tcPr>
            <w:tcW w:w="33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/s/ Nisheet Gupta</w:t>
            </w:r>
          </w:p>
        </w:tc>
        <w:tc>
          <w:tcPr>
            <w:tcW w:w="220" w:type="dxa"/>
            <w:vAlign w:val="bottom"/>
          </w:tcPr>
          <w:p>
            <w:pPr>
              <w:spacing w:after="0"/>
              <w:rPr>
                <w:sz w:val="14"/>
                <w:szCs w:val="14"/>
                <w:color w:val="auto"/>
              </w:rPr>
            </w:pPr>
          </w:p>
        </w:tc>
        <w:tc>
          <w:tcPr>
            <w:tcW w:w="19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Executive Vice President</w:t>
            </w:r>
          </w:p>
        </w:tc>
        <w:tc>
          <w:tcPr>
            <w:tcW w:w="0" w:type="dxa"/>
            <w:vAlign w:val="bottom"/>
          </w:tcPr>
          <w:p>
            <w:pPr>
              <w:spacing w:after="0"/>
              <w:rPr>
                <w:sz w:val="1"/>
                <w:szCs w:val="1"/>
                <w:color w:val="auto"/>
              </w:rPr>
            </w:pPr>
          </w:p>
        </w:tc>
      </w:tr>
      <w:tr>
        <w:trPr>
          <w:trHeight w:val="234"/>
        </w:trPr>
        <w:tc>
          <w:tcPr>
            <w:tcW w:w="33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and</w:t>
            </w:r>
          </w:p>
        </w:tc>
        <w:tc>
          <w:tcPr>
            <w:tcW w:w="33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169"/>
        </w:trPr>
        <w:tc>
          <w:tcPr>
            <w:tcW w:w="3340" w:type="dxa"/>
            <w:vAlign w:val="bottom"/>
          </w:tcPr>
          <w:p>
            <w:pPr>
              <w:ind w:left="20"/>
              <w:spacing w:after="0" w:line="169" w:lineRule="exact"/>
              <w:rPr>
                <w:sz w:val="20"/>
                <w:szCs w:val="20"/>
                <w:color w:val="auto"/>
              </w:rPr>
            </w:pPr>
            <w:r>
              <w:rPr>
                <w:rFonts w:ascii="Arial" w:cs="Arial" w:eastAsia="Arial" w:hAnsi="Arial"/>
                <w:sz w:val="18"/>
                <w:szCs w:val="18"/>
                <w:color w:val="auto"/>
              </w:rPr>
              <w:t>Ty R. Silberhorn</w:t>
            </w:r>
          </w:p>
        </w:tc>
        <w:tc>
          <w:tcPr>
            <w:tcW w:w="220" w:type="dxa"/>
            <w:vAlign w:val="bottom"/>
          </w:tcPr>
          <w:p>
            <w:pPr>
              <w:spacing w:after="0"/>
              <w:rPr>
                <w:sz w:val="14"/>
                <w:szCs w:val="14"/>
                <w:color w:val="auto"/>
              </w:rPr>
            </w:pPr>
          </w:p>
        </w:tc>
        <w:tc>
          <w:tcPr>
            <w:tcW w:w="206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Director</w:t>
            </w:r>
          </w:p>
        </w:tc>
        <w:tc>
          <w:tcPr>
            <w:tcW w:w="3380" w:type="dxa"/>
            <w:vAlign w:val="bottom"/>
          </w:tcPr>
          <w:p>
            <w:pPr>
              <w:ind w:left="20"/>
              <w:spacing w:after="0" w:line="169" w:lineRule="exact"/>
              <w:rPr>
                <w:sz w:val="20"/>
                <w:szCs w:val="20"/>
                <w:color w:val="auto"/>
              </w:rPr>
            </w:pPr>
            <w:r>
              <w:rPr>
                <w:rFonts w:ascii="Arial" w:cs="Arial" w:eastAsia="Arial" w:hAnsi="Arial"/>
                <w:sz w:val="18"/>
                <w:szCs w:val="18"/>
                <w:color w:val="auto"/>
              </w:rPr>
              <w:t>Nisheet Gupta</w:t>
            </w:r>
          </w:p>
        </w:tc>
        <w:tc>
          <w:tcPr>
            <w:tcW w:w="220" w:type="dxa"/>
            <w:vAlign w:val="bottom"/>
          </w:tcPr>
          <w:p>
            <w:pPr>
              <w:spacing w:after="0"/>
              <w:rPr>
                <w:sz w:val="14"/>
                <w:szCs w:val="14"/>
                <w:color w:val="auto"/>
              </w:rPr>
            </w:pPr>
          </w:p>
        </w:tc>
        <w:tc>
          <w:tcPr>
            <w:tcW w:w="1960" w:type="dxa"/>
            <w:vAlign w:val="bottom"/>
          </w:tcPr>
          <w:p>
            <w:pPr>
              <w:ind w:left="20"/>
              <w:spacing w:after="0" w:line="169"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ind w:left="20"/>
              <w:spacing w:after="0" w:line="162" w:lineRule="exact"/>
              <w:rPr>
                <w:sz w:val="20"/>
                <w:szCs w:val="20"/>
                <w:color w:val="auto"/>
              </w:rPr>
            </w:pPr>
            <w:r>
              <w:rPr>
                <w:rFonts w:ascii="Arial" w:cs="Arial" w:eastAsia="Arial" w:hAnsi="Arial"/>
                <w:sz w:val="18"/>
                <w:szCs w:val="18"/>
                <w:color w:val="auto"/>
              </w:rPr>
              <w:t>(Principal Executive</w:t>
            </w: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ind w:left="20"/>
              <w:spacing w:after="0" w:line="162" w:lineRule="exact"/>
              <w:rPr>
                <w:sz w:val="20"/>
                <w:szCs w:val="20"/>
                <w:color w:val="auto"/>
              </w:rPr>
            </w:pPr>
            <w:r>
              <w:rPr>
                <w:rFonts w:ascii="Arial" w:cs="Arial" w:eastAsia="Arial" w:hAnsi="Arial"/>
                <w:sz w:val="18"/>
                <w:szCs w:val="18"/>
                <w:color w:val="auto"/>
              </w:rPr>
              <w:t>(Principal</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Officer)</w:t>
            </w: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ind w:left="20"/>
              <w:spacing w:after="0" w:line="176" w:lineRule="exact"/>
              <w:rPr>
                <w:sz w:val="20"/>
                <w:szCs w:val="20"/>
                <w:color w:val="auto"/>
              </w:rPr>
            </w:pPr>
            <w:r>
              <w:rPr>
                <w:rFonts w:ascii="Arial" w:cs="Arial" w:eastAsia="Arial" w:hAnsi="Arial"/>
                <w:sz w:val="18"/>
                <w:szCs w:val="18"/>
                <w:color w:val="auto"/>
              </w:rPr>
              <w:t>Financial and</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49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Donald A. Nolan</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Elizabeth M. Lilly</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Donald A. Nolan</w:t>
            </w:r>
          </w:p>
        </w:tc>
        <w:tc>
          <w:tcPr>
            <w:tcW w:w="2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Chairman</w:t>
            </w:r>
          </w:p>
        </w:tc>
        <w:tc>
          <w:tcPr>
            <w:tcW w:w="3380" w:type="dxa"/>
            <w:vAlign w:val="bottom"/>
          </w:tcPr>
          <w:p>
            <w:pPr>
              <w:ind w:left="20"/>
              <w:spacing w:after="0"/>
              <w:rPr>
                <w:sz w:val="20"/>
                <w:szCs w:val="20"/>
                <w:color w:val="auto"/>
              </w:rPr>
            </w:pPr>
            <w:r>
              <w:rPr>
                <w:rFonts w:ascii="Arial" w:cs="Arial" w:eastAsia="Arial" w:hAnsi="Arial"/>
                <w:sz w:val="18"/>
                <w:szCs w:val="18"/>
                <w:color w:val="auto"/>
              </w:rPr>
              <w:t>Elizabeth M. Lilly</w:t>
            </w:r>
          </w:p>
        </w:tc>
        <w:tc>
          <w:tcPr>
            <w:tcW w:w="2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31"/>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Bernard P. Aldrich</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Herbert K. Parker</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Bernard P. Aldrich</w:t>
            </w:r>
          </w:p>
        </w:tc>
        <w:tc>
          <w:tcPr>
            <w:tcW w:w="2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380" w:type="dxa"/>
            <w:vAlign w:val="bottom"/>
          </w:tcPr>
          <w:p>
            <w:pPr>
              <w:ind w:left="20"/>
              <w:spacing w:after="0"/>
              <w:rPr>
                <w:sz w:val="20"/>
                <w:szCs w:val="20"/>
                <w:color w:val="auto"/>
              </w:rPr>
            </w:pPr>
            <w:r>
              <w:rPr>
                <w:rFonts w:ascii="Arial" w:cs="Arial" w:eastAsia="Arial" w:hAnsi="Arial"/>
                <w:sz w:val="18"/>
                <w:szCs w:val="18"/>
                <w:color w:val="auto"/>
              </w:rPr>
              <w:t>Herbert K. Parker</w:t>
            </w:r>
          </w:p>
        </w:tc>
        <w:tc>
          <w:tcPr>
            <w:tcW w:w="2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31"/>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Christina M. Alvord</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A. Pompa</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Christina M. Alvord</w:t>
            </w:r>
          </w:p>
        </w:tc>
        <w:tc>
          <w:tcPr>
            <w:tcW w:w="2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380" w:type="dxa"/>
            <w:vAlign w:val="bottom"/>
          </w:tcPr>
          <w:p>
            <w:pPr>
              <w:ind w:left="20"/>
              <w:spacing w:after="0"/>
              <w:rPr>
                <w:sz w:val="20"/>
                <w:szCs w:val="20"/>
                <w:color w:val="auto"/>
              </w:rPr>
            </w:pPr>
            <w:r>
              <w:rPr>
                <w:rFonts w:ascii="Arial" w:cs="Arial" w:eastAsia="Arial" w:hAnsi="Arial"/>
                <w:sz w:val="18"/>
                <w:szCs w:val="18"/>
                <w:color w:val="auto"/>
              </w:rPr>
              <w:t>Mark A. Pompa</w:t>
            </w:r>
          </w:p>
        </w:tc>
        <w:tc>
          <w:tcPr>
            <w:tcW w:w="2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31"/>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G. Heard</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Patricia K. Wagner</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Frank G. Heard</w:t>
            </w:r>
          </w:p>
        </w:tc>
        <w:tc>
          <w:tcPr>
            <w:tcW w:w="2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380" w:type="dxa"/>
            <w:vAlign w:val="bottom"/>
          </w:tcPr>
          <w:p>
            <w:pPr>
              <w:ind w:left="20"/>
              <w:spacing w:after="0"/>
              <w:rPr>
                <w:sz w:val="20"/>
                <w:szCs w:val="20"/>
                <w:color w:val="auto"/>
              </w:rPr>
            </w:pPr>
            <w:r>
              <w:rPr>
                <w:rFonts w:ascii="Arial" w:cs="Arial" w:eastAsia="Arial" w:hAnsi="Arial"/>
                <w:sz w:val="18"/>
                <w:szCs w:val="18"/>
                <w:color w:val="auto"/>
              </w:rPr>
              <w:t>Patricia K. Wagner</w:t>
            </w:r>
          </w:p>
        </w:tc>
        <w:tc>
          <w:tcPr>
            <w:tcW w:w="2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31"/>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Lloyd E. Johnson</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Lloyd E. Johnson</w:t>
            </w:r>
          </w:p>
        </w:tc>
        <w:tc>
          <w:tcPr>
            <w:tcW w:w="2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APOGEE ENTERPRISES,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EMPLOYEE STOCK PURCHASE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as of April 21, 2021)</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5560" w:val="left"/>
        </w:tabs>
        <w:rPr>
          <w:sz w:val="20"/>
          <w:szCs w:val="20"/>
          <w:color w:val="auto"/>
        </w:rPr>
      </w:pPr>
      <w:r>
        <w:rPr>
          <w:rFonts w:ascii="Arial" w:cs="Arial" w:eastAsia="Arial" w:hAnsi="Arial"/>
          <w:sz w:val="18"/>
          <w:szCs w:val="18"/>
          <w:color w:val="auto"/>
        </w:rPr>
        <w:t>ARTICLE I.</w:t>
      </w:r>
      <w:r>
        <w:rPr>
          <w:sz w:val="20"/>
          <w:szCs w:val="20"/>
          <w:color w:val="auto"/>
        </w:rPr>
        <w:tab/>
      </w:r>
      <w:r>
        <w:rPr>
          <w:rFonts w:ascii="Arial" w:cs="Arial" w:eastAsia="Arial" w:hAnsi="Arial"/>
          <w:sz w:val="17"/>
          <w:szCs w:val="17"/>
          <w:u w:val="single" w:color="auto"/>
          <w:color w:val="auto"/>
        </w:rPr>
        <w:t>INTRODUCTION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encourage and assist employees of the Company and certain related corporations in acquiring an ownership interest in the Company through the systematic purchase of the Common Stock of the Company under convenient and advantageous terms. It is believed that the Plan will encourage participants to put forth their best efforts toward the profitability of the Company.</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Effect on Prior Plans</w:t>
      </w:r>
      <w:r>
        <w:rPr>
          <w:rFonts w:ascii="Arial" w:cs="Arial" w:eastAsia="Arial" w:hAnsi="Arial"/>
          <w:sz w:val="17"/>
          <w:szCs w:val="17"/>
          <w:color w:val="auto"/>
        </w:rPr>
        <w:t>. After the Commencement Date (as defined in Section 8.02 below) the Apogee Enterprises, Inc. Employee Stock Purchase Plan (the “Prior Plan”) terminated. All outstanding accounts administered under the Prior Plan, as of the Commencement Date, automatically became Stock Purchase Accounts under this Plan and were administered according to the provisions of this Plan.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the Plan, the following terms will have the meanings set forth below:</w:t>
      </w:r>
    </w:p>
    <w:p>
      <w:pPr>
        <w:spacing w:after="0" w:line="225" w:lineRule="exact"/>
        <w:rPr>
          <w:sz w:val="20"/>
          <w:szCs w:val="20"/>
          <w:color w:val="auto"/>
        </w:rPr>
      </w:pPr>
    </w:p>
    <w:p>
      <w:pPr>
        <w:jc w:val="both"/>
        <w:ind w:firstLine="1304"/>
        <w:spacing w:after="0" w:line="296" w:lineRule="auto"/>
        <w:tabs>
          <w:tab w:leader="none" w:pos="19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Acceleration Date</w:t>
      </w:r>
      <w:r>
        <w:rPr>
          <w:rFonts w:ascii="Arial" w:cs="Arial" w:eastAsia="Arial" w:hAnsi="Arial"/>
          <w:sz w:val="16"/>
          <w:szCs w:val="16"/>
          <w:color w:val="auto"/>
        </w:rPr>
        <w:t>” means the consummation of (i) any consolidation or merger of the Company in which the Company is not the continuing or surviving corporation or pursuant to which shares of Company Common Stock would be converted into cash, securities or other property, other than a merger of the Company in which shareholders of the Company immediately prior to the merger have substantially the same proportionate ownership of stock in the surviving corporation immediately after the merger; (ii) any sale, exchange or other transfer (in one transaction or a series of related transactions) of all or substantially all of the assets of the Company; or (iii) any plan of liquidation or dissolution of the Company.</w:t>
      </w:r>
    </w:p>
    <w:p>
      <w:pPr>
        <w:spacing w:after="0" w:line="161" w:lineRule="exact"/>
        <w:rPr>
          <w:rFonts w:ascii="Arial" w:cs="Arial" w:eastAsia="Arial" w:hAnsi="Arial"/>
          <w:sz w:val="16"/>
          <w:szCs w:val="16"/>
          <w:color w:val="auto"/>
        </w:rPr>
      </w:pPr>
    </w:p>
    <w:p>
      <w:pPr>
        <w:ind w:firstLine="1304"/>
        <w:spacing w:after="0" w:line="277" w:lineRule="auto"/>
        <w:tabs>
          <w:tab w:leader="none" w:pos="19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subsidiary corporation of the Company, as defined in Section 424(f) of the Code, whether now or hereafter acquired or established.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Section 9.01 of the Plan.</w:t>
      </w:r>
    </w:p>
    <w:p>
      <w:pPr>
        <w:spacing w:after="0" w:line="225" w:lineRule="exact"/>
        <w:rPr>
          <w:rFonts w:ascii="Arial" w:cs="Arial" w:eastAsia="Arial" w:hAnsi="Arial"/>
          <w:sz w:val="18"/>
          <w:szCs w:val="18"/>
          <w:color w:val="auto"/>
        </w:rPr>
      </w:pPr>
    </w:p>
    <w:p>
      <w:pPr>
        <w:ind w:right="20" w:firstLine="1304"/>
        <w:spacing w:after="0" w:line="277" w:lineRule="auto"/>
        <w:tabs>
          <w:tab w:leader="none" w:pos="19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par value $.331/3 per share, as such stock may be adjusted for changes in the stock or the Company as contemplated by Article XI of the Plan.</w:t>
      </w:r>
    </w:p>
    <w:p>
      <w:pPr>
        <w:spacing w:after="0" w:line="170" w:lineRule="exact"/>
        <w:rPr>
          <w:rFonts w:ascii="Arial" w:cs="Arial" w:eastAsia="Arial" w:hAnsi="Arial"/>
          <w:sz w:val="18"/>
          <w:szCs w:val="18"/>
          <w:color w:val="auto"/>
        </w:rPr>
      </w:pPr>
    </w:p>
    <w:p>
      <w:pPr>
        <w:ind w:firstLine="1304"/>
        <w:spacing w:after="0" w:line="277" w:lineRule="auto"/>
        <w:tabs>
          <w:tab w:leader="none" w:pos="19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Apogee Enterprises, Inc., a Minnesota corporation, and its successors by merger or consolidation as contemplated by Section 10.02 of the Plan.</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Crediting Date</w:t>
      </w:r>
      <w:r>
        <w:rPr>
          <w:rFonts w:ascii="Arial" w:cs="Arial" w:eastAsia="Arial" w:hAnsi="Arial"/>
          <w:sz w:val="18"/>
          <w:szCs w:val="18"/>
          <w:color w:val="auto"/>
        </w:rPr>
        <w:t>” shall have the meaning ascribed to that term in Section 3.02 of the Plan.</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Compensation</w:t>
      </w:r>
      <w:r>
        <w:rPr>
          <w:rFonts w:ascii="Arial" w:cs="Arial" w:eastAsia="Arial" w:hAnsi="Arial"/>
          <w:sz w:val="18"/>
          <w:szCs w:val="18"/>
          <w:color w:val="auto"/>
        </w:rPr>
        <w:t>” means all regular wage, salary and commission payments paid by the Company or a Participating Affiliate to a Participant in accordance with the terms of his or her employment, but excluding annual bonus payments and all other forms of special compensation.</w:t>
      </w:r>
    </w:p>
    <w:p>
      <w:pPr>
        <w:spacing w:after="0" w:line="183" w:lineRule="exact"/>
        <w:rPr>
          <w:rFonts w:ascii="Arial" w:cs="Arial" w:eastAsia="Arial" w:hAnsi="Arial"/>
          <w:sz w:val="18"/>
          <w:szCs w:val="18"/>
          <w:color w:val="auto"/>
        </w:rPr>
      </w:pPr>
    </w:p>
    <w:p>
      <w:pPr>
        <w:ind w:firstLine="1304"/>
        <w:spacing w:after="0" w:line="277" w:lineRule="auto"/>
        <w:tabs>
          <w:tab w:leader="none" w:pos="19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 Regular Employee who is eligible to participate in the Plan under Section 2.01 of the Plan and who has elected to participate in the Plan.</w:t>
      </w:r>
    </w:p>
    <w:p>
      <w:pPr>
        <w:spacing w:after="0" w:line="170" w:lineRule="exact"/>
        <w:rPr>
          <w:rFonts w:ascii="Arial" w:cs="Arial" w:eastAsia="Arial" w:hAnsi="Arial"/>
          <w:sz w:val="18"/>
          <w:szCs w:val="18"/>
          <w:color w:val="auto"/>
        </w:rPr>
      </w:pPr>
    </w:p>
    <w:p>
      <w:pPr>
        <w:ind w:firstLine="1304"/>
        <w:spacing w:after="0" w:line="277" w:lineRule="auto"/>
        <w:tabs>
          <w:tab w:leader="none" w:pos="19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Affiliate</w:t>
      </w:r>
      <w:r>
        <w:rPr>
          <w:rFonts w:ascii="Arial" w:cs="Arial" w:eastAsia="Arial" w:hAnsi="Arial"/>
          <w:sz w:val="18"/>
          <w:szCs w:val="18"/>
          <w:color w:val="auto"/>
        </w:rPr>
        <w:t>” means an Affiliate whose eligible Regular Employees may participate in the Plan that was (i) an Affiliate on the date that this Plan was adopted or (ii) an Affiliate that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7" w:right="339" w:bottom="1440" w:gutter="0" w:footer="0" w:header="0"/>
        </w:sectPr>
      </w:pPr>
    </w:p>
    <w:bookmarkStart w:id="66" w:name="page67"/>
    <w:bookmarkEnd w:id="66"/>
    <w:p>
      <w:pPr>
        <w:ind w:right="20"/>
        <w:spacing w:after="0" w:line="277" w:lineRule="auto"/>
        <w:rPr>
          <w:sz w:val="20"/>
          <w:szCs w:val="20"/>
          <w:color w:val="auto"/>
        </w:rPr>
      </w:pPr>
      <w:r>
        <w:rPr>
          <w:rFonts w:ascii="Arial" w:cs="Arial" w:eastAsia="Arial" w:hAnsi="Arial"/>
          <w:sz w:val="18"/>
          <w:szCs w:val="18"/>
          <w:color w:val="auto"/>
        </w:rPr>
        <w:t>acquired after the Plan was adopted and which has been designated by the Committee in advance of the Payroll Date in question as a corporation whose eligible Regular Employees may participate in the Plan.</w:t>
      </w:r>
    </w:p>
    <w:p>
      <w:pPr>
        <w:spacing w:after="0" w:line="170" w:lineRule="exact"/>
        <w:rPr>
          <w:sz w:val="20"/>
          <w:szCs w:val="20"/>
          <w:color w:val="auto"/>
        </w:rPr>
      </w:pPr>
    </w:p>
    <w:p>
      <w:pPr>
        <w:ind w:left="1940" w:hanging="636"/>
        <w:spacing w:after="0"/>
        <w:tabs>
          <w:tab w:leader="none" w:pos="19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Apogee Enterprises, Inc. 2000 Employee Stock Purchase Plan, as it may be amended, the provisions of which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are set forth herein.</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19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Administration Agent</w:t>
      </w:r>
      <w:r>
        <w:rPr>
          <w:rFonts w:ascii="Arial" w:cs="Arial" w:eastAsia="Arial" w:hAnsi="Arial"/>
          <w:sz w:val="18"/>
          <w:szCs w:val="18"/>
          <w:color w:val="auto"/>
        </w:rPr>
        <w:t>” means the entity appointed by the Committee to receive and take custody of the funds contributed by the Participants and the Company and any Participating Affiliates and to carry out any additional duties of the Plan Administration Agent as set forth in the Plan.</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Date</w:t>
      </w:r>
      <w:r>
        <w:rPr>
          <w:rFonts w:ascii="Arial" w:cs="Arial" w:eastAsia="Arial" w:hAnsi="Arial"/>
          <w:sz w:val="18"/>
          <w:szCs w:val="18"/>
          <w:color w:val="auto"/>
        </w:rPr>
        <w:t>” means any payroll date applicable to a Participant.</w:t>
      </w:r>
    </w:p>
    <w:p>
      <w:pPr>
        <w:spacing w:after="0" w:line="225" w:lineRule="exact"/>
        <w:rPr>
          <w:rFonts w:ascii="Arial" w:cs="Arial" w:eastAsia="Arial" w:hAnsi="Arial"/>
          <w:sz w:val="18"/>
          <w:szCs w:val="18"/>
          <w:color w:val="auto"/>
        </w:rPr>
      </w:pPr>
    </w:p>
    <w:p>
      <w:pPr>
        <w:ind w:firstLine="1304"/>
        <w:spacing w:after="0" w:line="277" w:lineRule="auto"/>
        <w:tabs>
          <w:tab w:leader="none" w:pos="19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Date</w:t>
      </w:r>
      <w:r>
        <w:rPr>
          <w:rFonts w:ascii="Arial" w:cs="Arial" w:eastAsia="Arial" w:hAnsi="Arial"/>
          <w:sz w:val="18"/>
          <w:szCs w:val="18"/>
          <w:color w:val="auto"/>
        </w:rPr>
        <w:t>” shall mean the Wednesday (or if such day is not a trading day on which the Plan Administration Agent is open for business, the next trading day) on which the Plan Administration Agent is open for business.</w:t>
      </w:r>
    </w:p>
    <w:p>
      <w:pPr>
        <w:spacing w:after="0" w:line="170" w:lineRule="exact"/>
        <w:rPr>
          <w:rFonts w:ascii="Arial" w:cs="Arial" w:eastAsia="Arial" w:hAnsi="Arial"/>
          <w:sz w:val="18"/>
          <w:szCs w:val="18"/>
          <w:color w:val="auto"/>
        </w:rPr>
      </w:pPr>
    </w:p>
    <w:p>
      <w:pPr>
        <w:ind w:firstLine="1304"/>
        <w:spacing w:after="0" w:line="277" w:lineRule="auto"/>
        <w:tabs>
          <w:tab w:leader="none" w:pos="19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Employee</w:t>
      </w:r>
      <w:r>
        <w:rPr>
          <w:rFonts w:ascii="Arial" w:cs="Arial" w:eastAsia="Arial" w:hAnsi="Arial"/>
          <w:sz w:val="18"/>
          <w:szCs w:val="18"/>
          <w:color w:val="auto"/>
        </w:rPr>
        <w:t>” means an employee of the Company or a Participating Affiliate as of any Payroll Date, including a union employee, but excluding an employee whose customary employment is less than 20 hours per week.</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Purchase Account</w:t>
      </w:r>
      <w:r>
        <w:rPr>
          <w:rFonts w:ascii="Arial" w:cs="Arial" w:eastAsia="Arial" w:hAnsi="Arial"/>
          <w:sz w:val="18"/>
          <w:szCs w:val="18"/>
          <w:color w:val="auto"/>
        </w:rPr>
        <w:t>” means the account maintained by the Plan Administration Agent recording the number of whole and fractional shares allocated to a Participant based on the amount received from each Participant through payroll deductions made under the Plan and the Company’s or the Participating Affiliate’s contribution made under the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ELIGIBILITY AND PARTICIPATION</w:t>
      </w:r>
    </w:p>
    <w:p>
      <w:pPr>
        <w:spacing w:after="0" w:line="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Eligible Employees</w:t>
      </w:r>
      <w:r>
        <w:rPr>
          <w:rFonts w:ascii="Arial" w:cs="Arial" w:eastAsia="Arial" w:hAnsi="Arial"/>
          <w:sz w:val="18"/>
          <w:szCs w:val="18"/>
          <w:color w:val="auto"/>
        </w:rPr>
        <w:t>. All Regular Employees shall be eligible to enroll in the Plan as of the first business day of the calendar month to occur after such person becomes a Regular Employee. Subject to the provisions of Article VI of the Plan, each such employee will continue to be eligible to participate in the Plan so long as he or she remains a Regular Employee.</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Election to Participate</w:t>
      </w:r>
      <w:r>
        <w:rPr>
          <w:rFonts w:ascii="Arial" w:cs="Arial" w:eastAsia="Arial" w:hAnsi="Arial"/>
          <w:sz w:val="17"/>
          <w:szCs w:val="17"/>
          <w:color w:val="auto"/>
        </w:rPr>
        <w:t>. An eligible Regular Employee may elect to participate in the Plan as of any Payroll Date by filing with the Company, in advance of that Payroll Date and in accordance with such terms and conditions as the Committee in its sole discretion may impose, a form or other electronic medium provided by the Company for such purpose (which authorizes regular payroll deductions from Current Compensation on that Payroll Date and continuing until the employee withdraws from the Plan or ceases to be eligible to participate in the Plan).</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Voluntary Participation</w:t>
      </w:r>
      <w:r>
        <w:rPr>
          <w:rFonts w:ascii="Arial" w:cs="Arial" w:eastAsia="Arial" w:hAnsi="Arial"/>
          <w:sz w:val="16"/>
          <w:szCs w:val="16"/>
          <w:color w:val="auto"/>
        </w:rPr>
        <w:t>. Participation in the Plan on the part of a Participant is voluntary and such participation is not a condition of employment nor does participation in the Plan entitle a Participant to be retained as an employee of the Company or any Participating Affiliate.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PAYROLL DEDUCTIONS AND STOCK PURCHASE ACCOUNT</w:t>
      </w:r>
    </w:p>
    <w:p>
      <w:pPr>
        <w:spacing w:after="0" w:line="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Deductions from Pay</w:t>
      </w:r>
      <w:r>
        <w:rPr>
          <w:rFonts w:ascii="Arial" w:cs="Arial" w:eastAsia="Arial" w:hAnsi="Arial"/>
          <w:sz w:val="18"/>
          <w:szCs w:val="18"/>
          <w:color w:val="auto"/>
        </w:rPr>
        <w:t>. The form or other electronic medium described in Section 2.02 of the Plan will permit a Participant to elect payroll deductions of any multiple of $1 per week but not more than $500 per week of such Participant’s Current Compensation, subject to such other limitations as the Committee in its sole discretion may impose. A Participant may increase, decrease or cease making payroll deductions at any time, subject to such limitations as the Committee in its sole discretion may impose.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67" w:name="page68"/>
    <w:bookmarkEnd w:id="67"/>
    <w:p>
      <w:pPr>
        <w:jc w:val="both"/>
        <w:ind w:firstLine="648"/>
        <w:spacing w:after="0" w:line="275"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Credit to Account</w:t>
      </w:r>
      <w:r>
        <w:rPr>
          <w:rFonts w:ascii="Arial" w:cs="Arial" w:eastAsia="Arial" w:hAnsi="Arial"/>
          <w:sz w:val="17"/>
          <w:szCs w:val="17"/>
          <w:color w:val="auto"/>
        </w:rPr>
        <w:t>. Payroll deductions will be remitted to the Plan Administration Agent four weeks after the Payroll Date for which the deductions were taken and credited to the Participant’s Stock Purchase Account (hereinafter, the “Crediting Date”). At such time, the Company or the Participating Affiliate will contribute, and remit to the Plan Administration Agent, a matching amount equal to 15% of the contribution amount of each Participant for the Payroll Date and such matching amount will be credited to each Participant’s Stock Purchase Account at the same time. Any required withholding on the income from the matching amount shall be taken out of the Participant’s ordinary payroll.</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Interest</w:t>
      </w:r>
      <w:r>
        <w:rPr>
          <w:rFonts w:ascii="Arial" w:cs="Arial" w:eastAsia="Arial" w:hAnsi="Arial"/>
          <w:sz w:val="18"/>
          <w:szCs w:val="18"/>
          <w:color w:val="auto"/>
        </w:rPr>
        <w:t>. No interest will be paid on payroll deductions or on any other amount credited to, or on deposit in, a Participant’s Stock Purchase Account.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No Additional Contributions</w:t>
      </w:r>
      <w:r>
        <w:rPr>
          <w:rFonts w:ascii="Arial" w:cs="Arial" w:eastAsia="Arial" w:hAnsi="Arial"/>
          <w:sz w:val="18"/>
          <w:szCs w:val="18"/>
          <w:color w:val="auto"/>
        </w:rPr>
        <w:t>. A Participant may not make any payment into the Stock Purchase Account other than the payroll deductions made pursuant to the Plan.</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Nature of Account</w:t>
      </w:r>
      <w:r>
        <w:rPr>
          <w:rFonts w:ascii="Arial" w:cs="Arial" w:eastAsia="Arial" w:hAnsi="Arial"/>
          <w:sz w:val="17"/>
          <w:szCs w:val="17"/>
          <w:color w:val="auto"/>
        </w:rPr>
        <w:t>. The Stock Purchase Account is established solely for accounting purposes, and all dollar amounts credited to the Stock Purchase Account will remain part of the general assets of the Company or the Participating Affiliate (as the case maybe).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SHARE PURCHASES</w:t>
      </w:r>
    </w:p>
    <w:p>
      <w:pPr>
        <w:spacing w:after="0" w:line="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Number of Shares</w:t>
      </w:r>
      <w:r>
        <w:rPr>
          <w:rFonts w:ascii="Arial" w:cs="Arial" w:eastAsia="Arial" w:hAnsi="Arial"/>
          <w:sz w:val="18"/>
          <w:szCs w:val="18"/>
          <w:color w:val="auto"/>
        </w:rPr>
        <w:t>. As of the Purchase Date next following the Crediting Date, the Plan Administration Agent shall purchase on the open market the number of whole shares of Common Stock that can be purchased at the price specified in Section 4.02 of the Plan with the entire credit balance in all Participants’ Stock Purchase Accounts (excluding any Participant who has notified the Company, in advance of that date and subject to such terms and conditions as the Committee in its sole discretion may impose, of the Participant’s election to receive the distribution of the entire credit balance in cash). The Plan Administration Agent shall purchase shares for all Participants in an omnibus account, with shares allocated to Participants in whole and fractional amounts based on their Account balances.</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for any Common Stock purchased under the Plan shall be the price paid in the open market by the Plan Administration Agent on the relevant purchase date on behalf of all Participants in the Plan.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Limitations</w:t>
      </w:r>
      <w:r>
        <w:rPr>
          <w:rFonts w:ascii="Arial" w:cs="Arial" w:eastAsia="Arial" w:hAnsi="Arial"/>
          <w:sz w:val="18"/>
          <w:szCs w:val="18"/>
          <w:color w:val="auto"/>
        </w:rPr>
        <w:t>. Any provisions of the Plan to the contrary notwithstanding, no Participant will have the right to purchase shares of Common Stock under the Plan to the extent that, immediately after the grant, such Participant (or any other person whose stock would be attributed to such Participant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Reports to Participants</w:t>
      </w:r>
      <w:r>
        <w:rPr>
          <w:rFonts w:ascii="Arial" w:cs="Arial" w:eastAsia="Arial" w:hAnsi="Arial"/>
          <w:sz w:val="16"/>
          <w:szCs w:val="16"/>
          <w:color w:val="auto"/>
        </w:rPr>
        <w:t>. The Plan Administration Agent will issue quarterly statements to each Participant showing the number of shares purchased for his or her Stock Purchase Account in the preceding quarter and the total number of shares in the Participant’s Stock Purchase Account.</w:t>
      </w:r>
    </w:p>
    <w:p>
      <w:pPr>
        <w:spacing w:after="0" w:line="12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Notice of Acceleration Date</w:t>
      </w:r>
      <w:r>
        <w:rPr>
          <w:rFonts w:ascii="Arial" w:cs="Arial" w:eastAsia="Arial" w:hAnsi="Arial"/>
          <w:sz w:val="16"/>
          <w:szCs w:val="16"/>
          <w:color w:val="auto"/>
        </w:rPr>
        <w:t>. The Company shall use reasonable commercial efforts to notify each Participant in writing at least ten days prior to any Acceleration Date. As of the Purchase Date immediately preceding the Acceleration Date, the Plan Administration Agent shall purchase the number of shares of Common Stock that can be purchased in accordance with Sections 4.01 and 4.02 above, and thereafter the Plan shall automatically terminate. Any payroll deductions set aside and all other cash credited to Stock Purchase Account shall be distributed to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WITHDRAWAL FROM PLAN; SALE OF STOCK</w:t>
      </w:r>
    </w:p>
    <w:p>
      <w:pPr>
        <w:spacing w:after="0" w:line="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Voluntary Withdrawal</w:t>
      </w:r>
      <w:r>
        <w:rPr>
          <w:rFonts w:ascii="Arial" w:cs="Arial" w:eastAsia="Arial" w:hAnsi="Arial"/>
          <w:sz w:val="16"/>
          <w:szCs w:val="16"/>
          <w:color w:val="auto"/>
        </w:rPr>
        <w:t>. A Participant may, in accordance with such terms and conditions as the Committee in its sole discretion may impose, withdraw from the Plan and cease making payroll deductions by filing with the Company a form provided for this purpose (or through such electronic medium as may be established by the Company). A Participant who withdraws from the Plan may re-enroll at any time to resume making payroll deduction as of any next following Payroll Date, subject to such terms and conditions as the Committee in its sole discretion may impose.</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Death</w:t>
      </w:r>
      <w:r>
        <w:rPr>
          <w:rFonts w:ascii="Arial" w:cs="Arial" w:eastAsia="Arial" w:hAnsi="Arial"/>
          <w:sz w:val="16"/>
          <w:szCs w:val="16"/>
          <w:color w:val="auto"/>
        </w:rPr>
        <w:t>. Subject to such terms and conditions as the Committee in its sole discretion may impose, upon the death of a Participant, no further amounts shall be credited to the Participant’s Stock Purchase Account other than payroll deductions made prior to the Participant’s death but not yet remitted to the Stock Purchase Account. Thereafter, all remaining payroll deductions shall be remitted in the ordinary course and purchases made in accordance with Sections 3.02 and 4.01 of the Plan until the remaining credit balance in such Participant’s Stock Purchase Account is exhausted, unless such Participant’s estate has notified the Company, in advance of that day and subject to such terms and conditions as the Committee in its sole discretion may impose, of its election to have all unremitted payroll deductions and the entire credit balance in such Participant’s Stock Purchase Account distributed in cash within 30 days after the Participant’s death or at such earlier time as the Committee in its sole discretion may decide. Each Participant, however, may designate one or more beneficiaries who, upon death, are to receive the Common Stock or the amount that otherwise would have been distributed or paid to the Participant’s estate and may change or revoke any such designation from time to time. No such designation, change or revocation will be effective unless made by the Participant in writing and filed with the Company during the Participant’s lifetime. Unless the Participant has otherwise specified the beneficiary designation, the beneficiary or beneficiaries so designated will become fixed as of the date of the Participant’s death so that, if a beneficiary survives the Participant but dies before the receipt of the payment due such beneficiary, the payment will be made to such beneficiary’s estate.</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Subject to such terms and conditions as the Committee in its sole discretion may impose, upon a Participant’s termination of employment with the Company or a Participating Affiliate, no further amounts shall be credited to the Participant’s Stock Purchase Account other than payroll deductions made prior to the Participant’s termination of employment but not yet remitted to the Stock Purchase Account. Thereafter, all remaining payroll deductions shall be remitted in the ordinary course and purchases made in accordance with Sections 3.02 and 4.01 of the Plan until the remaining credit balance in such Participant’s Stock Purchase Account is exhausted, unless such Participant has notified the Company, in advance of that day and subject to such terms and conditions as the Committee in its sole discretion may impose, of the Participant’s election to receive all unremitted payroll deductions and the entire credit balance in such Participant’s Stock Purchase Account in cash within 30 days after the Participant’s termination of employment. For purposes of this Section 6.03, a transfer of employment to any Participating Affiliate, or a leave of absence which has been approved by the Committee, will not be deemed a termination of employment as a Regular Employee. If shares remain in a Participant’s Stock Purchase Account after three months following termination of employment, the Participant will be sent a letter giving the Participant the option to either (i) direct the Plan Administration Agent to sell the shares, (ii) transfer the shares to a broker selected by the Participant or (iii) transfer the shares to Apogee’s transfer agent.</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Sale of Stock</w:t>
      </w:r>
      <w:r>
        <w:rPr>
          <w:rFonts w:ascii="Arial" w:cs="Arial" w:eastAsia="Arial" w:hAnsi="Arial"/>
          <w:sz w:val="18"/>
          <w:szCs w:val="18"/>
          <w:color w:val="auto"/>
        </w:rPr>
        <w:t>. A Participant may direct the Plan Administration Agent to sell a portion or all of the shares held in his or her Stock Purchase Account. Upon receipt of the direction, the Plan Administration Agent will sell the designated shares at the prevailing market price. Following the second sale in any calendar year by a Participant of shares held in his or her Stock Purchase Account, all payroll deductions and contributions by the Company or the Participating Affiliate will cease for a period of six months, after which time the Participant may resume participation in the Plan. If a Participant makes a third request for the sale of shares in any calendar year, the Participant’s participation in the Plan shall cease, the Participant’s Stock Purchase Account shall be closed, and the Participant shall not be eligible to participate in the Plan for a period of at least six months after the date of the Participant’s third request for such sale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NONTRANSFERABILITY</w:t>
      </w:r>
    </w:p>
    <w:p>
      <w:pPr>
        <w:spacing w:after="0" w:line="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Nontransferable Right to Purchase</w:t>
      </w:r>
      <w:r>
        <w:rPr>
          <w:rFonts w:ascii="Arial" w:cs="Arial" w:eastAsia="Arial" w:hAnsi="Arial"/>
          <w:sz w:val="18"/>
          <w:szCs w:val="18"/>
          <w:color w:val="auto"/>
        </w:rPr>
        <w:t>. The right to purchase Common Stock hereunder may not be assigned, transferred, pledged or hypothecated (whether by operation of law or otherwise), except as provided in Section 5.02 of the Plan, and will not be subject to execution, attachment or similar process. Any attempted assignment, transfer, pledge, hypothecation or other disposition or levy of attachment or similar process upon the right to purchase will be null and void and without effect.</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Nontransferable Account</w:t>
      </w:r>
      <w:r>
        <w:rPr>
          <w:rFonts w:ascii="Arial" w:cs="Arial" w:eastAsia="Arial" w:hAnsi="Arial"/>
          <w:sz w:val="18"/>
          <w:szCs w:val="18"/>
          <w:color w:val="auto"/>
        </w:rPr>
        <w:t>. Except as provided in Section 5.02 of the Plan, the amounts credited to a Stock Purchase Account may not be assigned, transferred, pledged or hypothecated in any way, and any attempted assignment, transfer, pledge, hypothecation or other disposition of such amounts will be null and void and without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COMMON STOCK AND DIVIDEND REINVESTMENT</w:t>
      </w: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Form of Ownership</w:t>
      </w:r>
      <w:r>
        <w:rPr>
          <w:rFonts w:ascii="Arial" w:cs="Arial" w:eastAsia="Arial" w:hAnsi="Arial"/>
          <w:sz w:val="17"/>
          <w:szCs w:val="17"/>
          <w:color w:val="auto"/>
        </w:rPr>
        <w:t>. The Common Stock purchased under the Plan may be evidenced in such manner as the Committee may deem appropriate, including book entry registration or issuance of a stock certificate or certificates, which certificate or certificates shall be held by the Company or held in nominee name by the stock transfer agent or brokerage service selected by the Company to provide such services for the Plan.</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Automatic Dividend Reinvestment</w:t>
      </w:r>
      <w:r>
        <w:rPr>
          <w:rFonts w:ascii="Arial" w:cs="Arial" w:eastAsia="Arial" w:hAnsi="Arial"/>
          <w:sz w:val="16"/>
          <w:szCs w:val="16"/>
          <w:color w:val="auto"/>
        </w:rPr>
        <w:t>. Any and all cash dividends paid on shares of Common Stock held in a Participant’s Stock Purchase Account shall be credited to the Participant’s Stock Purchase Account on the basis of the number of shares in the Participant’s Stock Purchase Account on the date of record of the dividend and shall be reinvested to acquire shares of Common Stock purchased in the open market by the Plan Administration Agent. Purchases of Common Stock under this Section 7.02 will be normally purchased within ten business days of the dividend payment date, depending upon market conditions. The price per share of the Common Stock purchased pursuant to this Section 7.02 shall be the price per share at which the Common Stock is actually purchased in the open market for the relevant period on behalf of all participants in the Plan. All shares of Common Stock acquired under this Section 7.02 will be held in the Plan in the same name as the Common Stock upon which the cash dividends were paid.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EFFECTIVE DATE, AMENDMENT AND TERMINATION OF PLAN</w:t>
      </w:r>
    </w:p>
    <w:p>
      <w:pPr>
        <w:spacing w:after="0" w:line="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was approved by the Board of Directors on July 25, 2000. The Plan was amended and restated effective as of May 1, 2003, and such restatement was subsequently amended by a First Amendment effective as of February 28, 2009. The Plan is hereby amended and restated effective as of April 21, 2021.</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Plan Commencement</w:t>
      </w:r>
      <w:r>
        <w:rPr>
          <w:rFonts w:ascii="Arial" w:cs="Arial" w:eastAsia="Arial" w:hAnsi="Arial"/>
          <w:sz w:val="18"/>
          <w:szCs w:val="18"/>
          <w:color w:val="auto"/>
        </w:rPr>
        <w:t>. The Plan commenced September 1, 2000 (the “Commencement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Powers of Board</w:t>
      </w:r>
      <w:r>
        <w:rPr>
          <w:rFonts w:ascii="Arial" w:cs="Arial" w:eastAsia="Arial" w:hAnsi="Arial"/>
          <w:sz w:val="18"/>
          <w:szCs w:val="18"/>
          <w:color w:val="auto"/>
        </w:rPr>
        <w:t>. The Board of Directors may amend or discontinue the Plan at any time; provided, however, that any termination of the Plan shall not adversely affect the rights relating to the Participant’s Common Stock issued pursuant to the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w:t>
      </w:r>
    </w:p>
    <w:p>
      <w:pPr>
        <w:spacing w:after="0" w:line="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The Committee</w:t>
      </w:r>
      <w:r>
        <w:rPr>
          <w:rFonts w:ascii="Arial" w:cs="Arial" w:eastAsia="Arial" w:hAnsi="Arial"/>
          <w:sz w:val="18"/>
          <w:szCs w:val="18"/>
          <w:color w:val="auto"/>
        </w:rPr>
        <w:t>. The Plan shall be administered by a committee (the “Committee”) consisting of the Company’s (i) senior human resources officer, (ii) vice president of compensation, benefits and HR systems (or equivalent role) and (iii) a benefits manager selected by the senior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1" w:right="339" w:bottom="1440" w:gutter="0" w:footer="0" w:header="0"/>
        </w:sectPr>
      </w:pPr>
    </w:p>
    <w:bookmarkStart w:id="70" w:name="page71"/>
    <w:bookmarkEnd w:id="70"/>
    <w:p>
      <w:pPr>
        <w:jc w:val="both"/>
        <w:ind w:firstLine="792"/>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Subject to the provisions of the Plan, the Committee shall have full authority to administer the Plan, including authority to interpret and construe any provision of the Plan, to establish deadlines by which the various administrative forms must be received in order to be effective, and to adopt such other rules and regulations for administering the Plan as it may deem appropriate. The Committee shall have full and complete authority to determine whether all or any part of the Common Stock acquired pursuant to the Plan shall be subject to restrictions on the transferability thereof or any other restrictions affecting in any manner a Participant’s rights with respect thereto. Decisions of the Committee will be final and binding on all parties who have an interest in the Plan.</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Power and Authority of the Board of Directors</w:t>
      </w:r>
      <w:r>
        <w:rPr>
          <w:rFonts w:ascii="Arial" w:cs="Arial" w:eastAsia="Arial" w:hAnsi="Arial"/>
          <w:sz w:val="16"/>
          <w:szCs w:val="16"/>
          <w:color w:val="auto"/>
        </w:rPr>
        <w:t>. Notwithstanding anything to the contrary contained herein, the Board of Directors may, at any time and from time to time, without any further action of the Committee, exercise the powers and duties of the Committee under the Plan.</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Stock to be Sold</w:t>
      </w:r>
      <w:r>
        <w:rPr>
          <w:rFonts w:ascii="Arial" w:cs="Arial" w:eastAsia="Arial" w:hAnsi="Arial"/>
          <w:sz w:val="18"/>
          <w:szCs w:val="18"/>
          <w:color w:val="auto"/>
        </w:rPr>
        <w:t>. The Common Stock to be sold under the Plan shall be shares acquired in the open market by the Plan Administration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Notices</w:t>
      </w:r>
      <w:r>
        <w:rPr>
          <w:rFonts w:ascii="Arial" w:cs="Arial" w:eastAsia="Arial" w:hAnsi="Arial"/>
          <w:sz w:val="18"/>
          <w:szCs w:val="18"/>
          <w:color w:val="auto"/>
        </w:rPr>
        <w:t>. Notices to the Committee should be addressed as follows: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Apogee Enterprises,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4400 West 78th Street, Suite 520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Minneapolis, MN 55435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ESPP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ADJUSTMENT FOR CHANGES IN STOCK OR COMPANY</w:t>
      </w:r>
    </w:p>
    <w:p>
      <w:pPr>
        <w:spacing w:after="0" w:line="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Stock Dividend or Reclassification</w:t>
      </w:r>
      <w:r>
        <w:rPr>
          <w:rFonts w:ascii="Arial" w:cs="Arial" w:eastAsia="Arial" w:hAnsi="Arial"/>
          <w:sz w:val="18"/>
          <w:szCs w:val="18"/>
          <w:color w:val="auto"/>
        </w:rPr>
        <w:t>. If the outstanding shares of Common Stock are increased, decreased, changed into or exchanged for a different number or kind of securities of the Company, or shares of a different par value or without par value, through reorganization, recapitalization, reclassification, stock dividend, stock split, amendment to the Company’s Articles of Incorporation, reverse stock split or otherwise, an appropriate adjustment shall be made in the maximum number and kind of securities to be purchased under the Plan with a corresponding adjustment in the purchase price to be paid therefor.</w:t>
      </w:r>
    </w:p>
    <w:p>
      <w:pPr>
        <w:spacing w:after="0" w:line="2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Merger or Consolidation</w:t>
      </w:r>
      <w:r>
        <w:rPr>
          <w:rFonts w:ascii="Arial" w:cs="Arial" w:eastAsia="Arial" w:hAnsi="Arial"/>
          <w:sz w:val="18"/>
          <w:szCs w:val="18"/>
          <w:color w:val="auto"/>
        </w:rPr>
        <w:t>. If the Company is merged into or consolidated with one or more corporations during the term of the Plan, appropriate adjustments will be made to give effect thereto on an equitable basis in terms of issuance of shares of the corporation surviving the merger or of the consolidated corporation, as the case may be.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APPLICABLE LAW</w:t>
      </w:r>
    </w:p>
    <w:p>
      <w:pPr>
        <w:spacing w:after="0" w:line="9" w:lineRule="exact"/>
        <w:rPr>
          <w:sz w:val="20"/>
          <w:szCs w:val="20"/>
          <w:color w:val="auto"/>
        </w:rPr>
      </w:pPr>
    </w:p>
    <w:p>
      <w:pPr>
        <w:jc w:val="both"/>
        <w:ind w:right="20" w:firstLine="197"/>
        <w:spacing w:after="0" w:line="260" w:lineRule="auto"/>
        <w:rPr>
          <w:sz w:val="20"/>
          <w:szCs w:val="20"/>
          <w:color w:val="auto"/>
        </w:rPr>
      </w:pPr>
      <w:r>
        <w:rPr>
          <w:rFonts w:ascii="Arial" w:cs="Arial" w:eastAsia="Arial" w:hAnsi="Arial"/>
          <w:sz w:val="18"/>
          <w:szCs w:val="18"/>
          <w:color w:val="auto"/>
        </w:rPr>
        <w:t>The internal law, and not the law of conflicts, of the State of Minnesota shall govern all questions concerning the validity, construction and effect of the Plan, any rules or regulations relating to the Plan and the rights to purchase Common Stock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w w:val="99"/>
              </w:rPr>
              <w:t>SUBSIDIARIES OF THE REGISTRANT</w:t>
            </w:r>
          </w:p>
        </w:tc>
        <w:tc>
          <w:tcPr>
            <w:tcW w:w="1800" w:type="dxa"/>
            <w:vAlign w:val="bottom"/>
            <w:gridSpan w:val="2"/>
            <w:vMerge w:val="restart"/>
          </w:tcPr>
          <w:p>
            <w:pPr>
              <w:spacing w:after="0"/>
              <w:rPr>
                <w:sz w:val="20"/>
                <w:szCs w:val="20"/>
                <w:color w:val="auto"/>
              </w:rPr>
            </w:pPr>
          </w:p>
        </w:tc>
        <w:tc>
          <w:tcPr>
            <w:tcW w:w="2200" w:type="dxa"/>
            <w:vAlign w:val="bottom"/>
            <w:gridSpan w:val="2"/>
          </w:tcPr>
          <w:p>
            <w:pPr>
              <w:ind w:left="140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220" w:type="dxa"/>
            <w:vAlign w:val="bottom"/>
            <w:tcBorders>
              <w:bottom w:val="single" w:sz="8" w:color="auto"/>
            </w:tcBorders>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9040" w:type="dxa"/>
            <w:vAlign w:val="bottom"/>
            <w:gridSpan w:val="5"/>
          </w:tcPr>
          <w:p>
            <w:pPr>
              <w:spacing w:after="0"/>
              <w:rPr>
                <w:sz w:val="20"/>
                <w:szCs w:val="20"/>
                <w:color w:val="auto"/>
              </w:rPr>
            </w:pPr>
            <w:r>
              <w:rPr>
                <w:rFonts w:ascii="Arial" w:cs="Arial" w:eastAsia="Arial" w:hAnsi="Arial"/>
                <w:sz w:val="18"/>
                <w:szCs w:val="18"/>
                <w:color w:val="auto"/>
                <w:w w:val="93"/>
              </w:rPr>
              <w:t>The Company is the owner of all of the issued and outstanding stock of the following corporations, except as noted below.</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0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Name of Subsidiary</w:t>
            </w:r>
          </w:p>
        </w:tc>
        <w:tc>
          <w:tcPr>
            <w:tcW w:w="22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State or Country of</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vMerge w:val="continue"/>
          </w:tcPr>
          <w:p>
            <w:pPr>
              <w:spacing w:after="0"/>
              <w:rPr>
                <w:sz w:val="19"/>
                <w:szCs w:val="19"/>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Prism Assurance, Ltd.</w:t>
            </w:r>
          </w:p>
        </w:tc>
        <w:tc>
          <w:tcPr>
            <w:tcW w:w="1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tcPr>
          <w:p>
            <w:pPr>
              <w:ind w:left="20"/>
              <w:spacing w:after="0"/>
              <w:rPr>
                <w:sz w:val="20"/>
                <w:szCs w:val="20"/>
                <w:color w:val="auto"/>
              </w:rPr>
            </w:pPr>
            <w:r>
              <w:rPr>
                <w:rFonts w:ascii="Arial" w:cs="Arial" w:eastAsia="Arial" w:hAnsi="Arial"/>
                <w:sz w:val="18"/>
                <w:szCs w:val="18"/>
                <w:color w:val="auto"/>
              </w:rPr>
              <w:t>Harmon, Inc.</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Harmon Contract, Inc.</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4"/>
          </w:tcPr>
          <w:p>
            <w:pPr>
              <w:ind w:left="20"/>
              <w:spacing w:after="0"/>
              <w:rPr>
                <w:sz w:val="20"/>
                <w:szCs w:val="20"/>
                <w:color w:val="auto"/>
              </w:rPr>
            </w:pPr>
            <w:r>
              <w:rPr>
                <w:rFonts w:ascii="Arial" w:cs="Arial" w:eastAsia="Arial" w:hAnsi="Arial"/>
                <w:sz w:val="18"/>
                <w:szCs w:val="18"/>
                <w:color w:val="auto"/>
              </w:rPr>
              <w:t>Viracon, Inc.</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Viracon Georgia, Inc.</w:t>
            </w:r>
            <w:r>
              <w:rPr>
                <w:rFonts w:ascii="Arial" w:cs="Arial" w:eastAsia="Arial" w:hAnsi="Arial"/>
                <w:sz w:val="23"/>
                <w:szCs w:val="23"/>
                <w:color w:val="auto"/>
                <w:vertAlign w:val="superscript"/>
              </w:rPr>
              <w:t>(1)</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Viracon Singapore Pte. Ltd</w:t>
            </w:r>
            <w:r>
              <w:rPr>
                <w:rFonts w:ascii="Arial" w:cs="Arial" w:eastAsia="Arial" w:hAnsi="Arial"/>
                <w:sz w:val="23"/>
                <w:szCs w:val="23"/>
                <w:color w:val="auto"/>
                <w:vertAlign w:val="superscript"/>
              </w:rPr>
              <w:t>(1)</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Singapore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Glassec Vidros de Seguranca Ltda.</w:t>
            </w:r>
            <w:r>
              <w:rPr>
                <w:rFonts w:ascii="Arial" w:cs="Arial" w:eastAsia="Arial" w:hAnsi="Arial"/>
                <w:sz w:val="23"/>
                <w:szCs w:val="23"/>
                <w:color w:val="auto"/>
                <w:vertAlign w:val="superscript"/>
              </w:rPr>
              <w:t>(2)</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tcPr>
          <w:p>
            <w:pPr>
              <w:ind w:left="20"/>
              <w:spacing w:after="0"/>
              <w:rPr>
                <w:sz w:val="20"/>
                <w:szCs w:val="20"/>
                <w:color w:val="auto"/>
              </w:rPr>
            </w:pPr>
            <w:r>
              <w:rPr>
                <w:rFonts w:ascii="Arial" w:cs="Arial" w:eastAsia="Arial" w:hAnsi="Arial"/>
                <w:sz w:val="18"/>
                <w:szCs w:val="18"/>
                <w:color w:val="auto"/>
              </w:rPr>
              <w:t>Tru Vue, Inc.</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Illinois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Tru Vue Netherlands, B.V.</w:t>
            </w:r>
            <w:r>
              <w:rPr>
                <w:rFonts w:ascii="Arial" w:cs="Arial" w:eastAsia="Arial" w:hAnsi="Arial"/>
                <w:sz w:val="23"/>
                <w:szCs w:val="23"/>
                <w:color w:val="auto"/>
                <w:vertAlign w:val="superscript"/>
              </w:rPr>
              <w:t>(3)</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Apogee Services, Inc.</w:t>
            </w:r>
            <w:r>
              <w:rPr>
                <w:rFonts w:ascii="Arial" w:cs="Arial" w:eastAsia="Arial" w:hAnsi="Arial"/>
                <w:sz w:val="23"/>
                <w:szCs w:val="23"/>
                <w:color w:val="auto"/>
                <w:vertAlign w:val="superscript"/>
              </w:rPr>
              <w:t>(4)</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Apogee Wausau Group, Inc.</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Wisconsin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4"/>
          </w:tcPr>
          <w:p>
            <w:pPr>
              <w:ind w:left="20"/>
              <w:spacing w:after="0"/>
              <w:rPr>
                <w:sz w:val="20"/>
                <w:szCs w:val="20"/>
                <w:color w:val="auto"/>
              </w:rPr>
            </w:pPr>
            <w:r>
              <w:rPr>
                <w:rFonts w:ascii="Arial" w:cs="Arial" w:eastAsia="Arial" w:hAnsi="Arial"/>
                <w:sz w:val="18"/>
                <w:szCs w:val="18"/>
                <w:color w:val="auto"/>
              </w:rPr>
              <w:t>Tubelite Inc.</w:t>
            </w:r>
          </w:p>
        </w:tc>
        <w:tc>
          <w:tcPr>
            <w:tcW w:w="21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Alumicor Limited</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Canada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4"/>
          </w:tcPr>
          <w:p>
            <w:pPr>
              <w:ind w:left="20"/>
              <w:spacing w:after="0"/>
              <w:rPr>
                <w:sz w:val="20"/>
                <w:szCs w:val="20"/>
                <w:color w:val="auto"/>
              </w:rPr>
            </w:pPr>
            <w:r>
              <w:rPr>
                <w:rFonts w:ascii="Arial" w:cs="Arial" w:eastAsia="Arial" w:hAnsi="Arial"/>
                <w:sz w:val="18"/>
                <w:szCs w:val="18"/>
                <w:color w:val="auto"/>
              </w:rPr>
              <w:t>Sotawall Limited</w:t>
            </w:r>
          </w:p>
        </w:tc>
        <w:tc>
          <w:tcPr>
            <w:tcW w:w="218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EFCO Corporation</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Missouri</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020" w:type="dxa"/>
            <w:vAlign w:val="bottom"/>
            <w:gridSpan w:val="4"/>
          </w:tcPr>
          <w:p>
            <w:pPr>
              <w:ind w:left="20"/>
              <w:spacing w:after="0"/>
              <w:rPr>
                <w:sz w:val="20"/>
                <w:szCs w:val="20"/>
                <w:color w:val="auto"/>
              </w:rPr>
            </w:pPr>
            <w:r>
              <w:rPr>
                <w:rFonts w:ascii="Arial" w:cs="Arial" w:eastAsia="Arial" w:hAnsi="Arial"/>
                <w:sz w:val="18"/>
                <w:szCs w:val="18"/>
                <w:color w:val="auto"/>
              </w:rPr>
              <w:t>Velocity, An Apogee Company</w:t>
            </w:r>
            <w:r>
              <w:rPr>
                <w:rFonts w:ascii="Arial" w:cs="Arial" w:eastAsia="Arial" w:hAnsi="Arial"/>
                <w:sz w:val="23"/>
                <w:szCs w:val="23"/>
                <w:color w:val="auto"/>
                <w:vertAlign w:val="superscript"/>
              </w:rPr>
              <w:t>TM</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Owned by Viracon, Inc.</w:t>
      </w:r>
    </w:p>
    <w:p>
      <w:pPr>
        <w:ind w:left="180" w:hanging="172"/>
        <w:spacing w:after="0" w:line="184" w:lineRule="auto"/>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Owned 99.9+% by Viracon, Inc. and &lt;0.1% by Harmon Contract, Inc.</w:t>
      </w:r>
    </w:p>
    <w:p>
      <w:pPr>
        <w:ind w:left="180" w:hanging="172"/>
        <w:spacing w:after="0" w:line="191" w:lineRule="auto"/>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Owned by Tru Vue, Inc.</w:t>
      </w:r>
    </w:p>
    <w:p>
      <w:pPr>
        <w:ind w:left="160" w:hanging="152"/>
        <w:spacing w:after="0" w:line="223" w:lineRule="auto"/>
        <w:tabs>
          <w:tab w:leader="none" w:pos="1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Owned by Harmon, Inc.</w:t>
      </w:r>
    </w:p>
    <w:p>
      <w:pPr>
        <w:sectPr>
          <w:pgSz w:w="11900" w:h="16838" w:orient="portrait"/>
          <w:cols w:equalWidth="0" w:num="1">
            <w:col w:w="11240"/>
          </w:cols>
          <w:pgMar w:left="320" w:top="113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 333-58181, 333-95863, 333-160205, 333-169944, 333-175404, 333-197617, 333-197618, 333-207364, 333-207369, 333-236400, 333-249589 and 333-249590 on Form S 8 of our reports dated April 22, 2021, relating to the financial statements of Apogee Enterprises, Inc. (the “Company”), and the effectiveness of the Company's internal control over financial reporting, appearing in this Annual Report on Form 10-K of Apogee Enterprises, Inc. for the year ended February 27,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ectPr>
          <w:pgSz w:w="11900" w:h="16838" w:orient="portrait"/>
          <w:cols w:equalWidth="0" w:num="1">
            <w:col w:w="11240"/>
          </w:cols>
          <w:pgMar w:left="320" w:top="89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Apogee Enterprises, Inc.;</w:t>
      </w:r>
    </w:p>
    <w:p>
      <w:pPr>
        <w:spacing w:after="0" w:line="11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ind w:left="2280" w:right="20" w:hanging="652"/>
        <w:spacing w:after="0" w:line="311" w:lineRule="auto"/>
        <w:tabs>
          <w:tab w:leader="none" w:pos="2271"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440" w:hanging="652"/>
        <w:spacing w:after="0" w:line="311" w:lineRule="auto"/>
        <w:tabs>
          <w:tab w:leader="none" w:pos="2268"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jc w:val="both"/>
        <w:ind w:left="2280" w:right="20" w:hanging="652"/>
        <w:spacing w:after="0" w:line="263" w:lineRule="auto"/>
        <w:tabs>
          <w:tab w:leader="none" w:pos="2271"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right="60" w:hanging="652"/>
        <w:spacing w:after="0" w:line="311" w:lineRule="auto"/>
        <w:tabs>
          <w:tab w:leader="none" w:pos="2268"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2280" w:right="280" w:hanging="652"/>
        <w:spacing w:after="0" w:line="263" w:lineRule="auto"/>
        <w:tabs>
          <w:tab w:leader="none" w:pos="227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280" w:right="680" w:hanging="652"/>
        <w:spacing w:after="0" w:line="277" w:lineRule="auto"/>
        <w:tabs>
          <w:tab w:leader="none" w:pos="22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2021</w:t>
      </w:r>
    </w:p>
    <w:p>
      <w:pPr>
        <w:spacing w:after="0" w:line="33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0">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Ty R. Silberhorn</w:t>
      </w:r>
    </w:p>
    <w:p>
      <w:pPr>
        <w:ind w:left="6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Nisheet Gupta, certify that:</w:t>
      </w:r>
    </w:p>
    <w:p>
      <w:pPr>
        <w:spacing w:after="0" w:line="117"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Apogee Enterprises, Inc.;</w:t>
      </w:r>
    </w:p>
    <w:p>
      <w:pPr>
        <w:spacing w:after="0" w:line="11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ind w:left="2280" w:right="20" w:hanging="652"/>
        <w:spacing w:after="0" w:line="311" w:lineRule="auto"/>
        <w:tabs>
          <w:tab w:leader="none" w:pos="2271"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440" w:hanging="652"/>
        <w:spacing w:after="0" w:line="311" w:lineRule="auto"/>
        <w:tabs>
          <w:tab w:leader="none" w:pos="2268"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jc w:val="both"/>
        <w:ind w:left="2280" w:right="20" w:hanging="652"/>
        <w:spacing w:after="0" w:line="263" w:lineRule="auto"/>
        <w:tabs>
          <w:tab w:leader="none" w:pos="2271"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right="60" w:hanging="652"/>
        <w:spacing w:after="0" w:line="311" w:lineRule="auto"/>
        <w:tabs>
          <w:tab w:leader="none" w:pos="2268"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2280" w:right="280" w:hanging="652"/>
        <w:spacing w:after="0" w:line="263" w:lineRule="auto"/>
        <w:tabs>
          <w:tab w:leader="none" w:pos="227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280" w:right="680" w:hanging="652"/>
        <w:spacing w:after="0" w:line="277" w:lineRule="auto"/>
        <w:tabs>
          <w:tab w:leader="none" w:pos="22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2021</w:t>
      </w:r>
    </w:p>
    <w:p>
      <w:pPr>
        <w:spacing w:after="0" w:line="33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1">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Nisheet Gupta</w:t>
      </w:r>
    </w:p>
    <w:p>
      <w:pPr>
        <w:ind w:left="68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Annual Report of Apogee Enterprises, Inc. (the “Company”) on Form 10-K for the period ended February 27, 2021, as filed with the Securities and Exchange Commission (the “Report”), I, Ty R. Silberhorn, Chief Executive Officer of the Company, certify, pursuant to 18 U.S.C. §1350, as adopted pursuant §906 of the Sarbanes-Oxley Act of 2002, that:</w:t>
      </w:r>
    </w:p>
    <w:p>
      <w:pPr>
        <w:spacing w:after="0" w:line="130"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74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Ty R. Silberhorn</w:t>
      </w:r>
    </w:p>
    <w:p>
      <w:pPr>
        <w:ind w:left="20"/>
        <w:spacing w:after="0"/>
        <w:rPr>
          <w:sz w:val="20"/>
          <w:szCs w:val="20"/>
          <w:color w:val="auto"/>
        </w:rPr>
      </w:pPr>
      <w:r>
        <w:rPr>
          <w:rFonts w:ascii="Arial" w:cs="Arial" w:eastAsia="Arial" w:hAnsi="Arial"/>
          <w:sz w:val="18"/>
          <w:szCs w:val="18"/>
          <w:color w:val="auto"/>
        </w:rPr>
        <w:t>Chief Executive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22, 2021</w:t>
      </w:r>
    </w:p>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connection with the Annual Report of Apogee Enterprises, Inc. (the “Company”) on Form 10-K for the period ended February 27, 2021, as filed with the Securities and Exchange Commission (the “Report”), I, Nisheet Gupta, Chief Financial Officer of the Company, certify, pursuant to 18 U.S.C. §1350, as adopted pursuant §906 of the Sarbanes-Oxley Act of 2002, that:</w:t>
      </w:r>
    </w:p>
    <w:p>
      <w:pPr>
        <w:spacing w:after="0" w:line="130"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89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3">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Nisheet Gupta</w:t>
      </w: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22,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2"/>
    </w:lvl>
  </w:abstractNum>
  <w:abstractNum w:abstractNumId="18">
    <w:nsid w:val="71F32454"/>
    <w:multiLevelType w:val="hybridMultilevel"/>
    <w:lvl w:ilvl="0">
      <w:lvlJc w:val="left"/>
      <w:lvlText w:val="%1."/>
      <w:numFmt w:val="decimal"/>
      <w:start w:val="4"/>
    </w:lvl>
  </w:abstractNum>
  <w:abstractNum w:abstractNumId="19">
    <w:nsid w:val="2CA88611"/>
    <w:multiLevelType w:val="hybridMultilevel"/>
    <w:lvl w:ilvl="0">
      <w:lvlJc w:val="left"/>
      <w:lvlText w:val="%1."/>
      <w:numFmt w:val="decimal"/>
      <w:start w:val="5"/>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3"/>
    </w:lvl>
  </w:abstractNum>
  <w:abstractNum w:abstractNumId="28">
    <w:nsid w:val="22221A70"/>
    <w:multiLevelType w:val="hybridMultilevel"/>
    <w:lvl w:ilvl="0">
      <w:lvlJc w:val="left"/>
      <w:lvlText w:val="%1"/>
      <w:numFmt w:val="decimal"/>
      <w:start w:val="10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1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34" Type="http://schemas.openxmlformats.org/officeDocument/2006/relationships/image" Target="media/image77.png"/><Relationship Id="rId135" Type="http://schemas.openxmlformats.org/officeDocument/2006/relationships/image" Target="media/image78.png"/><Relationship Id="rId136" Type="http://schemas.openxmlformats.org/officeDocument/2006/relationships/image" Target="media/image79.png"/><Relationship Id="rId137" Type="http://schemas.openxmlformats.org/officeDocument/2006/relationships/image" Target="media/image80.png"/><Relationship Id="rId138" Type="http://schemas.openxmlformats.org/officeDocument/2006/relationships/image" Target="media/image81.png"/><Relationship Id="rId139" Type="http://schemas.openxmlformats.org/officeDocument/2006/relationships/image" Target="media/image82.png"/><Relationship Id="rId140" Type="http://schemas.openxmlformats.org/officeDocument/2006/relationships/image" Target="media/image83.png"/><Relationship Id="rId141" Type="http://schemas.openxmlformats.org/officeDocument/2006/relationships/image" Target="media/image84.png"/><Relationship Id="rId142" Type="http://schemas.openxmlformats.org/officeDocument/2006/relationships/image" Target="media/image85.png"/><Relationship Id="rId143" Type="http://schemas.openxmlformats.org/officeDocument/2006/relationships/image" Target="media/image86.png"/><Relationship Id="rId81" Type="http://schemas.openxmlformats.org/officeDocument/2006/relationships/hyperlink" Target="http://www.sec.gov/Archives/edgar/data/6845/000119312504079352/dex31.htm" TargetMode="External"/><Relationship Id="rId82" Type="http://schemas.openxmlformats.org/officeDocument/2006/relationships/hyperlink" Target="http://www.sec.gov/Archives/edgar/data/6845/000119312520008887/d874518dex31.htm" TargetMode="External"/><Relationship Id="rId84" Type="http://schemas.openxmlformats.org/officeDocument/2006/relationships/hyperlink" Target="http://www.sec.gov/Archives/edgar/data/6845/000119312518212380/d688800dex31.htm" TargetMode="External"/><Relationship Id="rId85" Type="http://schemas.openxmlformats.org/officeDocument/2006/relationships/hyperlink" Target="http://www.sec.gov/Archives/edgar/data/6845/000119312512196043/d315296dex41.htm" TargetMode="External"/><Relationship Id="rId86" Type="http://schemas.openxmlformats.org/officeDocument/2006/relationships/hyperlink" Target="http://www.sec.gov/Archives/edgar/data/6845/000000684520000008/apog-ex42202022910k.htm" TargetMode="External"/><Relationship Id="rId87" Type="http://schemas.openxmlformats.org/officeDocument/2006/relationships/hyperlink" Target="http://www.sec.gov/Archives/edgar/data/6845/000119312508014344/dex101.htm" TargetMode="External"/><Relationship Id="rId88" Type="http://schemas.openxmlformats.org/officeDocument/2006/relationships/hyperlink" Target="http://www.sec.gov/Archives/edgar/data/6845/000119312508210686/dex102.htm" TargetMode="External"/><Relationship Id="rId89" Type="http://schemas.openxmlformats.org/officeDocument/2006/relationships/hyperlink" Target="http://www.sec.gov/Archives/edgar/data/6845/000119312514279084/d760799dex44.htm" TargetMode="External"/><Relationship Id="rId90" Type="http://schemas.openxmlformats.org/officeDocument/2006/relationships/hyperlink" Target="http://www.sec.gov/Archives/edgar/data/6845/000119312505086815/dex1025.htm" TargetMode="External"/><Relationship Id="rId91" Type="http://schemas.openxmlformats.org/officeDocument/2006/relationships/hyperlink" Target="http://www.sec.gov/Archives/edgar/data/6845/000119312506209073/dex103.htm" TargetMode="External"/><Relationship Id="rId92" Type="http://schemas.openxmlformats.org/officeDocument/2006/relationships/hyperlink" Target="http://www.sec.gov/Archives/edgar/data/6845/000119312508210686/dex104.htm" TargetMode="External"/><Relationship Id="rId93" Type="http://schemas.openxmlformats.org/officeDocument/2006/relationships/hyperlink" Target="http://www.sec.gov/Archives/edgar/data/6845/000119312509044738/dex103.htm" TargetMode="External"/><Relationship Id="rId94" Type="http://schemas.openxmlformats.org/officeDocument/2006/relationships/hyperlink" Target="http://www.sec.gov/Archives/edgar/data/6845/000119312510227991/dex105.htm" TargetMode="External"/><Relationship Id="rId95" Type="http://schemas.openxmlformats.org/officeDocument/2006/relationships/hyperlink" Target="http://www.sec.gov/Archives/edgar/data/6845/000119312511002967/dex103.htm" TargetMode="External"/><Relationship Id="rId96" Type="http://schemas.openxmlformats.org/officeDocument/2006/relationships/hyperlink" Target="http://www.sec.gov/Archives/edgar/data/6845/000119312506209073/dex105.htm" TargetMode="External"/><Relationship Id="rId97" Type="http://schemas.openxmlformats.org/officeDocument/2006/relationships/hyperlink" Target="http://www.sec.gov/Archives/edgar/data/6845/000119312508210686/dex106.htm" TargetMode="External"/><Relationship Id="rId98" Type="http://schemas.openxmlformats.org/officeDocument/2006/relationships/hyperlink" Target="http://www.sec.gov/Archives/edgar/data/6845/000119312509044738/dex108.htm" TargetMode="External"/><Relationship Id="rId99" Type="http://schemas.openxmlformats.org/officeDocument/2006/relationships/hyperlink" Target="http://www.sec.gov/Archives/edgar/data/6845/000119312511002967/dex104.htm" TargetMode="External"/><Relationship Id="rId100" Type="http://schemas.openxmlformats.org/officeDocument/2006/relationships/hyperlink" Target="http://www.sec.gov/Archives/edgar/data/6845/000119312511175297/dex101.htm" TargetMode="External"/><Relationship Id="rId101" Type="http://schemas.openxmlformats.org/officeDocument/2006/relationships/hyperlink" Target="http://www.sec.gov/Archives/edgar/data/6845/000119312514279081/d760857dex44.htm" TargetMode="External"/><Relationship Id="rId102" Type="http://schemas.openxmlformats.org/officeDocument/2006/relationships/hyperlink" Target="http://www.sec.gov/Archives/edgar/data/6845/000119312509141612/dex103.htm" TargetMode="External"/><Relationship Id="rId103" Type="http://schemas.openxmlformats.org/officeDocument/2006/relationships/hyperlink" Target="http://www.sec.gov/Archives/edgar/data/6845/000119312515240456/d948035dex101.htm" TargetMode="External"/><Relationship Id="rId104" Type="http://schemas.openxmlformats.org/officeDocument/2006/relationships/hyperlink" Target="http://www.sec.gov/Archives/edgar/data/6845/000119312515240456/d948035dex102.htm" TargetMode="External"/><Relationship Id="rId105" Type="http://schemas.openxmlformats.org/officeDocument/2006/relationships/hyperlink" Target="http://www.sec.gov/Archives/edgar/data/6845/000119312511121730/dex103.htm" TargetMode="External"/><Relationship Id="rId106" Type="http://schemas.openxmlformats.org/officeDocument/2006/relationships/hyperlink" Target="http://www.sec.gov/Archives/edgar/data/6845/000119312510227991/dex101.htm" TargetMode="External"/><Relationship Id="rId107" Type="http://schemas.openxmlformats.org/officeDocument/2006/relationships/hyperlink" Target="http://www.sec.gov/Archives/edgar/data/6845/000119312514257654/d750237dex103.htm" TargetMode="External"/><Relationship Id="rId108" Type="http://schemas.openxmlformats.org/officeDocument/2006/relationships/hyperlink" Target="http://www.sec.gov/Archives/edgar/data/6845/000119312516636499/d206210dex102.htm" TargetMode="External"/><Relationship Id="rId111" Type="http://schemas.openxmlformats.org/officeDocument/2006/relationships/hyperlink" Target="http://www.sec.gov/Archives/edgar/data/6845/000119312517306711/d469293dex101.htm" TargetMode="External"/><Relationship Id="rId112" Type="http://schemas.openxmlformats.org/officeDocument/2006/relationships/hyperlink" Target="http://www.sec.gov/Archives/edgar/data/0000006845/000119312518212380/d688800dex102.htm" TargetMode="External"/><Relationship Id="rId113" Type="http://schemas.openxmlformats.org/officeDocument/2006/relationships/hyperlink" Target="http://www.sec.gov/Archives/edgar/data/6845/000119312517154288/d384821dex21.htm" TargetMode="External"/><Relationship Id="rId114" Type="http://schemas.openxmlformats.org/officeDocument/2006/relationships/hyperlink" Target="http://www.sec.gov/Archives/edgar/data/6845/000000684518000009/apog-ex1038_20183310k.htm" TargetMode="External"/><Relationship Id="rId115" Type="http://schemas.openxmlformats.org/officeDocument/2006/relationships/hyperlink" Target="http://www.sec.gov/Archives/edgar/data/6845/000119312515341387/d78077dex44.htm" TargetMode="External"/><Relationship Id="rId116" Type="http://schemas.openxmlformats.org/officeDocument/2006/relationships/hyperlink" Target="http://www.sec.gov/Archives/edgar/data/6845/000119312520033431/d872962dex45.htm" TargetMode="External"/><Relationship Id="rId117" Type="http://schemas.openxmlformats.org/officeDocument/2006/relationships/hyperlink" Target="http://www.sec.gov/Archives/edgar/data/0000006845/000119312520008887/d874518dex101.htm" TargetMode="External"/><Relationship Id="rId118" Type="http://schemas.openxmlformats.org/officeDocument/2006/relationships/hyperlink" Target="http://www.sec.gov/Archives/edgar/data/0000006845/000119312520188617/d918933dex101.htm" TargetMode="External"/><Relationship Id="rId119" Type="http://schemas.openxmlformats.org/officeDocument/2006/relationships/hyperlink" Target="http://www.sec.gov/Archives/edgar/data/6845/000119312520033431/d872962dex46.htm" TargetMode="External"/><Relationship Id="rId120" Type="http://schemas.openxmlformats.org/officeDocument/2006/relationships/hyperlink" Target="http://www.sec.gov/Archives/edgar/data/6845/000119312520008887/d874518dex101.htm" TargetMode="External"/><Relationship Id="rId121" Type="http://schemas.openxmlformats.org/officeDocument/2006/relationships/hyperlink" Target="http://www.sec.gov/Archives/edgar/data/0000006845/000119312520008887/d874518dex102.htm" TargetMode="External"/><Relationship Id="rId122" Type="http://schemas.openxmlformats.org/officeDocument/2006/relationships/hyperlink" Target="http://www.sec.gov/Archives/edgar/data/6845/000119312520008887/d874518dex103.htm" TargetMode="External"/><Relationship Id="rId123" Type="http://schemas.openxmlformats.org/officeDocument/2006/relationships/hyperlink" Target="http://www.sec.gov/Archives/edgar/data/0000006845/000119312520126546/d823393dex101.htm" TargetMode="External"/><Relationship Id="rId124" Type="http://schemas.openxmlformats.org/officeDocument/2006/relationships/hyperlink" Target="http://www.sec.gov/Archives/edgar/data/0000006845/000119312520126546/d823393dex102.htm" TargetMode="External"/><Relationship Id="rId125" Type="http://schemas.openxmlformats.org/officeDocument/2006/relationships/hyperlink" Target="http://www.sec.gov/Archives/edgar/data/6845/000119312519129740/d739175dex102.htm" TargetMode="External"/><Relationship Id="rId126" Type="http://schemas.openxmlformats.org/officeDocument/2006/relationships/hyperlink" Target="http://www.sec.gov/Archives/edgar/data/6845/000000684520000019/apog-ex10320200530.htm" TargetMode="External"/><Relationship Id="rId127" Type="http://schemas.openxmlformats.org/officeDocument/2006/relationships/hyperlink" Target="http://www.sec.gov/Archives/edgar/data/0000006845/000119312520188617/d918933dex102.htm" TargetMode="External"/><Relationship Id="rId128" Type="http://schemas.openxmlformats.org/officeDocument/2006/relationships/hyperlink" Target="http://www.sec.gov/Archives/edgar/data/0000006845/000119312520247376/d23632dex101.htm" TargetMode="External"/><Relationship Id="rId129" Type="http://schemas.openxmlformats.org/officeDocument/2006/relationships/hyperlink" Target="http://www.sec.gov/Archives/edgar/data/0000006845/000119312520322129/d14167dex101.htm" TargetMode="External"/><Relationship Id="rId130" Type="http://schemas.openxmlformats.org/officeDocument/2006/relationships/hyperlink" Target="http://www.sec.gov/Archives/edgar/data/0000006845/000119312520322129/d14167dex102.htm" TargetMode="External"/><Relationship Id="rId131" Type="http://schemas.openxmlformats.org/officeDocument/2006/relationships/hyperlink" Target="http://www.sec.gov/Archives/edgar/data/6845/000119312519185963/d772041dex101.htm" TargetMode="External"/><Relationship Id="rId132" Type="http://schemas.openxmlformats.org/officeDocument/2006/relationships/hyperlink" Target="http://www.sec.gov/Archives/edgar/data/6845/000119312520103561/d180746dex101.htm" TargetMode="External"/><Relationship Id="rId133" Type="http://schemas.openxmlformats.org/officeDocument/2006/relationships/hyperlink" Target="http://www.sec.gov/Archives/edgar/data/0000006845/000119312520289554/d9340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2021-04-22T15:37:05Z</dcterms:created>
  <dcterms:modified xsi:type="dcterms:W3CDTF">2021-04-22T15:37:05Z</dcterms:modified>
</cp:coreProperties>
</file>