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42" w:lineRule="exact"/>
        <w:rPr>
          <w:sz w:val="24"/>
          <w:szCs w:val="24"/>
          <w:color w:val="auto"/>
        </w:rPr>
      </w:pPr>
    </w:p>
    <w:p>
      <w:pPr>
        <w:ind w:left="720" w:right="3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2, 2017</w:t>
      </w:r>
    </w:p>
    <w:p>
      <w:pPr>
        <w:spacing w:after="0" w:line="270" w:lineRule="exact"/>
        <w:rPr>
          <w:sz w:val="24"/>
          <w:szCs w:val="24"/>
          <w:color w:val="auto"/>
        </w:rPr>
      </w:pPr>
    </w:p>
    <w:p>
      <w:pPr>
        <w:ind w:left="720" w:right="30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440" w:type="dxa"/>
            <w:vAlign w:val="bottom"/>
          </w:tcPr>
          <w:p>
            <w:pPr>
              <w:jc w:val="center"/>
              <w:ind w:left="1923"/>
              <w:spacing w:after="0"/>
              <w:rPr>
                <w:sz w:val="20"/>
                <w:szCs w:val="20"/>
                <w:color w:val="auto"/>
              </w:rPr>
            </w:pPr>
            <w:r>
              <w:rPr>
                <w:rFonts w:ascii="Arial" w:cs="Arial" w:eastAsia="Arial" w:hAnsi="Arial"/>
                <w:sz w:val="18"/>
                <w:szCs w:val="18"/>
                <w:b w:val="1"/>
                <w:bCs w:val="1"/>
                <w:color w:val="auto"/>
                <w:w w:val="90"/>
              </w:rPr>
              <w:t>Commission File Number: 0-6365</w:t>
            </w:r>
          </w:p>
        </w:tc>
        <w:tc>
          <w:tcPr>
            <w:tcW w:w="1300" w:type="dxa"/>
            <w:vAlign w:val="bottom"/>
          </w:tcPr>
          <w:p>
            <w:pPr>
              <w:spacing w:after="0"/>
              <w:rPr>
                <w:sz w:val="20"/>
                <w:szCs w:val="20"/>
                <w:color w:val="auto"/>
              </w:rPr>
            </w:pPr>
          </w:p>
        </w:tc>
      </w:tr>
      <w:tr>
        <w:trPr>
          <w:trHeight w:val="270"/>
        </w:trPr>
        <w:tc>
          <w:tcPr>
            <w:tcW w:w="6440" w:type="dxa"/>
            <w:vAlign w:val="bottom"/>
          </w:tcPr>
          <w:p>
            <w:pPr>
              <w:jc w:val="center"/>
              <w:ind w:left="188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3"/>
                <w:szCs w:val="23"/>
                <w:color w:val="auto"/>
              </w:rPr>
            </w:pPr>
          </w:p>
        </w:tc>
      </w:tr>
      <w:tr>
        <w:trPr>
          <w:trHeight w:val="576"/>
        </w:trPr>
        <w:tc>
          <w:tcPr>
            <w:tcW w:w="7740" w:type="dxa"/>
            <w:vAlign w:val="bottom"/>
            <w:gridSpan w:val="2"/>
          </w:tcPr>
          <w:p>
            <w:pPr>
              <w:jc w:val="center"/>
              <w:ind w:left="623"/>
              <w:spacing w:after="0"/>
              <w:rPr>
                <w:sz w:val="20"/>
                <w:szCs w:val="20"/>
                <w:color w:val="auto"/>
              </w:rPr>
            </w:pPr>
            <w:r>
              <w:rPr>
                <w:rFonts w:ascii="Arial" w:cs="Arial" w:eastAsia="Arial" w:hAnsi="Arial"/>
                <w:sz w:val="43"/>
                <w:szCs w:val="43"/>
                <w:b w:val="1"/>
                <w:bCs w:val="1"/>
                <w:color w:val="auto"/>
                <w:w w:val="99"/>
              </w:rPr>
              <w:t>APOGEE ENTERPRISES, INC.</w:t>
            </w:r>
          </w:p>
        </w:tc>
      </w:tr>
      <w:tr>
        <w:trPr>
          <w:trHeight w:val="220"/>
        </w:trPr>
        <w:tc>
          <w:tcPr>
            <w:tcW w:w="6440" w:type="dxa"/>
            <w:vAlign w:val="bottom"/>
          </w:tcPr>
          <w:p>
            <w:pPr>
              <w:jc w:val="center"/>
              <w:ind w:left="192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19"/>
                <w:szCs w:val="19"/>
                <w:color w:val="auto"/>
              </w:rPr>
            </w:pPr>
          </w:p>
        </w:tc>
      </w:tr>
      <w:tr>
        <w:trPr>
          <w:trHeight w:val="230"/>
        </w:trPr>
        <w:tc>
          <w:tcPr>
            <w:tcW w:w="6440" w:type="dxa"/>
            <w:vAlign w:val="bottom"/>
          </w:tcPr>
          <w:p>
            <w:pPr>
              <w:jc w:val="center"/>
              <w:ind w:left="196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0"/>
                <w:szCs w:val="20"/>
                <w:color w:val="auto"/>
              </w:rPr>
            </w:pPr>
          </w:p>
        </w:tc>
      </w:tr>
      <w:tr>
        <w:trPr>
          <w:trHeight w:val="378"/>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92"/>
              </w:rPr>
              <w:t>Minnesota</w:t>
            </w:r>
          </w:p>
        </w:tc>
        <w:tc>
          <w:tcPr>
            <w:tcW w:w="1300" w:type="dxa"/>
            <w:vAlign w:val="bottom"/>
          </w:tcPr>
          <w:p>
            <w:pPr>
              <w:jc w:val="right"/>
              <w:ind w:right="21"/>
              <w:spacing w:after="0"/>
              <w:rPr>
                <w:sz w:val="20"/>
                <w:szCs w:val="20"/>
                <w:color w:val="auto"/>
              </w:rPr>
            </w:pPr>
            <w:r>
              <w:rPr>
                <w:rFonts w:ascii="Arial" w:cs="Arial" w:eastAsia="Arial" w:hAnsi="Arial"/>
                <w:sz w:val="18"/>
                <w:szCs w:val="18"/>
                <w:b w:val="1"/>
                <w:bCs w:val="1"/>
                <w:color w:val="auto"/>
              </w:rPr>
              <w:t>41-0919654</w:t>
            </w:r>
          </w:p>
        </w:tc>
      </w:tr>
      <w:tr>
        <w:trPr>
          <w:trHeight w:val="184"/>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jc w:val="center"/>
              <w:ind w:left="161"/>
              <w:spacing w:after="0"/>
              <w:rPr>
                <w:sz w:val="20"/>
                <w:szCs w:val="20"/>
                <w:color w:val="auto"/>
              </w:rPr>
            </w:pPr>
            <w:r>
              <w:rPr>
                <w:rFonts w:ascii="Arial" w:cs="Arial" w:eastAsia="Arial" w:hAnsi="Arial"/>
                <w:sz w:val="14"/>
                <w:szCs w:val="14"/>
                <w:color w:val="auto"/>
                <w:w w:val="95"/>
              </w:rPr>
              <w:t>(I.R.S. Employer</w:t>
            </w:r>
          </w:p>
        </w:tc>
      </w:tr>
      <w:tr>
        <w:trPr>
          <w:trHeight w:val="182"/>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9"/>
              </w:rPr>
              <w:t>Identification No.)</w:t>
            </w:r>
          </w:p>
        </w:tc>
      </w:tr>
      <w:tr>
        <w:trPr>
          <w:trHeight w:val="358"/>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87"/>
              </w:rPr>
              <w:t>4400 West 78</w:t>
            </w:r>
            <w:r>
              <w:rPr>
                <w:rFonts w:ascii="Arial" w:cs="Arial" w:eastAsia="Arial" w:hAnsi="Arial"/>
                <w:sz w:val="25"/>
                <w:szCs w:val="25"/>
                <w:b w:val="1"/>
                <w:bCs w:val="1"/>
                <w:color w:val="auto"/>
                <w:w w:val="87"/>
                <w:vertAlign w:val="superscript"/>
              </w:rPr>
              <w:t>th</w:t>
            </w:r>
            <w:r>
              <w:rPr>
                <w:rFonts w:ascii="Arial" w:cs="Arial" w:eastAsia="Arial" w:hAnsi="Arial"/>
                <w:sz w:val="18"/>
                <w:szCs w:val="18"/>
                <w:b w:val="1"/>
                <w:bCs w:val="1"/>
                <w:color w:val="auto"/>
                <w:w w:val="87"/>
              </w:rPr>
              <w:t xml:space="preserve"> Street – Suite 520,</w:t>
            </w:r>
          </w:p>
        </w:tc>
        <w:tc>
          <w:tcPr>
            <w:tcW w:w="1300" w:type="dxa"/>
            <w:vAlign w:val="bottom"/>
          </w:tcPr>
          <w:p>
            <w:pPr>
              <w:spacing w:after="0"/>
              <w:rPr>
                <w:sz w:val="24"/>
                <w:szCs w:val="24"/>
                <w:color w:val="auto"/>
              </w:rPr>
            </w:pPr>
          </w:p>
        </w:tc>
      </w:tr>
      <w:tr>
        <w:trPr>
          <w:trHeight w:val="234"/>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94"/>
              </w:rPr>
              <w:t>Minneapolis, MN</w:t>
            </w:r>
          </w:p>
        </w:tc>
        <w:tc>
          <w:tcPr>
            <w:tcW w:w="1300" w:type="dxa"/>
            <w:vAlign w:val="bottom"/>
          </w:tcPr>
          <w:p>
            <w:pPr>
              <w:jc w:val="right"/>
              <w:ind w:right="221"/>
              <w:spacing w:after="0"/>
              <w:rPr>
                <w:sz w:val="20"/>
                <w:szCs w:val="20"/>
                <w:color w:val="auto"/>
              </w:rPr>
            </w:pPr>
            <w:r>
              <w:rPr>
                <w:rFonts w:ascii="Arial" w:cs="Arial" w:eastAsia="Arial" w:hAnsi="Arial"/>
                <w:sz w:val="18"/>
                <w:szCs w:val="18"/>
                <w:b w:val="1"/>
                <w:bCs w:val="1"/>
                <w:color w:val="auto"/>
              </w:rPr>
              <w:t>55435</w:t>
            </w:r>
          </w:p>
        </w:tc>
      </w:tr>
      <w:tr>
        <w:trPr>
          <w:trHeight w:val="218"/>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6"/>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(952) 835-1874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01" w:right="239" w:bottom="1440" w:gutter="0" w:footer="0" w:header="0"/>
        </w:sect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60" w:type="dxa"/>
            <w:vAlign w:val="bottom"/>
          </w:tcPr>
          <w:p>
            <w:pPr>
              <w:ind w:left="500"/>
              <w:spacing w:after="0"/>
              <w:rPr>
                <w:sz w:val="20"/>
                <w:szCs w:val="20"/>
                <w:color w:val="auto"/>
              </w:rPr>
            </w:pPr>
            <w:r>
              <w:rPr>
                <w:rFonts w:ascii="Arial" w:cs="Arial" w:eastAsia="Arial" w:hAnsi="Arial"/>
                <w:sz w:val="18"/>
                <w:szCs w:val="18"/>
                <w:color w:val="auto"/>
              </w:rPr>
              <w:t>x</w:t>
            </w:r>
          </w:p>
        </w:tc>
        <w:tc>
          <w:tcPr>
            <w:tcW w:w="2600" w:type="dxa"/>
            <w:vAlign w:val="bottom"/>
          </w:tcPr>
          <w:p>
            <w:pPr>
              <w:ind w:left="640"/>
              <w:spacing w:after="0"/>
              <w:rPr>
                <w:sz w:val="20"/>
                <w:szCs w:val="20"/>
                <w:color w:val="auto"/>
              </w:rPr>
            </w:pPr>
            <w:r>
              <w:rPr>
                <w:rFonts w:ascii="Arial" w:cs="Arial" w:eastAsia="Arial" w:hAnsi="Arial"/>
                <w:sz w:val="18"/>
                <w:szCs w:val="18"/>
                <w:color w:val="auto"/>
              </w:rPr>
              <w:t>Accelerated filer</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60" w:type="dxa"/>
            <w:vAlign w:val="bottom"/>
          </w:tcPr>
          <w:p>
            <w:pPr>
              <w:ind w:left="500"/>
              <w:spacing w:after="0"/>
              <w:rPr>
                <w:sz w:val="20"/>
                <w:szCs w:val="20"/>
                <w:color w:val="auto"/>
              </w:rPr>
            </w:pPr>
            <w:r>
              <w:rPr>
                <w:rFonts w:ascii="Arial" w:cs="Arial" w:eastAsia="Arial" w:hAnsi="Arial"/>
                <w:sz w:val="18"/>
                <w:szCs w:val="18"/>
                <w:color w:val="auto"/>
              </w:rPr>
              <w:t>o (Do not check if a smaller reporting company)</w:t>
            </w:r>
          </w:p>
        </w:tc>
        <w:tc>
          <w:tcPr>
            <w:tcW w:w="2600" w:type="dxa"/>
            <w:vAlign w:val="bottom"/>
          </w:tcPr>
          <w:p>
            <w:pPr>
              <w:ind w:left="640"/>
              <w:spacing w:after="0"/>
              <w:rPr>
                <w:sz w:val="20"/>
                <w:szCs w:val="20"/>
                <w:color w:val="auto"/>
              </w:rPr>
            </w:pPr>
            <w:r>
              <w:rPr>
                <w:rFonts w:ascii="Arial" w:cs="Arial" w:eastAsia="Arial" w:hAnsi="Arial"/>
                <w:sz w:val="18"/>
                <w:szCs w:val="18"/>
                <w:color w:val="auto"/>
                <w:w w:val="90"/>
              </w:rPr>
              <w:t>Smaller reporting company</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660" w:type="dxa"/>
            <w:vAlign w:val="bottom"/>
          </w:tcPr>
          <w:p>
            <w:pPr>
              <w:ind w:left="500"/>
              <w:spacing w:after="0"/>
              <w:rPr>
                <w:sz w:val="20"/>
                <w:szCs w:val="20"/>
                <w:color w:val="auto"/>
              </w:rPr>
            </w:pPr>
            <w:r>
              <w:rPr>
                <w:rFonts w:ascii="Arial" w:cs="Arial" w:eastAsia="Arial" w:hAnsi="Arial"/>
                <w:sz w:val="18"/>
                <w:szCs w:val="18"/>
                <w:color w:val="auto"/>
              </w:rPr>
              <w:t>o</w:t>
            </w:r>
          </w:p>
        </w:tc>
        <w:tc>
          <w:tcPr>
            <w:tcW w:w="2600" w:type="dxa"/>
            <w:vAlign w:val="bottom"/>
          </w:tcPr>
          <w:p>
            <w:pPr>
              <w:spacing w:after="0"/>
              <w:rPr>
                <w:sz w:val="24"/>
                <w:szCs w:val="24"/>
                <w:color w:val="auto"/>
              </w:rPr>
            </w:pPr>
          </w:p>
        </w:tc>
      </w:tr>
    </w:tbl>
    <w:p>
      <w:pPr>
        <w:spacing w:after="0" w:line="40"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460" w:space="320"/>
            <w:col w:w="640"/>
          </w:cols>
          <w:pgMar w:left="240" w:top="801" w:right="239" w:bottom="1440" w:gutter="0" w:footer="0" w:header="0"/>
          <w:type w:val="continuous"/>
        </w:sectPr>
      </w:pPr>
    </w:p>
    <w:bookmarkStart w:id="1" w:name="page2"/>
    <w:bookmarkEnd w:id="1"/>
    <w:p>
      <w:pPr>
        <w:ind w:right="839"/>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 As of January 10, 2018, 28,417,366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30"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4">
              <w:r>
                <w:rPr>
                  <w:rFonts w:ascii="Arial" w:cs="Arial" w:eastAsia="Arial" w:hAnsi="Arial"/>
                  <w:sz w:val="18"/>
                  <w:szCs w:val="18"/>
                  <w:b w:val="1"/>
                  <w:bCs w:val="1"/>
                  <w:color w:val="0000FF"/>
                  <w:w w:val="92"/>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Results of Operations</w:t>
              </w:r>
            </w:hyperlink>
          </w:p>
        </w:tc>
        <w:tc>
          <w:tcPr>
            <w:tcW w:w="2220" w:type="dxa"/>
            <w:vAlign w:val="bottom"/>
            <w:gridSpan w:val="5"/>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220" w:type="dxa"/>
            <w:vAlign w:val="bottom"/>
            <w:gridSpan w:val="5"/>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220" w:type="dxa"/>
            <w:vAlign w:val="bottom"/>
            <w:gridSpan w:val="5"/>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3">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656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4"/>
          </w:tcPr>
          <w:p>
            <w:pPr>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Exhibits</w:t>
              </w:r>
            </w:hyperlink>
          </w:p>
        </w:tc>
        <w:tc>
          <w:tcPr>
            <w:tcW w:w="3740" w:type="dxa"/>
            <w:vAlign w:val="bottom"/>
            <w:gridSpan w:val="13"/>
          </w:tcPr>
          <w:p>
            <w:pPr>
              <w:spacing w:after="0"/>
              <w:rPr>
                <w:sz w:val="24"/>
                <w:szCs w:val="24"/>
                <w:color w:val="auto"/>
              </w:rPr>
            </w:pPr>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080" w:type="dxa"/>
            <w:vAlign w:val="bottom"/>
            <w:gridSpan w:val="2"/>
          </w:tcPr>
          <w:p>
            <w:pPr>
              <w:ind w:left="290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782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6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83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thousands, except stock data)</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 2017</w:t>
            </w:r>
          </w:p>
        </w:tc>
        <w:tc>
          <w:tcPr>
            <w:tcW w:w="220" w:type="dxa"/>
            <w:vAlign w:val="bottom"/>
          </w:tcPr>
          <w:p>
            <w:pPr>
              <w:spacing w:after="0"/>
              <w:rPr>
                <w:sz w:val="24"/>
                <w:szCs w:val="24"/>
                <w:color w:val="auto"/>
              </w:rPr>
            </w:pPr>
          </w:p>
        </w:tc>
        <w:tc>
          <w:tcPr>
            <w:tcW w:w="1260" w:type="dxa"/>
            <w:vAlign w:val="bottom"/>
          </w:tcPr>
          <w:p>
            <w:pPr>
              <w:jc w:val="right"/>
              <w:ind w:right="210"/>
              <w:spacing w:after="0"/>
              <w:rPr>
                <w:sz w:val="20"/>
                <w:szCs w:val="20"/>
                <w:color w:val="auto"/>
              </w:rPr>
            </w:pPr>
            <w:r>
              <w:rPr>
                <w:rFonts w:ascii="Arial" w:cs="Arial" w:eastAsia="Arial" w:hAnsi="Arial"/>
                <w:sz w:val="14"/>
                <w:szCs w:val="14"/>
                <w:b w:val="1"/>
                <w:bCs w:val="1"/>
                <w:color w:val="auto"/>
              </w:rPr>
              <w:t>March 4, 2017</w:t>
            </w:r>
          </w:p>
        </w:tc>
        <w:tc>
          <w:tcPr>
            <w:tcW w:w="0" w:type="dxa"/>
            <w:vAlign w:val="bottom"/>
          </w:tcPr>
          <w:p>
            <w:pPr>
              <w:spacing w:after="0"/>
              <w:rPr>
                <w:sz w:val="1"/>
                <w:szCs w:val="1"/>
                <w:color w:val="auto"/>
              </w:rPr>
            </w:pPr>
          </w:p>
        </w:tc>
      </w:tr>
      <w:tr>
        <w:trPr>
          <w:trHeight w:val="250"/>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1"/>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19,463</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Short-term available for sale securities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Receivables, net of allowance for doubtful accounts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246,863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185,740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73,409</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Refundable income taxes</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374,788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297,461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246,748</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Available for sale securities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9,041</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152,881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101,334</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106,686</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1,043,768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784,658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gridSpan w:val="2"/>
          </w:tcPr>
          <w:p>
            <w:pPr>
              <w:spacing w:after="0"/>
              <w:rPr>
                <w:sz w:val="4"/>
                <w:szCs w:val="4"/>
                <w:color w:val="auto"/>
              </w:rPr>
            </w:pPr>
          </w:p>
        </w:tc>
        <w:tc>
          <w:tcPr>
            <w:tcW w:w="6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62,655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63,182</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51,244</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Accrued self-insurance reserves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34,200</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38,830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Accrued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209,531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186,058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65,400</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Unrecognized tax benefits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self-insurance reserves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8,831</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45,787</w:t>
            </w:r>
          </w:p>
        </w:tc>
        <w:tc>
          <w:tcPr>
            <w:tcW w:w="0" w:type="dxa"/>
            <w:vAlign w:val="bottom"/>
          </w:tcPr>
          <w:p>
            <w:pPr>
              <w:spacing w:after="0"/>
              <w:rPr>
                <w:sz w:val="1"/>
                <w:szCs w:val="1"/>
                <w:color w:val="auto"/>
              </w:rPr>
            </w:pPr>
          </w:p>
        </w:tc>
      </w:tr>
      <w:tr>
        <w:trPr>
          <w:trHeight w:val="243"/>
        </w:trPr>
        <w:tc>
          <w:tcPr>
            <w:tcW w:w="836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contingent liabilities (Note 14)</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gridSpan w:val="4"/>
          </w:tcPr>
          <w:p>
            <w:pPr>
              <w:ind w:left="380"/>
              <w:spacing w:after="0"/>
              <w:rPr>
                <w:sz w:val="20"/>
                <w:szCs w:val="20"/>
                <w:color w:val="auto"/>
              </w:rPr>
            </w:pPr>
            <w:r>
              <w:rPr>
                <w:rFonts w:ascii="Arial" w:cs="Arial" w:eastAsia="Arial" w:hAnsi="Arial"/>
                <w:sz w:val="18"/>
                <w:szCs w:val="18"/>
                <w:color w:val="auto"/>
                <w:w w:val="94"/>
              </w:rPr>
              <w:t>Common stock of $0.33-1/3 par value; authorized 50,000,000 shares; issued and outstanding 28,641,445</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and 28,680,841 respectively</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9,560</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150,111</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375,280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341,996</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Common stock held in trust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43"/>
        </w:trPr>
        <w:tc>
          <w:tcPr>
            <w:tcW w:w="8360" w:type="dxa"/>
            <w:vAlign w:val="bottom"/>
            <w:gridSpan w:val="4"/>
          </w:tcPr>
          <w:p>
            <w:pPr>
              <w:ind w:left="380"/>
              <w:spacing w:after="0"/>
              <w:rPr>
                <w:sz w:val="20"/>
                <w:szCs w:val="20"/>
                <w:color w:val="auto"/>
              </w:rPr>
            </w:pPr>
            <w:r>
              <w:rPr>
                <w:rFonts w:ascii="Arial" w:cs="Arial" w:eastAsia="Arial" w:hAnsi="Arial"/>
                <w:sz w:val="18"/>
                <w:szCs w:val="18"/>
                <w:color w:val="auto"/>
              </w:rPr>
              <w:t>Deferred compensation obligations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1280" w:type="dxa"/>
            <w:vAlign w:val="bottom"/>
            <w:gridSpan w:val="2"/>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(31,090)</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20" w:type="dxa"/>
            <w:vAlign w:val="bottom"/>
            <w:gridSpan w:val="3"/>
          </w:tcPr>
          <w:p>
            <w:pPr>
              <w:ind w:left="1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518,695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470,577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1,043,768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784,658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0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2"/>
              </w:rPr>
              <w:t>December 2, 2017</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November 26, 2016</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3"/>
              </w:rPr>
              <w:t>November 26,</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972,721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800,407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264,947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201,204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724,868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590,581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247,853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209,826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57,024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39,609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161,438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117,269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92,557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93,211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10,670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30,540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57,159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62,671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Earnings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28,818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28,862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28,916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1"/>
              </w:rPr>
              <w:t>December 2, 2017</w:t>
            </w:r>
          </w:p>
        </w:tc>
        <w:tc>
          <w:tcPr>
            <w:tcW w:w="100" w:type="dxa"/>
            <w:vAlign w:val="bottom"/>
            <w:vMerge w:val="restart"/>
          </w:tcPr>
          <w:p>
            <w:pPr>
              <w:spacing w:after="0"/>
              <w:rPr>
                <w:sz w:val="13"/>
                <w:szCs w:val="13"/>
                <w:color w:val="auto"/>
              </w:rPr>
            </w:pPr>
          </w:p>
        </w:tc>
        <w:tc>
          <w:tcPr>
            <w:tcW w:w="13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November 26, 2016</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w:t>
            </w:r>
          </w:p>
        </w:tc>
        <w:tc>
          <w:tcPr>
            <w:tcW w:w="160" w:type="dxa"/>
            <w:vAlign w:val="bottom"/>
          </w:tcPr>
          <w:p>
            <w:pPr>
              <w:spacing w:after="0"/>
              <w:rPr>
                <w:sz w:val="13"/>
                <w:szCs w:val="13"/>
                <w:color w:val="auto"/>
              </w:rPr>
            </w:pPr>
          </w:p>
        </w:tc>
        <w:tc>
          <w:tcPr>
            <w:tcW w:w="110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3"/>
              </w:rPr>
              <w:t>November 26,</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23,646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22,552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62,671</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Other comprehensive earnings: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Unrealized loss on marketable securities, net of $78, $139, $28 and $105</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of tax benefit,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10,652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earnings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Total comprehensive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19,665</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20,511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67,760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65,221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December 2, 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November 26, 2016</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57,159</w:t>
            </w:r>
          </w:p>
        </w:tc>
        <w:tc>
          <w:tcPr>
            <w:tcW w:w="120" w:type="dxa"/>
            <w:vAlign w:val="bottom"/>
          </w:tcPr>
          <w:p>
            <w:pPr>
              <w:spacing w:after="0"/>
              <w:rPr>
                <w:sz w:val="21"/>
                <w:szCs w:val="21"/>
                <w:color w:val="auto"/>
              </w:rPr>
            </w:pP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62,671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39,774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24,270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disposal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Proceeds from New Markets Tax Credit transaction, net of deferred costs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5,109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(15,235)</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(9,555)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9,869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4,896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Refundable and accrued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66,239</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72,815</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(38,946)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(44,548)</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Proceeds from sales of property, plant and equipment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1,716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(184,826)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Change in restricted cash</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7,834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(14,884)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Sales/maturities of marketable securities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9,288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3,703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(215,610)</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(59,202)</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Borrowings on line of credit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314,700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line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(150,700)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Shares withheld for taxes, net of stock issued to employees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and retirement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(10,817)</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(11,971)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(10,687)</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141,674</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(22,822)</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19,463</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60,470</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12,845</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51,599</w:t>
            </w: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Activity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Capital expenditures in 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1"/>
                <w:szCs w:val="21"/>
                <w:color w:val="auto"/>
              </w:rPr>
            </w:pP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6,683</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payments on acquisition of business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Deferred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Accumulated Other</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Stock Held in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0" w:type="dxa"/>
            <w:vAlign w:val="bottom"/>
          </w:tcPr>
          <w:p>
            <w:pPr>
              <w:spacing w:after="0"/>
              <w:rPr>
                <w:sz w:val="12"/>
                <w:szCs w:val="12"/>
                <w:color w:val="auto"/>
              </w:rPr>
            </w:pPr>
          </w:p>
        </w:tc>
        <w:tc>
          <w:tcPr>
            <w:tcW w:w="11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8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In 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5"/>
              </w:rPr>
              <w:t>Trust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Obligation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4"/>
              </w:rPr>
              <w:t>(Loss) Income</w:t>
            </w: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4, 2017</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28,680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9,560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150,111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341,996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(31,090)</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57,159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5"/>
              </w:rPr>
              <w:t>Unrealized loss on marketable securities, net of $28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benefit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10,652</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4,645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Share repurchases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2, 2017</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154,357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375,280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(20,489)</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February 27, 2016</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28,684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9,561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145,528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282,477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(31,371)</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62,671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rPr>
              <w:t>Unrealized loss on marketable securities, net of $105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benefit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2,742</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4,403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 deficit associated with stock plans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1,211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 repurchases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(1,357)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November 26, 2016</w:t>
            </w:r>
          </w:p>
        </w:tc>
        <w:tc>
          <w:tcPr>
            <w:tcW w:w="1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28,646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9,549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148,379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323,070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863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(28,821)</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4, 2017. We use the same accounting policies in preparing quarterly and annual financial statements. All adjustments necessary for a fair presentation of quarterly operating results are reflected herein and are of a normal, recurring nature. The results of operations for the nine-month period ended December 2, 2017 are not necessarily indicative of the results to be expected for the full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preparing the unaudited consolidated financial statements for the nine months ended December 2, 2017, we evaluated subsequent events for potential recognition and disclosure through the date of this filing. On December 20, 2017, the Tax Cuts and Jobs Act (the "2017 Act") was signed into law. We are in the process of preparing and analyzing information to determine the impact of the 2017 Act on our accounting for income taxes, including the remeasurement of our deferred tax assets and liabilities. The consolidated financial statements presented herein do not reflect any impact that may result from completing the accounting for the income tax effects of the 2017 Act.</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end of the quarter, in late December 2017 and early January 2018, we purchased 246,299 shares of stock under our authorized share repurchase program, at a total cost of $11.1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5, 2018, we announced a restructuring plan that involves the closure of our St. George, UT architectural glass manufacturing facility in March 2018, enabled by our investments in productivity and increased capabilities, which have led to an increase in capacity. This and other restructuring activities are expected to have an approximately $4.5 million pre-tax impact in our fiscal fourth quarter.</w:t>
      </w:r>
    </w:p>
    <w:p>
      <w:pPr>
        <w:spacing w:after="0" w:line="1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to use in accounting for revenue arising from contracts with customers and supersedes most current revenue recognition guidance. Under the new standard, an entity recognizes revenue to depict the transfer of promised goods or services to customers in an amount that reflects the consideration to which the entity expects to be entitled in exchange for those goods or services. This guidance is effective for annual reporting periods beginning after December 15, 2017, our fiscal 2019. We have undertaken a comprehensive assessment process at each of our businesses and have concluded on the application of the new guidance at nearly all of our businesses. We are in the process of quantifying the impact that this standard will have on our financial statements upon adoption. At this time:</w:t>
      </w:r>
    </w:p>
    <w:p>
      <w:pPr>
        <w:spacing w:after="0" w:line="5" w:lineRule="exact"/>
        <w:rPr>
          <w:sz w:val="20"/>
          <w:szCs w:val="20"/>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adopt the guidance following a modified retrospective transition method, with a cumulative effect adjustment to opening retained earnings in fiscal 2019. We are in the process of determining this retained earnings adjustment.</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determined that some of our business units will continue to recognize revenue at the point in time when goods are shipped, as that represents when control is transferred to the customer. We also have business units that continue to recognize revenue over time, following a cost-to-cost percentage of completion method of revenue recognition.</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expect that two of our business units will change from recognizing revenue at a point in time to recognizing revenue over time, to better reflect transfer of control to the customer in line with the new guidance. We are continuing to assess the appropriate measure of progress toward completion, based on the facts and circumstances specific to the performance obligations and terms of sale of each business.</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the process of evaluating how the revenue recognition guidance applies to EFCO, the business acquired in the second quarter of fiscal 2018.</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provides for comprehensive changes to lease accounting. The new standard requires that a lessee recognize a lease obligation liability and a right to use asset for virtually all leases of property, plant and equipment, subsequently amortized over the lease term. The new standard is effective for fiscal years beginning after December 15, 2018, our fiscal year 2020, with a modified retrospective transition. The adoption of this standard will result in reflecting assets and liabilities for the value of our leased property and equipment on our consolidated balance sheet, but we do not currently expect this guidance to have a significant impact on our consolidated results of operations.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and in November 2016, it issued 2016-18, </w:t>
      </w:r>
      <w:r>
        <w:rPr>
          <w:rFonts w:ascii="Arial" w:cs="Arial" w:eastAsia="Arial" w:hAnsi="Arial"/>
          <w:sz w:val="18"/>
          <w:szCs w:val="18"/>
          <w:i w:val="1"/>
          <w:iCs w:val="1"/>
          <w:color w:val="auto"/>
        </w:rPr>
        <w:t>Restricted Cash</w:t>
      </w:r>
      <w:r>
        <w:rPr>
          <w:rFonts w:ascii="Arial" w:cs="Arial" w:eastAsia="Arial" w:hAnsi="Arial"/>
          <w:sz w:val="18"/>
          <w:szCs w:val="18"/>
          <w:color w:val="auto"/>
        </w:rPr>
        <w:t>. Both standards provide guidance for presentation of certain topics within the statement of cash flows, including presenting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within cash and cash equivalents, and are intended to improve consistency in presentation. The new classification guidance is effective for fiscal years beginning after December 15, 2017, our fiscal year 2019, and is to be applied retrospectively for comparability across all periods. We do not expect this guidance to have a significant impact on our consolidated financial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which simplifies the accounting for goodwill impairment by requiring impairment charges to be based on the first step in the current two-step impairment test process. The new guidance eliminates the current requirement to calculate a goodwill impairment charge using step 2. The standard is applicable to impairment tests performed in periods beginning after December 15, 2019, our fiscal 2021, with early adoption permitted. We are currently evaluating early adoption of this guidance for our future annual goodwill impairment review process.</w:t>
      </w:r>
    </w:p>
    <w:p>
      <w:pPr>
        <w:spacing w:after="0" w:line="18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share-based compensation expense included in the results of operations was $4.6 million for the nine-month period ended December 2, 2017 and $4.4 million for the nine-month period ended November 26,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nine-month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4,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229,901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Awards 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December 2,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129,901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3.0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4,878,738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proceeds from the exercise of stock options were $0.8 million and $1.3 million for the nine months ended December 2, 2017 and November 26, 2016, respectively. The aggregate intrinsic value of securities exercised (the amount by which the stock price on the date of exercise exceeded the stock price of the award on the date of grant) was $4.8 million during the nine months ended December 2, 2017 and $4.5 million during the prior-year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 and Share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Nonvested share activity for the current nine-month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Nonvested Shares and Units</w:t>
            </w:r>
          </w:p>
        </w:tc>
        <w:tc>
          <w:tcPr>
            <w:tcW w:w="120" w:type="dxa"/>
            <w:vAlign w:val="bottom"/>
            <w:vMerge w:val="restart"/>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of Shares and</w:t>
            </w: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March 4, 2017</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124,416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December 2, 2017</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266,527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2, 2017, there was $8.5 million of total unrecognized compensation cost related to nonvested share and nonvested share unit awards, which is expected to be recognized over a weighted average period of approximately 21 months. The total fair value of shares vested during the nine months ended December 2, 2017 was $7.0 million.</w:t>
      </w:r>
    </w:p>
    <w:p>
      <w:pPr>
        <w:spacing w:after="0" w:line="17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December 2, 2017</w:t>
            </w: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November 26, 2016</w:t>
            </w:r>
          </w:p>
        </w:tc>
        <w:tc>
          <w:tcPr>
            <w:tcW w:w="13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December 2,</w:t>
            </w:r>
          </w:p>
        </w:tc>
        <w:tc>
          <w:tcPr>
            <w:tcW w:w="124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November 26,</w:t>
            </w:r>
          </w:p>
        </w:tc>
        <w:tc>
          <w:tcPr>
            <w:tcW w:w="0" w:type="dxa"/>
            <w:vAlign w:val="bottom"/>
          </w:tcPr>
          <w:p>
            <w:pPr>
              <w:spacing w:after="0"/>
              <w:rPr>
                <w:sz w:val="1"/>
                <w:szCs w:val="1"/>
                <w:color w:val="auto"/>
              </w:rPr>
            </w:pPr>
          </w:p>
        </w:tc>
      </w:tr>
      <w:tr>
        <w:trPr>
          <w:trHeight w:val="192"/>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40" w:type="dxa"/>
            <w:vAlign w:val="bottom"/>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Basic earnings per share – weighted average common shares outstanding</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28,812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0"/>
              </w:rPr>
              <w:t>Weighted average effect of nonvested share grants and assumed exercise of</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stock options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Diluted earnings per share – weighted average common shares and potential</w:t>
            </w:r>
          </w:p>
        </w:tc>
        <w:tc>
          <w:tcPr>
            <w:tcW w:w="150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28,818</w:t>
            </w:r>
          </w:p>
        </w:tc>
        <w:tc>
          <w:tcPr>
            <w:tcW w:w="12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28,892</w:t>
            </w:r>
          </w:p>
        </w:tc>
        <w:tc>
          <w:tcPr>
            <w:tcW w:w="1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28,862</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28,916</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common shares outstanding</w:t>
            </w: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1500" w:type="dxa"/>
            <w:vAlign w:val="bottom"/>
          </w:tcPr>
          <w:p>
            <w:pPr>
              <w:jc w:val="right"/>
              <w:ind w:right="1236"/>
              <w:spacing w:after="0"/>
              <w:rPr>
                <w:sz w:val="20"/>
                <w:szCs w:val="20"/>
                <w:color w:val="auto"/>
              </w:rPr>
            </w:pPr>
            <w:r>
              <w:rPr>
                <w:rFonts w:ascii="Arial" w:cs="Arial" w:eastAsia="Arial" w:hAnsi="Arial"/>
                <w:sz w:val="18"/>
                <w:szCs w:val="18"/>
                <w:color w:val="auto"/>
                <w:w w:val="79"/>
              </w:rPr>
              <w:t>10</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anti-dilutive stock options excluded from the calculation of earnings per share for any of the periods presented, as the average market price exceeded the exercise price of options outstanding.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 2017</w:t>
            </w:r>
          </w:p>
        </w:tc>
        <w:tc>
          <w:tcPr>
            <w:tcW w:w="240" w:type="dxa"/>
            <w:vAlign w:val="bottom"/>
          </w:tcPr>
          <w:p>
            <w:pPr>
              <w:spacing w:after="0"/>
              <w:rPr>
                <w:sz w:val="24"/>
                <w:szCs w:val="24"/>
                <w:color w:val="auto"/>
              </w:rPr>
            </w:pPr>
          </w:p>
        </w:tc>
        <w:tc>
          <w:tcPr>
            <w:tcW w:w="136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4,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24,919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16,154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29,372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Costs and earnings in excess of billings on uncompleted contracts</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5,122</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98,062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73,409</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are classified as available for sale: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5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Amortized Cost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Gross Unrealized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Gross Unrealized</w:t>
            </w:r>
          </w:p>
        </w:tc>
        <w:tc>
          <w:tcPr>
            <w:tcW w:w="1340" w:type="dxa"/>
            <w:vAlign w:val="bottom"/>
          </w:tcPr>
          <w:p>
            <w:pPr>
              <w:jc w:val="right"/>
              <w:ind w:right="27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2"/>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Gains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1340" w:type="dxa"/>
            <w:vAlign w:val="bottom"/>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 2017</w:t>
            </w: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4, 2017</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9,595</w:t>
            </w:r>
          </w:p>
        </w:tc>
        <w:tc>
          <w:tcPr>
            <w:tcW w:w="10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wholly-owned insurance subsidiary, Prism Assurance, Ltd. (Prism), which holds municipal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bonds, for the purpose of providing collateral for Prism’s obligations under the reinsurance agreements.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municipal bonds at December 2, 2017, by contractual maturity, are shown below. Expected maturities may differ from contractual maturities, as borrowers may have the right to call or prepay obligations with or without penalty.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6"/>
                <w:szCs w:val="16"/>
                <w:color w:val="auto"/>
              </w:rPr>
            </w:pPr>
          </w:p>
        </w:tc>
        <w:tc>
          <w:tcPr>
            <w:tcW w:w="154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Estimated Fair Value</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4,385</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10 years through 15 years</w:t>
            </w:r>
          </w:p>
        </w:tc>
        <w:tc>
          <w:tcPr>
            <w:tcW w:w="2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141</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beyond 15 years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10,248</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Other Observable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9"/>
              </w:rPr>
              <w:t>Total Fair Value</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 (Level 2)</w:t>
            </w: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 2017</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4, 2017</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securities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Municipal bonds were measured at fair value based on market prices from recent trades of similar securities and are classified as short-term or long-term based on maturity date.</w:t>
      </w:r>
    </w:p>
    <w:p>
      <w:pPr>
        <w:spacing w:after="0" w:line="18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EFCO</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line with our strategic objectives, on June 12, 2017, we acquired 100 percent of the stock of EFCO Corporation, a privately held U.S. manufacturer of architectural aluminum window, curtainwall, storefront and entrance systems for commercial construction projects, for $192 million in cash. The acquisition was funded through our committed revolving credit facility, with $7.5 million of the purchase price payable in equal installments over the next three years. EFCO's results of operations have been included in our consolidated financial statements and within the Architectural Framing Systems segment since the date of acquisition. Those results include $135.3 million of sales and $6.1 million of operating income since the date of acquisition.</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assets and liabilities of EFCO were recorded in our consolidated balance sheet as of the acquisition date, at their respective fair values. Fair value is estimated based on one or a combination of income, cost and/or market approaches, as determined based on the nature of the asset or liability, and the level of inputs available. With respect to assets and liabilities, the determination of fair value requires management to make subjective judgments as to projections of future operating performance, the appropriate discount rate to apply, long-term growth rates, etc. (i.e. - unobservable inputs classified as Level 3 inputs under the fair value hierarchy described in Note 7), which affect the amounts recorded in the purchase price allocation. The excess of the consideration transferred over the fair value of the identifiable assets, net of liabilities, is recorded as goodwill, which is indicative of the expected continued growth and development of EFCO. The purchase price allocation is based on these estimated fair values of assets acquired and liabilities assumed,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4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34,156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43,815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57,460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
              <w:spacing w:after="0"/>
              <w:rPr>
                <w:sz w:val="20"/>
                <w:szCs w:val="20"/>
                <w:color w:val="auto"/>
              </w:rPr>
            </w:pPr>
            <w:r>
              <w:rPr>
                <w:rFonts w:ascii="Arial" w:cs="Arial" w:eastAsia="Arial" w:hAnsi="Arial"/>
                <w:sz w:val="18"/>
                <w:szCs w:val="18"/>
                <w:color w:val="auto"/>
              </w:rPr>
              <w:t>71,500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Long-term liabilities acquired, net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57"/>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192,326</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Other intangible assets reflect the following:</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5"/>
              </w:rPr>
              <w:t>Estimated fair value</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34,800</w:t>
            </w:r>
          </w:p>
        </w:tc>
        <w:tc>
          <w:tcPr>
            <w:tcW w:w="1580" w:type="dxa"/>
            <w:vAlign w:val="bottom"/>
            <w:tcBorders>
              <w:bottom w:val="single" w:sz="8" w:color="CCEEFF"/>
            </w:tcBorders>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Tradename</w:t>
            </w:r>
          </w:p>
        </w:tc>
        <w:tc>
          <w:tcPr>
            <w:tcW w:w="14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32,400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c>
          <w:tcPr>
            <w:tcW w:w="1580" w:type="dxa"/>
            <w:vAlign w:val="bottom"/>
            <w:tcBorders>
              <w:bottom w:val="single" w:sz="8" w:color="CCEEFF"/>
            </w:tcBorders>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fair values are based on preliminary estimates and are subject to change based on finalization of net working capital items included in the purchase price allocation.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Sotawall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14, 2016, we acquired substantially all the assets of Sotawall, Inc., now operating under the name Sotawall Limited ("Sotawall"). Sotawall specializes in the design, engineering, fabrication, assembly and installation of unitized curtainwall systems for industrial, commercial and institutional buildings, primarily serving the Canadian and northeastern U.S. geographic regions. Sotawall's results of operations have been included in our consolidated financial statements and within the Architectural Framing Systems segment since the date of acquisition. Purchase accounting related to the acquisition of Sotawall was finalized during the the first quarter of fiscal 2018.</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certain unaudited pro forma consolidated data for the combined company for the third quarters and first nine-month periods of fiscal 2018 and 2017, as if the EFCO and Sotawall acquisitions were consummated pursuant to each of their respective same terms at the beginning of the fiscal year preceding their respective acquisition dates.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68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December 2, 2017</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November 26,</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December 2, 2017</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4"/>
                <w:szCs w:val="14"/>
                <w:b w:val="1"/>
                <w:bCs w:val="1"/>
                <w:color w:val="auto"/>
              </w:rPr>
              <w:t>November 26,</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356,506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1,044,465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1,083,352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24,453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59,564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72,171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provided this unaudited pro forma information for comparative purposes only. This information does not necessarily reflect what the combined results of operations actually would have been had the acquisitions occurred at the beginning of fiscal year 2017. The information does not reflect the effect of any synergies or integration costs that will result from the acquisitions.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Architectural</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Architectural Glass</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Architectural</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Large-Scale</w:t>
            </w:r>
          </w:p>
        </w:tc>
        <w:tc>
          <w:tcPr>
            <w:tcW w:w="300" w:type="dxa"/>
            <w:vAlign w:val="bottom"/>
          </w:tcPr>
          <w:p>
            <w:pPr>
              <w:spacing w:after="0"/>
              <w:rPr>
                <w:sz w:val="14"/>
                <w:szCs w:val="14"/>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700" w:type="dxa"/>
            <w:vAlign w:val="bottom"/>
            <w:gridSpan w:val="3"/>
          </w:tcPr>
          <w:p>
            <w:pPr>
              <w:ind w:left="40"/>
              <w:spacing w:after="0" w:line="158" w:lineRule="exact"/>
              <w:rPr>
                <w:sz w:val="20"/>
                <w:szCs w:val="20"/>
                <w:color w:val="auto"/>
              </w:rPr>
            </w:pPr>
            <w:r>
              <w:rPr>
                <w:rFonts w:ascii="Arial" w:cs="Arial" w:eastAsia="Arial" w:hAnsi="Arial"/>
                <w:sz w:val="14"/>
                <w:szCs w:val="14"/>
                <w:i w:val="1"/>
                <w:iCs w:val="1"/>
                <w:color w:val="auto"/>
              </w:rPr>
              <w:t>(In thousands)</w:t>
            </w:r>
          </w:p>
        </w:tc>
        <w:tc>
          <w:tcPr>
            <w:tcW w:w="14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Framing Systems</w:t>
            </w:r>
          </w:p>
        </w:tc>
        <w:tc>
          <w:tcPr>
            <w:tcW w:w="13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Optical</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27,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73,996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Goodwill acquired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27,444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27,444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March 4, 2017</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63,701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 acquired,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49,256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2, 2017</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115,198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152,881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December 2, 2017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issue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105,308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Trademarks and other intangibles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30,250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17,689</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124,518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48,461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49,338</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209,786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173,856</w:t>
            </w:r>
          </w:p>
        </w:tc>
        <w:tc>
          <w:tcPr>
            <w:tcW w:w="0" w:type="dxa"/>
            <w:vAlign w:val="bottom"/>
          </w:tcPr>
          <w:p>
            <w:pPr>
              <w:spacing w:after="0"/>
              <w:rPr>
                <w:sz w:val="1"/>
                <w:szCs w:val="1"/>
                <w:color w:val="auto"/>
              </w:rPr>
            </w:pPr>
          </w:p>
        </w:tc>
      </w:tr>
      <w:tr>
        <w:trPr>
          <w:trHeight w:val="67"/>
        </w:trPr>
        <w:tc>
          <w:tcPr>
            <w:tcW w:w="5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4, 2017</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issue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68,321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Trademarks and other intangibles</w:t>
            </w:r>
          </w:p>
        </w:tc>
        <w:tc>
          <w:tcPr>
            <w:tcW w:w="2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90,625</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134,803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106,686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on definite-lived intangible assets was $12.8 million and $1.2 million for the nine-month periods ended December 2, 2017 and November 26, 2016, respectively. The amortization expense associated with debt issue costs is included in interest expense while the remainder is in selling, general and administrative expenses in the consolidated results of operations. At December 2, 2017, the estimated future amortization expense for definite-lived intangible assets was: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Remainder of Fiscal</w:t>
            </w:r>
          </w:p>
        </w:tc>
        <w:tc>
          <w:tcPr>
            <w:tcW w:w="24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2019</w:t>
            </w:r>
          </w:p>
        </w:tc>
        <w:tc>
          <w:tcPr>
            <w:tcW w:w="22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2020</w:t>
            </w:r>
          </w:p>
        </w:tc>
        <w:tc>
          <w:tcPr>
            <w:tcW w:w="22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 2021</w:t>
            </w:r>
          </w:p>
        </w:tc>
        <w:tc>
          <w:tcPr>
            <w:tcW w:w="240" w:type="dxa"/>
            <w:vAlign w:val="bottom"/>
          </w:tcPr>
          <w:p>
            <w:pPr>
              <w:spacing w:after="0"/>
              <w:rPr>
                <w:sz w:val="14"/>
                <w:szCs w:val="14"/>
                <w:color w:val="auto"/>
              </w:rPr>
            </w:pPr>
          </w:p>
        </w:tc>
        <w:tc>
          <w:tcPr>
            <w:tcW w:w="11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Fiscal 2022</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4,922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13,235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8,219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8,213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 committed revolving credit facility with maximum borrowings of up to $335.0 million, maturing in November 2021. Outstanding borrowings under our committed revolving credit facility were $209.0 million, as of December 2, 2017, and $45.0 million, as of March 4, 2017. Under this facility, we are subject to two financial covenants that require us to stay below a</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maximum debt-to-EBITDA ratio and maintain a minimum ratio of interest expense-to-EBITDA. Both ratios are computed quarterly, with EBITDA calculated on a rolling four-quarter basis. At December 2, 2017, we were in compliance with both financial covenants. Additionally, at December 2, 2017, we had a total of $26.3 million of ongoing letters of credit related to industrial revenue bonds and construction contracts that expire in fiscal 2018 and reduce availability of funds under our committed credit facility.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2, 2017, our debt also included $20.4 million of industrial revenue bonds that mature in fiscal years 2021 through 2043 and $0.4 million of long-term debt in Canada. The fair value of the industrial revenue bonds approximated carrying value at December 2, 2017, due to the variable interest rates on these instruments. All debt would be classified as Level 2 within the fair value hierarchy described in Note 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maintain two Canadian revolving demand credit facilities totaling $12.0 million Canadian dollars. As of December 2, 2017, $1.5 million was outstanding under these facilities, and no borrowings were outstanding as of March 4, 2017. Borrowings under these facilities are made available at the sole discretion of the lenders and are payable on demand. The Company classifies any outstanding balances under this demand facility as long-term debt, as outstanding amounts can be refinanced through our committed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$3.6 million and $0.5 million for the nine months ended December 2, 2017 and November 26,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sponsors two frozen defined-benefit pension plans: an unfunded Officers’ Supplemental Executive Retirement Plan and the Tubelite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Hourly Employees’ Pension Plan. Components of net periodic benefit cost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2, 2017</w:t>
            </w:r>
          </w:p>
        </w:tc>
        <w:tc>
          <w:tcPr>
            <w:tcW w:w="14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November 26, 2016</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w:t>
            </w:r>
          </w:p>
        </w:tc>
        <w:tc>
          <w:tcPr>
            <w:tcW w:w="220" w:type="dxa"/>
            <w:vAlign w:val="bottom"/>
          </w:tcPr>
          <w:p>
            <w:pPr>
              <w:spacing w:after="0"/>
              <w:rPr>
                <w:sz w:val="13"/>
                <w:szCs w:val="13"/>
                <w:color w:val="auto"/>
              </w:rPr>
            </w:pPr>
          </w:p>
        </w:tc>
        <w:tc>
          <w:tcPr>
            <w:tcW w:w="126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November 26,</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Expected return on assets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net loss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2015, or U.S. state and local income tax examinations for years prior to fiscal 2011. The Company is not currently under U.S. federal examination for years subsequent to fiscal year 2014, and there is very limited audit activity of the Company’s income tax returns in U.S. state jurisdictions or international jurisdictions.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liability for unrecognized tax benefits at December 2, 2017 and March 4, 2017 was approximately $5.4 million and $4.5 million, respectively. Penalties and interest related to unrecognized tax benefits are recorded in income tax expense. The total liability for unrecognized tax benefits is expected to decrease by approximately $0.3 million during the next 12 months due to lapsing of statutes.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Other Non-Current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2, 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4, 2017</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benefit from New Market Tax Credit transactions</w:t>
            </w:r>
          </w:p>
        </w:tc>
        <w:tc>
          <w:tcPr>
            <w:tcW w:w="3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16,708</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Retirement plan obligations</w:t>
            </w:r>
          </w:p>
        </w:tc>
        <w:tc>
          <w:tcPr>
            <w:tcW w:w="3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3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Other</w:t>
            </w:r>
          </w:p>
        </w:tc>
        <w:tc>
          <w:tcPr>
            <w:tcW w:w="3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23,034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11,981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3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45,787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ind w:left="880" w:hanging="872"/>
        <w:spacing w:after="0"/>
        <w:tabs>
          <w:tab w:leader="none" w:pos="8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Operating lease commitments. </w:t>
      </w:r>
      <w:r>
        <w:rPr>
          <w:rFonts w:ascii="Arial" w:cs="Arial" w:eastAsia="Arial" w:hAnsi="Arial"/>
          <w:sz w:val="18"/>
          <w:szCs w:val="18"/>
          <w:color w:val="auto"/>
        </w:rPr>
        <w:t>As of December 2, 2017, the Company was obligated under non-cancelable operating leases for buildings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leases provide for increased rental payments based upon increases in real estate taxes or operating costs. Future minimum rental payments under non-cancelable operating leases are: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Remainder of</w:t>
            </w: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2019</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16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2021</w:t>
            </w:r>
          </w:p>
        </w:tc>
        <w:tc>
          <w:tcPr>
            <w:tcW w:w="18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2022</w:t>
            </w:r>
          </w:p>
        </w:tc>
        <w:tc>
          <w:tcPr>
            <w:tcW w:w="1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4"/>
                <w:szCs w:val="14"/>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Fiscal 2018</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3,615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13,546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11,493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8,477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7,626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21,232</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65,989</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Bond commitments. </w:t>
      </w:r>
      <w:r>
        <w:rPr>
          <w:rFonts w:ascii="Arial" w:cs="Arial" w:eastAsia="Arial" w:hAnsi="Arial"/>
          <w:sz w:val="18"/>
          <w:szCs w:val="18"/>
          <w:color w:val="auto"/>
        </w:rPr>
        <w:t>In the ordinary course of business, predominantly in our Architectural Services and Architectural Framing Systems segments, we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provide surety or performance bonds that commit payments to our customers for any non-performance. At December 2, 2017, $86.4 million of our backlog was bonded by performance bonds with a face value of $310.0 million. Performance bonds do not have stated expiration dates, as we are generally released from the bonds upon completion of the contract. We have never been required to make any payments related to these performance bonds with respect to any of our current portfolio of businesses.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We reserve estimated exposures on known claims, as well as on a portion of anticipated claims, for product warranty and rework cost,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 2017</w:t>
            </w:r>
          </w:p>
        </w:tc>
        <w:tc>
          <w:tcPr>
            <w:tcW w:w="160" w:type="dxa"/>
            <w:vAlign w:val="bottom"/>
          </w:tcPr>
          <w:p>
            <w:pPr>
              <w:spacing w:after="0"/>
              <w:rPr>
                <w:sz w:val="22"/>
                <w:szCs w:val="22"/>
                <w:color w:val="auto"/>
              </w:rPr>
            </w:pPr>
          </w:p>
        </w:tc>
        <w:tc>
          <w:tcPr>
            <w:tcW w:w="144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November 26,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Additional accruals</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6,082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Acquired reserves</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17,544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Letters of credit. </w:t>
      </w:r>
      <w:r>
        <w:rPr>
          <w:rFonts w:ascii="Arial" w:cs="Arial" w:eastAsia="Arial" w:hAnsi="Arial"/>
          <w:sz w:val="18"/>
          <w:szCs w:val="18"/>
          <w:color w:val="auto"/>
        </w:rPr>
        <w:t>At December 2, 2017, we had ongoing letters of credit related to construction contracts and certain industrial revenue bonds.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letters of credit under which we were obligated as of December 2, 2017 was approximately $26.3 million, all of which have been issued under our committed revolving credit facility. Availability under this credit facility is reduced by borrowings under the facility and also by letters of credit issued under the facility.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 obligations. </w:t>
      </w:r>
      <w:r>
        <w:rPr>
          <w:rFonts w:ascii="Arial" w:cs="Arial" w:eastAsia="Arial" w:hAnsi="Arial"/>
          <w:sz w:val="17"/>
          <w:szCs w:val="17"/>
          <w:color w:val="auto"/>
        </w:rPr>
        <w:t>Purchase obligations for raw material commitments and capital expenditures totaled $120.9 million as of December 2, 2017.</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Litigation. </w:t>
      </w:r>
      <w:r>
        <w:rPr>
          <w:rFonts w:ascii="Arial" w:cs="Arial" w:eastAsia="Arial" w:hAnsi="Arial"/>
          <w:sz w:val="17"/>
          <w:szCs w:val="17"/>
          <w:color w:val="auto"/>
        </w:rPr>
        <w:t>We are a party to various legal proceedings incidental to our normal operating activities. In particular, like others in the construction supply and</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industry, our businesses are routinely involved in various disputes and claims arising out of construction projects, sometimes involving significant monetary damages or product replacement. We are also subject to litigation arising out of general liability, employment practices, workers' compensation and automobile claims. Although it is very difficult to accurately predict the outcome of such proceedings, facts currently available indicate that no such claims will result in losses that would have a material adverse effect on our results of operations, cash flows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four reporting segments: Architectural Framing Systems, Architectural Glass, Architectural Services and Large-Scale Optical (LSO).</w:t>
      </w:r>
    </w:p>
    <w:p>
      <w:pPr>
        <w:spacing w:after="0" w:line="35" w:lineRule="exact"/>
        <w:rPr>
          <w:sz w:val="20"/>
          <w:szCs w:val="20"/>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Architectural Services segment designs, engineers, fabricates and installs the walls of glass, windows and other curtainwall products making up the outside skin of commercial and institutional buildings.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LSO segment manufactures value-added glass and acrylic products primarily for framing and display applications.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 2017</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November 26, 2016</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 2017</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7"/>
              </w:rPr>
              <w:t>November 26, 2016</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from operations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Architectural Framing Systems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194,157</w:t>
            </w:r>
          </w:p>
        </w:tc>
        <w:tc>
          <w:tcPr>
            <w:tcW w:w="100" w:type="dxa"/>
            <w:vAlign w:val="bottom"/>
          </w:tcPr>
          <w:p>
            <w:pPr>
              <w:spacing w:after="0"/>
              <w:rPr>
                <w:sz w:val="21"/>
                <w:szCs w:val="21"/>
                <w:color w:val="auto"/>
              </w:rPr>
            </w:pP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90,850</w:t>
            </w:r>
          </w:p>
        </w:tc>
        <w:tc>
          <w:tcPr>
            <w:tcW w:w="12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493,672</w:t>
            </w:r>
          </w:p>
        </w:tc>
        <w:tc>
          <w:tcPr>
            <w:tcW w:w="120" w:type="dxa"/>
            <w:vAlign w:val="bottom"/>
          </w:tcPr>
          <w:p>
            <w:pPr>
              <w:spacing w:after="0"/>
              <w:rPr>
                <w:sz w:val="21"/>
                <w:szCs w:val="21"/>
                <w:color w:val="auto"/>
              </w:rPr>
            </w:pPr>
          </w:p>
        </w:tc>
        <w:tc>
          <w:tcPr>
            <w:tcW w:w="640" w:type="dxa"/>
            <w:vAlign w:val="bottom"/>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264,212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Architectural Glass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96,940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107,002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292,026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299,567</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Architectural Services</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64,380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146,056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204,934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Large-Scale Optical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26,003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64,897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63,382</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(10,244)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(23,930)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(31,688)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356,506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274,072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972,721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800,407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 from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Architectural Framing 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18,452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46,958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35,070</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Architectural Glass</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9,107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11,708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28,687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30,855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Architectural Services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14,336</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Large-Scale Optical</w:t>
            </w:r>
          </w:p>
        </w:tc>
        <w:tc>
          <w:tcPr>
            <w:tcW w:w="1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15,022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15,613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37"/>
        </w:trPr>
        <w:tc>
          <w:tcPr>
            <w:tcW w:w="5720" w:type="dxa"/>
            <w:vAlign w:val="bottom"/>
          </w:tcPr>
          <w:p>
            <w:pPr>
              <w:ind w:left="50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34,535</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33,259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86,415</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92,557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4, 2017.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4, 2017.</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 world leader in certain technologies involving the design and development of value-added glass products and services. Our four reporting segments are: Architectural Framing Systems, Architectural Glass, Architectural Services and Large-Scale Optical (LSO).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March 4, 2017 and the consolidated financial statements, including the notes to consolidated financial statements, included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Third Quarter and First Nine Months of Fiscal 2018 Compared to Third Quarter and First Nine Months of Fiscal 2017</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net sales increased 30.1 percent, or $82.4 million, for the third quarter ended December 2, 2017, and 21.5 percent, or $172.3 million, for the nine-month period ended December 2, 2017, compared to the same periods in the prior year. Sales growth was primarily due to the addition of EFCO in June 2017 and Sotawall in December 2016 within the Architectural Framing Systems segment, partially offset by the decline in our Architectural Services segment. Foreign currency did not have a meaningful impact on sales results in the current-year period or the prior-year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illustrated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December 2, 2017</w:t>
            </w: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November 26, 2016</w:t>
            </w:r>
          </w:p>
        </w:tc>
        <w:tc>
          <w:tcPr>
            <w:tcW w:w="144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December 2,</w:t>
            </w: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November 26,</w:t>
            </w:r>
          </w:p>
        </w:tc>
        <w:tc>
          <w:tcPr>
            <w:tcW w:w="0" w:type="dxa"/>
            <w:vAlign w:val="bottom"/>
          </w:tcPr>
          <w:p>
            <w:pPr>
              <w:spacing w:after="0"/>
              <w:rPr>
                <w:sz w:val="1"/>
                <w:szCs w:val="1"/>
                <w:color w:val="auto"/>
              </w:rPr>
            </w:pPr>
          </w:p>
        </w:tc>
      </w:tr>
      <w:tr>
        <w:trPr>
          <w:trHeight w:val="192"/>
        </w:trPr>
        <w:tc>
          <w:tcPr>
            <w:tcW w:w="5540" w:type="dxa"/>
            <w:vAlign w:val="bottom"/>
          </w:tcPr>
          <w:p>
            <w:pPr>
              <w:ind w:left="40"/>
              <w:spacing w:after="0"/>
              <w:rPr>
                <w:sz w:val="20"/>
                <w:szCs w:val="20"/>
                <w:color w:val="auto"/>
              </w:rPr>
            </w:pPr>
            <w:r>
              <w:rPr>
                <w:rFonts w:ascii="Arial" w:cs="Arial" w:eastAsia="Arial" w:hAnsi="Arial"/>
                <w:sz w:val="14"/>
                <w:szCs w:val="14"/>
                <w:i w:val="1"/>
                <w:iCs w:val="1"/>
                <w:color w:val="auto"/>
              </w:rPr>
              <w:t>(Percent of net sales)</w:t>
            </w:r>
          </w:p>
        </w:tc>
        <w:tc>
          <w:tcPr>
            <w:tcW w:w="15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Interest and other (expense) income, net</w:t>
            </w: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Effective tax rate</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vMerge w:val="continue"/>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32.1 %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jc w:val="both"/>
        <w:ind w:left="60"/>
        <w:spacing w:after="0" w:line="295" w:lineRule="auto"/>
        <w:rPr>
          <w:sz w:val="20"/>
          <w:szCs w:val="20"/>
          <w:color w:val="auto"/>
        </w:rPr>
      </w:pPr>
      <w:r>
        <w:rPr>
          <w:rFonts w:ascii="Arial" w:cs="Arial" w:eastAsia="Arial" w:hAnsi="Arial"/>
          <w:sz w:val="16"/>
          <w:szCs w:val="16"/>
          <w:color w:val="auto"/>
        </w:rPr>
        <w:t>Gross profit as a percent of sales was 25.7 percent and 25.5 percent for the three- and nine-month periods, respectively, ended December 2, 2017, compared to 26.6 percent and 26.2 percent for the three- and nine-month periods ended November 26, 2016. Gross profit as a percent of sales declined from the prior-year periods primarily due to the inclusion of the lower gross margin EFCO business in the three-month period ended December 2, 2017, and reduced volume leverage in the Architectural Services segment in both the three- and nine-month periods ended December 2, 2017.</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21"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SG&amp;A expenses as a percent of sales were 16.0 percent and 16.6 percent in the three- and nine-month periods ended December 2, 2017, compared to 14.5 percent of sales and 14.7 percent of sales in the three- and nine-month periods, respectively, last year. The increases in the current year periods were primarily due to amortization of the intangible assets acquired in the Sotawall and EFCO transactions and EFCO acquisition-related costs. These two factors combined made up approximately 170 basis points of the increase in each of the three- and nine-month periods of fiscal 2018, compared to the prior-year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in the third quarter of fiscal 2018 was 29.1 percent, compared to 32.1 percent in the same period last year, and 31.7 percent for the first nine months of fiscal 2018, compared to 32.8 percent in the prior-year period. The decline in both periods was due mainly to a tax benefit on the recognition of a foreign currency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32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9"/>
              </w:rPr>
              <w:t>December 2, 2017</w:t>
            </w:r>
          </w:p>
        </w:tc>
        <w:tc>
          <w:tcPr>
            <w:tcW w:w="100" w:type="dxa"/>
            <w:vAlign w:val="bottom"/>
            <w:vMerge w:val="restart"/>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November 26, 2016</w:t>
            </w:r>
          </w:p>
        </w:tc>
        <w:tc>
          <w:tcPr>
            <w:tcW w:w="120" w:type="dxa"/>
            <w:vAlign w:val="bottom"/>
            <w:vMerge w:val="restart"/>
          </w:tcPr>
          <w:p>
            <w:pPr>
              <w:spacing w:after="0"/>
              <w:rPr>
                <w:sz w:val="13"/>
                <w:szCs w:val="13"/>
                <w:color w:val="auto"/>
              </w:rPr>
            </w:pPr>
          </w:p>
        </w:tc>
        <w:tc>
          <w:tcPr>
            <w:tcW w:w="96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December 2, 2017</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November 26, 2016</w:t>
            </w:r>
          </w:p>
        </w:tc>
        <w:tc>
          <w:tcPr>
            <w:tcW w:w="100" w:type="dxa"/>
            <w:vAlign w:val="bottom"/>
            <w:vMerge w:val="restart"/>
          </w:tcPr>
          <w:p>
            <w:pPr>
              <w:spacing w:after="0"/>
              <w:rPr>
                <w:sz w:val="13"/>
                <w:szCs w:val="13"/>
                <w:color w:val="auto"/>
              </w:rPr>
            </w:pPr>
          </w:p>
        </w:tc>
        <w:tc>
          <w:tcPr>
            <w:tcW w:w="106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194,157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90,850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493,672</w:t>
            </w:r>
          </w:p>
        </w:tc>
        <w:tc>
          <w:tcPr>
            <w:tcW w:w="1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264,212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18,452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11,838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46,958</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35,070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312" w:lineRule="auto"/>
        <w:rPr>
          <w:sz w:val="20"/>
          <w:szCs w:val="20"/>
          <w:color w:val="auto"/>
        </w:rPr>
      </w:pPr>
      <w:r>
        <w:rPr>
          <w:rFonts w:ascii="Arial" w:cs="Arial" w:eastAsia="Arial" w:hAnsi="Arial"/>
          <w:sz w:val="16"/>
          <w:szCs w:val="16"/>
          <w:color w:val="auto"/>
        </w:rPr>
        <w:t>Architectural Framing Systems net sales increased $103.3 million, or 113.7 percent, and $229.5 million, or 86.8 percent, for the three- and nine-month periods, respectively, ended December 2, 2017, over the same periods in the prior year. The addition of the net sales of EFCO and Sotawall provided over 80 percent of the growth in both periods. The remaining growth was from share gains and geographic growth in North America within our legacy businesses.</w:t>
      </w:r>
    </w:p>
    <w:p>
      <w:pPr>
        <w:spacing w:after="0" w:line="39"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Operating margin declined 350 basis points and 380 basis points for the three- and nine-month periods, respectively, of the current year, compared to the same periods in the prior year. The decline in the three-month period resulted from 280 basis points of amortization of acquired intangible assets and, for the nine-month period, the amortization of acquired intangible assets resulted in 240 basis points of the decline. Additionally, operating margin in both periods was impacted by the inclusion of EFCO at lower operating margins.</w:t>
      </w:r>
    </w:p>
    <w:p>
      <w:pPr>
        <w:spacing w:after="0" w:line="79"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Backlog in this segment, as of December 2, 2017, was approximately $449 million, compared to approximately $245 million at fiscal year-end, with the addition of EFCO contributing over 90 percent of the increase.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December 2, 2017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November 26, 2016</w:t>
            </w:r>
          </w:p>
        </w:tc>
        <w:tc>
          <w:tcPr>
            <w:tcW w:w="120" w:type="dxa"/>
            <w:vAlign w:val="bottom"/>
            <w:vMerge w:val="restart"/>
          </w:tcPr>
          <w:p>
            <w:pPr>
              <w:spacing w:after="0"/>
              <w:rPr>
                <w:sz w:val="13"/>
                <w:szCs w:val="13"/>
                <w:color w:val="auto"/>
              </w:rPr>
            </w:pPr>
          </w:p>
        </w:tc>
        <w:tc>
          <w:tcPr>
            <w:tcW w:w="10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2, 2017</w:t>
            </w: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November 26, 2016</w:t>
            </w:r>
          </w:p>
        </w:tc>
        <w:tc>
          <w:tcPr>
            <w:tcW w:w="100" w:type="dxa"/>
            <w:vAlign w:val="bottom"/>
            <w:vMerge w:val="restart"/>
          </w:tcPr>
          <w:p>
            <w:pPr>
              <w:spacing w:after="0"/>
              <w:rPr>
                <w:sz w:val="13"/>
                <w:szCs w:val="13"/>
                <w:color w:val="auto"/>
              </w:rPr>
            </w:pPr>
          </w:p>
        </w:tc>
        <w:tc>
          <w:tcPr>
            <w:tcW w:w="110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96,940</w:t>
            </w:r>
          </w:p>
        </w:tc>
        <w:tc>
          <w:tcPr>
            <w:tcW w:w="46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107,002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292,026</w:t>
            </w:r>
          </w:p>
        </w:tc>
        <w:tc>
          <w:tcPr>
            <w:tcW w:w="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299,567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9,107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11,708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28,687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30,855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Net sales declined $10.1 million, or 9.4 percent, for the quarter-ended December 2, 2017, over the same period in the prior year, due to delays in the timing of certain larger projects in the United States, partially as a result of hurricane-related project delays in Florida. Sales for the nine-month period ended December 2, 2017 decreased $7.5 million, or 2.5 percent, over the prior-year period due to delays in timing of larger projects, partly offset by share gains in mid-size projects. Foreign currency impact on sales was nominal in the current-year periods compared to the respective prior-year periods.</w:t>
      </w:r>
    </w:p>
    <w:p>
      <w:pPr>
        <w:spacing w:after="0" w:line="4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Operating margin declined 150 basis points and 50 basis points for the three- and nine-month periods, respectively, of the current year, compared to the same periods in the prior year. The declines in both periods were driven by reduced operating leverage on lower volume, and pricing and mix declines. These negative factors were partially offset by improved manufacturing productivity.</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Given the short lead times in this segment, we do not consider backlog to be a significant metric.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r>
      <w:tr>
        <w:trPr>
          <w:trHeight w:val="152"/>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8"/>
              </w:rPr>
              <w:t>December 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November 26,</w:t>
            </w:r>
          </w:p>
        </w:tc>
        <w:tc>
          <w:tcPr>
            <w:tcW w:w="10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8"/>
              </w:rPr>
              <w:t>December 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November 26,</w:t>
            </w: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49,077</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64,380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146,056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204,934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2,547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4,918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7"/>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7"/>
        </w:trPr>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
        </w:trPr>
        <w:tc>
          <w:tcPr>
            <w:tcW w:w="3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Architectural Services net sales decreased $15.3 million, or 23.8 percent, and $58.9 million, or 28.7 percent, for the three- and nine-month periods, respectively, ended December 2, 2017, over the same periods in the prior year, primarily due to year-on-year timing of project activity.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Operating margin declined 240 basis points and 420 basis points for the three- and nine-month periods, respectively, of the current year, over the same periods in the prior year, due to lower volume leverage on fixed project management, engineering and manufacturing costs.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December 2, 2017, backlog in this segment grew to approximately $346 million, compared to approximately $255 million at fiscal year-end.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December 2, 2017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November 26, 2016</w:t>
            </w:r>
          </w:p>
        </w:tc>
        <w:tc>
          <w:tcPr>
            <w:tcW w:w="100" w:type="dxa"/>
            <w:vAlign w:val="bottom"/>
            <w:vMerge w:val="restart"/>
          </w:tcPr>
          <w:p>
            <w:pPr>
              <w:spacing w:after="0"/>
              <w:rPr>
                <w:sz w:val="13"/>
                <w:szCs w:val="13"/>
                <w:color w:val="auto"/>
              </w:rPr>
            </w:pPr>
          </w:p>
        </w:tc>
        <w:tc>
          <w:tcPr>
            <w:tcW w:w="106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2, 2017</w:t>
            </w: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November 26, 2016</w:t>
            </w:r>
          </w:p>
        </w:tc>
        <w:tc>
          <w:tcPr>
            <w:tcW w:w="120" w:type="dxa"/>
            <w:vAlign w:val="bottom"/>
            <w:vMerge w:val="restart"/>
          </w:tcPr>
          <w:p>
            <w:pPr>
              <w:spacing w:after="0"/>
              <w:rPr>
                <w:sz w:val="13"/>
                <w:szCs w:val="13"/>
                <w:color w:val="auto"/>
              </w:rPr>
            </w:pPr>
          </w:p>
        </w:tc>
        <w:tc>
          <w:tcPr>
            <w:tcW w:w="110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26,003</w:t>
            </w:r>
          </w:p>
        </w:tc>
        <w:tc>
          <w:tcPr>
            <w:tcW w:w="50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22,084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64,897</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63,382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6,724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5,910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15,022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15,613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308" w:lineRule="auto"/>
        <w:rPr>
          <w:sz w:val="20"/>
          <w:szCs w:val="20"/>
          <w:color w:val="auto"/>
        </w:rPr>
      </w:pPr>
      <w:r>
        <w:rPr>
          <w:rFonts w:ascii="Arial" w:cs="Arial" w:eastAsia="Arial" w:hAnsi="Arial"/>
          <w:sz w:val="17"/>
          <w:szCs w:val="17"/>
          <w:color w:val="auto"/>
        </w:rPr>
        <w:t>LSO net sales increased $3.9 million, or 17.7 percent, and $1.5 million, or 2.4 percent, for the three- and nine-month periods ended December 2, 2017, respectively, over the comparable prior-year periods, as a result of strong customer orders, partly due to timing, and success in new display markets.</w:t>
      </w:r>
    </w:p>
    <w:p>
      <w:pPr>
        <w:spacing w:after="0" w:line="38"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Operating margin declined 90 basis points and 150 basis points for the three- and nine-month periods of the current year, respectively, over the same periods in the prior year, due to accrual of additional incentive compensation on stronger current-year performance. In the current quarter, this was partially offset by improved operating leverage on increased volume.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Given the short lead times in this segment, we do not consider backlog to be a significant metric.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Selected cash flow data</w:t>
            </w: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 2017</w:t>
            </w:r>
          </w:p>
        </w:tc>
        <w:tc>
          <w:tcPr>
            <w:tcW w:w="160" w:type="dxa"/>
            <w:vAlign w:val="bottom"/>
          </w:tcPr>
          <w:p>
            <w:pPr>
              <w:spacing w:after="0"/>
              <w:rPr>
                <w:sz w:val="22"/>
                <w:szCs w:val="22"/>
                <w:color w:val="auto"/>
              </w:rPr>
            </w:pPr>
          </w:p>
        </w:tc>
        <w:tc>
          <w:tcPr>
            <w:tcW w:w="144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November 26,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66,239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72,815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(44,548)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Change in restricted cash</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(14,884)</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314,700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(10,817)</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w:t>
            </w:r>
          </w:p>
        </w:tc>
      </w:tr>
      <w:tr>
        <w:trPr>
          <w:trHeight w:val="27"/>
        </w:trPr>
        <w:tc>
          <w:tcPr>
            <w:tcW w:w="8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was $66.2 million for the first nine months of fiscal 2018, decreasing $6.6 million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prior-year period, as a result of increased working capital investment due to reduced accrued expenses.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$215.6 million the first nine months of fiscal 2018, primarily due to the cash paid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EFCO, while in the first nine months of the prior year, net cash used by investing activities of $59.2 million was driven by capital expenditures. Additionally, in fiscal 2018, we released the remaining $7.8 million of cash that was restricted for investment in our oversized glass fabrication project within our Architectural Glass segment. We estimate fiscal 2018 capital expenditures to be $55 to $60 million, as we continue to invest in productivity and capabilities.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continually review our portfolio of businesses and their assets in comparison to our internal strategic and performance objectives. As part of this review, we may acquire other businesses, pursue geographic expansion, take actions to manage capacity and/or further invest in, fully divest and/or sell parts of our current businesses. As a result, on January 5, 2018 we announced a plan to close the St. George, UT architectural glass manufacturing facility in March 2018, enabled by our investments in productivity and increased capabilities, which have led to an increase in capacity.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At December 2, 2017, we had outstanding borrowings under our credit facility of $209.0 million. As defined within our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committed revolving credit facility, we are required to comply with two financial covenants. These financial covenants require us to stay below a maximum leverage ratio and to maintain a minimum interest coverage ratio. At December 2, 2017, we were in compliance with both financial covenants.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paid dividends totaling $12.0 million ($0.42 per share) in the first nine months of fiscal 2018. As of December 2, 2017, we repurchased 200,000 shares under our authorized share repurchase program, for a total cost of $10.8 million; all such repurchases were made in the second quarter. In fiscal 2017, we repurchased 250,001 shares under this program, for a total cost of $10.8 million; all such repurchases were made in the third quarter. Subsequent to the end of the quarter, we purchased 246,299 shares under the program, at a total cost of $11.1 million. Including these shares, we have purchased a total of 3,753,932 shares, at a cost of $94.2 million, since the fiscal 2004 inception of this program. In January 2018, our repurchase authority under this program increased by 1,000,000 shares. As a result of both of these actions, we have remaining authority to repurchase 1,496,068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Financing Activities. </w:t>
      </w:r>
      <w:r>
        <w:rPr>
          <w:rFonts w:ascii="Arial" w:cs="Arial" w:eastAsia="Arial" w:hAnsi="Arial"/>
          <w:sz w:val="18"/>
          <w:szCs w:val="18"/>
          <w:color w:val="auto"/>
        </w:rPr>
        <w:t>The following summarizes our significant contractual obligations that impact our liquidity as of December 2,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Payments Due by Fiscal Period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Remainder of</w:t>
            </w:r>
          </w:p>
        </w:tc>
        <w:tc>
          <w:tcPr>
            <w:tcW w:w="18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2019</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2020</w:t>
            </w:r>
          </w:p>
        </w:tc>
        <w:tc>
          <w:tcPr>
            <w:tcW w:w="16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Fiscal 2021</w:t>
            </w:r>
          </w:p>
        </w:tc>
        <w:tc>
          <w:tcPr>
            <w:tcW w:w="18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2022</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Fiscal 2018</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231,926</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Operating leases (undiscounted)</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13,546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65,989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48,572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120,894</w:t>
            </w:r>
          </w:p>
        </w:tc>
        <w:tc>
          <w:tcPr>
            <w:tcW w:w="0" w:type="dxa"/>
            <w:vAlign w:val="bottom"/>
          </w:tcPr>
          <w:p>
            <w:pPr>
              <w:spacing w:after="0"/>
              <w:rPr>
                <w:sz w:val="1"/>
                <w:szCs w:val="1"/>
                <w:color w:val="auto"/>
              </w:rPr>
            </w:pPr>
          </w:p>
        </w:tc>
      </w:tr>
      <w:tr>
        <w:trPr>
          <w:trHeight w:val="237"/>
        </w:trPr>
        <w:tc>
          <w:tcPr>
            <w:tcW w:w="2740" w:type="dxa"/>
            <w:vAlign w:val="bottom"/>
          </w:tcPr>
          <w:p>
            <w:pPr>
              <w:ind w:left="280"/>
              <w:spacing w:after="0"/>
              <w:rPr>
                <w:sz w:val="20"/>
                <w:szCs w:val="20"/>
                <w:color w:val="auto"/>
              </w:rPr>
            </w:pPr>
            <w:r>
              <w:rPr>
                <w:rFonts w:ascii="Arial" w:cs="Arial" w:eastAsia="Arial" w:hAnsi="Arial"/>
                <w:sz w:val="18"/>
                <w:szCs w:val="18"/>
                <w:color w:val="auto"/>
              </w:rPr>
              <w:t>Total cash obligations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52,784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82,744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13,848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15,215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219,964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34,254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418,809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long-term debt obligations due in fiscal 2022 relate primarily to borrowings under our committed revolving credit facility. From time to time, we acquire the use of certain assets through operating leases, such as warehouses, vehicles, forklifts, office equipment, hardware, software and some manufacturing equipment. Many of these operating leases have termination penalties. However, because the assets are used in the conduct of our business operations, it is unlikely that any significant portion of these operating leases would be terminated prior to the normal expiration of their lease terms. Therefore, we consider the risk related to termination penalties to be minimal.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in the table above relate to raw material commitments and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$1.0 million to our defined-benefit pension plans in fiscal 2018, which will equal or exceed our minimum funding requirements.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2, 2017, we had reserves of $5.4 million and $1.4 million for unrecognized tax benefits and environmental liabilities, respectively. We currently expect approximately $0.3 million of the unrecognized tax benefits to lapse during the next 12 months. We are unable to reasonably estimate in which future periods the remaining unrecognized tax benefits and environmental liabilities will ultimately be settled. We are currently in the process of evaluating information to determine the impact the recently enacted Tax Cuts and Jobs Act will have on our accounting for income taxes.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2, 2017, we had a total of $26.3 million of ongoing letters of credit related to industrial revenue bonds and construction contracts that expire in fiscal 2018 and reduce availability of funds under our committed credit facility.</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to the above standby letters of credit, we are required, in the ordinary course of business, to provide surety or performance bonds that commit payments to our customers for any non-performance by us. At December 2, 2017, $86.4 million of our backlog was bonded by performance bonds with a face value of $310.0 million. Performance bonds do not have stated expiration dates, as we are generally released from the bonds upon completion of the contract. We have never been required to make any payments related to these performance bonds with respect to any of our current portfolio of businesses.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our ability to generate strong cash from operations and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analyze non-GAAP measures for adjusted net earnings, adjusted earnings per diluted common share and adjusted operating income. These measures are used by management to evaluate the Company's financial performance on a more consistent basis and improve comparability of results from period to period, because they exclude certain amounts that management does not consider to be part of the Company's core operating results. Examples of items excluded to arrive at these adjusted measures may include the impact of acquisition-related costs, amortization of short-lived acquired intangibles associated with backlog and non-recurring restructuring costs. These non-GAAP measures should be viewed in addition to, and not as an alternative to, the reported financial results of the company prepared in accordance with GAAP. The non-GAAP measures presented below may differ from similar measures used by other companies.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earnings to adjusted net earnings and earnings per diluted common share to adjusted earnings per diluted common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2, 2017</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November 26,</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 Change</w:t>
            </w:r>
          </w:p>
        </w:tc>
        <w:tc>
          <w:tcPr>
            <w:tcW w:w="126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6"/>
              </w:rPr>
              <w:t>December 2, 2017</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November 26,</w:t>
            </w:r>
          </w:p>
        </w:tc>
        <w:tc>
          <w:tcPr>
            <w:tcW w:w="100" w:type="dxa"/>
            <w:vAlign w:val="bottom"/>
          </w:tcPr>
          <w:p>
            <w:pPr>
              <w:spacing w:after="0"/>
              <w:rPr>
                <w:sz w:val="14"/>
                <w:szCs w:val="14"/>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22,552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62,671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N/M</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Income tax impact on above adjustments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4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earnings</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22,552</w:t>
            </w:r>
          </w:p>
        </w:tc>
        <w:tc>
          <w:tcPr>
            <w:tcW w:w="8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65,487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62,671</w:t>
            </w: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diluted common share</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N/M</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Income tax impact on above adjustments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4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earnings per diluted common share</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0.78</w:t>
            </w:r>
          </w:p>
        </w:tc>
        <w:tc>
          <w:tcPr>
            <w:tcW w:w="8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w:t>
            </w: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80" w:hanging="145"/>
        <w:spacing w:after="0"/>
        <w:tabs>
          <w:tab w:leader="none" w:pos="18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Income tax impact on adjustments was calculated using the quarterly effective income tax rate of 29.1% and the nine-month period effective income tax rate of 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-98425</wp:posOffset>
            </wp:positionV>
            <wp:extent cx="3790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(loss) to adjusted operating income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Framing Systems Segment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Operating income</w:t>
            </w:r>
          </w:p>
        </w:tc>
        <w:tc>
          <w:tcPr>
            <w:tcW w:w="100" w:type="dxa"/>
            <w:vAlign w:val="bottom"/>
            <w:vMerge w:val="restart"/>
          </w:tcPr>
          <w:p>
            <w:pPr>
              <w:spacing w:after="0"/>
              <w:rPr>
                <w:sz w:val="13"/>
                <w:szCs w:val="13"/>
                <w:color w:val="auto"/>
              </w:rPr>
            </w:pPr>
          </w:p>
        </w:tc>
        <w:tc>
          <w:tcPr>
            <w:tcW w:w="13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Operating margin</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Operating income</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Operating income</w:t>
            </w:r>
          </w:p>
        </w:tc>
        <w:tc>
          <w:tcPr>
            <w:tcW w:w="120" w:type="dxa"/>
            <w:vAlign w:val="bottom"/>
            <w:vMerge w:val="restart"/>
          </w:tcPr>
          <w:p>
            <w:pPr>
              <w:spacing w:after="0"/>
              <w:rPr>
                <w:sz w:val="13"/>
                <w:szCs w:val="13"/>
                <w:color w:val="auto"/>
              </w:rPr>
            </w:pPr>
          </w:p>
        </w:tc>
        <w:tc>
          <w:tcPr>
            <w:tcW w:w="13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Operating margin</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December 2, 2017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18,452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34,535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21,376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37,882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Three Months Ended November 26, 2016</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11,838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33,259</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December 2, 2017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46,958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(8,354)</w:t>
            </w:r>
          </w:p>
        </w:tc>
        <w:tc>
          <w:tcPr>
            <w:tcW w:w="120" w:type="dxa"/>
            <w:vAlign w:val="bottom"/>
          </w:tcPr>
          <w:p>
            <w:pPr>
              <w:spacing w:after="0"/>
              <w:rPr>
                <w:sz w:val="21"/>
                <w:szCs w:val="21"/>
                <w:color w:val="auto"/>
              </w:rPr>
            </w:pP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86,415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54,566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98,863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Nine Months Ended November 26, 2016</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35,070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92,557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right="580" w:hanging="5"/>
        <w:spacing w:after="0" w:line="253" w:lineRule="auto"/>
        <w:tabs>
          <w:tab w:leader="none" w:pos="244"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related to amortization of short-lived acquired intangibles and acquisition-related costs are not applicable to the three- and nine-month periods ended November 26, 2016, and therefore no adjustments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-211455</wp:posOffset>
            </wp:positionV>
            <wp:extent cx="4416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statements are based on our current expectations for full-year fiscal 2018 results, not including any estimated impact from the 2017 Tax Cuts and Jobs Act. These statements are forward-looking, and actual results may differ materially. We are currently expecting:</w:t>
      </w:r>
    </w:p>
    <w:p>
      <w:pPr>
        <w:spacing w:after="0" w:line="76" w:lineRule="exact"/>
        <w:rPr>
          <w:sz w:val="20"/>
          <w:szCs w:val="20"/>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growth of approximately 20 percent over fiscal 2017.</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margin of 8.6 percent to 8.9 percent.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per diluted share of $2.58 to $2.68.</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operating margin of 10.1 to 10.4 percent and adjusted earnings per diluted share of $3.04 to $3.14</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expenditures of $55 to $60 million.</w:t>
      </w:r>
    </w:p>
    <w:p>
      <w:pPr>
        <w:spacing w:after="0" w:line="112" w:lineRule="exact"/>
        <w:rPr>
          <w:rFonts w:ascii="Arial" w:cs="Arial" w:eastAsia="Arial" w:hAnsi="Arial"/>
          <w:sz w:val="18"/>
          <w:szCs w:val="18"/>
          <w:color w:val="auto"/>
        </w:rPr>
      </w:pPr>
    </w:p>
    <w:p>
      <w:pPr>
        <w:jc w:val="both"/>
        <w:ind w:left="640"/>
        <w:spacing w:after="0" w:line="324" w:lineRule="auto"/>
        <w:rPr>
          <w:rFonts w:ascii="Arial" w:cs="Arial" w:eastAsia="Arial" w:hAnsi="Arial"/>
          <w:sz w:val="18"/>
          <w:szCs w:val="18"/>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 xml:space="preserve"> Adjusted operating margin and adjusted earnings per diluted share exclude the impact of amortization of short-lived acquired intangible assets associated with the acquired backlog of Sotawall and EFCO of $7 million (after tax, $0.24 per diluted share) and acquisition-related costs for EFCO of approximately $3.1 million (after tax, $0.11 per diluted share). These two adjustments have a combined approximate 100 basis point negative impact on operating margin. Adjusted operating margin and adjusted earnings per diluted share also exclude the impact of planned fourth-quarter restructuring charges of approximately $4.5 million (after tax, $0.11 per diluted share). These non-GAAP measures are used by management to evaluate the Company's historical and prospective financial performance, measure operational profitability on a more consistent basis, and provide enhanced transparency to the investment community. These non-GAAP measures should be viewed in addition to, and not as an alternative to, the financial results of the company prepared in accordance with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March 4,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 material changes have occurred in the disclosure of our critical accounting policies set forth in our Annual Report on Form 10-K for the fiscal year ended March 4, 2017.</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material changes have occurred to the disclosures of quantitative and qualitative market risk set forth in our Annual Report on Form 10-K for the fiscal year ended March 4, 2017.</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84"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w:t>
      </w:r>
    </w:p>
    <w:p>
      <w:pPr>
        <w:spacing w:after="0" w:line="4" w:lineRule="exact"/>
        <w:rPr>
          <w:rFonts w:ascii="Arial" w:cs="Arial" w:eastAsia="Arial" w:hAnsi="Arial"/>
          <w:sz w:val="16"/>
          <w:szCs w:val="16"/>
          <w:color w:val="auto"/>
        </w:rPr>
      </w:pPr>
    </w:p>
    <w:p>
      <w:pPr>
        <w:jc w:val="both"/>
        <w:ind w:left="1300"/>
        <w:spacing w:after="0" w:line="255" w:lineRule="auto"/>
        <w:rPr>
          <w:rFonts w:ascii="Arial" w:cs="Arial" w:eastAsia="Arial" w:hAnsi="Arial"/>
          <w:sz w:val="16"/>
          <w:szCs w:val="16"/>
          <w:color w:val="auto"/>
        </w:rPr>
      </w:pPr>
      <w:r>
        <w:rPr>
          <w:rFonts w:ascii="Arial" w:cs="Arial" w:eastAsia="Arial" w:hAnsi="Arial"/>
          <w:sz w:val="18"/>
          <w:szCs w:val="18"/>
          <w:color w:val="auto"/>
        </w:rPr>
        <w:t>(i)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December 2, 2017, that has materially affected, or is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been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significant monetary damages or product replacement. The Company is also subject to litigation arising out of employment practices, workers compensation, general liability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or additions to our risk factors discussed in our Annual Report on Form 10-K for the fiscal year ended March 4, 2017.</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third quarter of fiscal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Number</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Shares Purchased as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 Price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Announced Plans or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 Programs (b)</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 2017 to September 30, 2017</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742,367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October 1, 2017 to October 28, 2017</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1"/>
              <w:spacing w:after="0"/>
              <w:rPr>
                <w:sz w:val="20"/>
                <w:szCs w:val="20"/>
                <w:color w:val="auto"/>
              </w:rPr>
            </w:pPr>
            <w:r>
              <w:rPr>
                <w:rFonts w:ascii="Arial" w:cs="Arial" w:eastAsia="Arial" w:hAnsi="Arial"/>
                <w:sz w:val="18"/>
                <w:szCs w:val="18"/>
                <w:color w:val="auto"/>
              </w:rPr>
              <w:t>742,367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29, 2017 to December 2, 2017</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742,367</w:t>
            </w:r>
          </w:p>
        </w:tc>
        <w:tc>
          <w:tcPr>
            <w:tcW w:w="0" w:type="dxa"/>
            <w:vAlign w:val="bottom"/>
          </w:tcPr>
          <w:p>
            <w:pPr>
              <w:spacing w:after="0"/>
              <w:rPr>
                <w:sz w:val="1"/>
                <w:szCs w:val="1"/>
                <w:color w:val="auto"/>
              </w:rPr>
            </w:pPr>
          </w:p>
        </w:tc>
      </w:tr>
      <w:tr>
        <w:trPr>
          <w:trHeight w:val="237"/>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742,367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right="160" w:hanging="652"/>
        <w:spacing w:after="0" w:line="250"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repurchased by us pursuant to our publicly announced repurchase program, plus the shares surrendered to us by plan participants to satisfy stock-for-stock option exercises or withholding tax obligations related to share-based compensation.</w:t>
      </w:r>
    </w:p>
    <w:p>
      <w:pPr>
        <w:ind w:left="660" w:right="240" w:hanging="652"/>
        <w:spacing w:after="0" w:line="248"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fiscal 2004, the Board of Directors authorized the repurchase of 1,500,000 shares of Company stock, which was announced on April 10, 2003. Subsequently, the Board of Directors increased the authorization by 750,000 shares, which was announced on January 24, 2008; by 1,000,000 shares, which was announced on October 8, 2008; and by 1,000,000 shares, which was announced on January 13, 2016. The repurchase program does not have an expiration date.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5"/>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360" w:type="dxa"/>
            <w:vAlign w:val="bottom"/>
            <w:gridSpan w:val="2"/>
          </w:tcPr>
          <w:p>
            <w:pPr>
              <w:jc w:val="right"/>
              <w:spacing w:after="0"/>
              <w:rPr>
                <w:rFonts w:ascii="Arial" w:cs="Arial" w:eastAsia="Arial" w:hAnsi="Arial"/>
                <w:sz w:val="18"/>
                <w:szCs w:val="18"/>
                <w:color w:val="0000FF"/>
                <w:w w:val="96"/>
              </w:rPr>
            </w:pPr>
            <w:hyperlink r:id="rId1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4"/>
          </w:tcPr>
          <w:p>
            <w:pPr>
              <w:spacing w:after="0"/>
              <w:rPr>
                <w:rFonts w:ascii="Arial" w:cs="Arial" w:eastAsia="Arial" w:hAnsi="Arial"/>
                <w:sz w:val="18"/>
                <w:szCs w:val="18"/>
                <w:color w:val="0000FF"/>
              </w:rPr>
            </w:pPr>
            <w:hyperlink r:id="rId14">
              <w:r>
                <w:rPr>
                  <w:rFonts w:ascii="Arial" w:cs="Arial" w:eastAsia="Arial" w:hAnsi="Arial"/>
                  <w:sz w:val="18"/>
                  <w:szCs w:val="18"/>
                  <w:color w:val="0000FF"/>
                </w:rPr>
                <w:t>Third Amendment to the Apogee Enterprises, Inc. 2011 Deferred Compensation Plan, dated October 5, 2017.</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27">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29">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4"/>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Certification of Chief Executive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Act of 2002.</w:t>
              </w:r>
            </w:hyperlink>
          </w:p>
        </w:tc>
      </w:tr>
      <w:tr>
        <w:trPr>
          <w:trHeight w:val="20"/>
        </w:trPr>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60" w:type="dxa"/>
            <w:vAlign w:val="bottom"/>
            <w:gridSpan w:val="3"/>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4"/>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Certification of Chief Financial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30">
              <w:r>
                <w:rPr>
                  <w:rFonts w:ascii="Arial" w:cs="Arial" w:eastAsia="Arial" w:hAnsi="Arial"/>
                  <w:sz w:val="18"/>
                  <w:szCs w:val="18"/>
                  <w:color w:val="0000FF"/>
                </w:rPr>
                <w:t>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520" w:right="40" w:hanging="1485"/>
        <w:spacing w:after="0" w:line="272" w:lineRule="auto"/>
        <w:tabs>
          <w:tab w:leader="none" w:pos="1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materials from Apogee Enterprises, Inc.’s Quarterly Report on Form 10-Q for the quarter ended December 2, 2017 are furnished herewith, formatted in XBRL (Extensible Business Reporting Language): (i) the Consolidated Balance Sheets as of December 2, 2017 and March 4, 2017, (ii) the Consolidated Results of Operations for the three and nine months ended December 2, 2017 and November 26, 2016, (iii) the Consolidated Statements of Comprehensive Earnings for the three and nine months ended December 2, 2017 and November 26, 2016, (iv) the Consolidated Statements of Cash Flows for the nine months ended December 2, 2017 and November 26, 2016, (v) the Consolidated Statements of Shareholders' Equity for the nine months ended December 2, 2017 and November 26, 2016, and (vi) Notes to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January 11, 2018</w:t>
      </w:r>
      <w:r>
        <w:rPr>
          <w:sz w:val="20"/>
          <w:szCs w:val="20"/>
          <w:color w:val="auto"/>
        </w:rPr>
        <w:tab/>
      </w:r>
      <w:r>
        <w:rPr>
          <w:rFonts w:ascii="Arial" w:cs="Arial" w:eastAsia="Arial" w:hAnsi="Arial"/>
          <w:sz w:val="16"/>
          <w:szCs w:val="16"/>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January 11, 2018</w:t>
      </w:r>
      <w:r>
        <w:rPr>
          <w:sz w:val="20"/>
          <w:szCs w:val="20"/>
          <w:color w:val="auto"/>
        </w:rPr>
        <w:tab/>
      </w:r>
      <w:r>
        <w:rPr>
          <w:rFonts w:ascii="Arial" w:cs="Arial" w:eastAsia="Arial" w:hAnsi="Arial"/>
          <w:sz w:val="16"/>
          <w:szCs w:val="16"/>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125" w:right="4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Table of Contents</w:t>
              </w:r>
            </w:hyperlink>
          </w:p>
        </w:tc>
        <w:tc>
          <w:tcPr>
            <w:tcW w:w="998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tcPr>
          <w:p>
            <w:pPr>
              <w:ind w:left="1700"/>
              <w:spacing w:after="0"/>
              <w:rPr>
                <w:sz w:val="20"/>
                <w:szCs w:val="20"/>
                <w:color w:val="auto"/>
              </w:rPr>
            </w:pPr>
            <w:r>
              <w:rPr>
                <w:rFonts w:ascii="Arial" w:cs="Arial" w:eastAsia="Arial" w:hAnsi="Arial"/>
                <w:sz w:val="18"/>
                <w:szCs w:val="18"/>
                <w:b w:val="1"/>
                <w:bCs w:val="1"/>
                <w:color w:val="auto"/>
              </w:rPr>
              <w:t>Exhibit Index to Form 10-Q for the Period Ended December 2, 2017</w:t>
            </w:r>
          </w:p>
        </w:tc>
      </w:tr>
      <w:tr>
        <w:trPr>
          <w:trHeight w:val="378"/>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Arial" w:cs="Arial" w:eastAsia="Arial" w:hAnsi="Arial"/>
                <w:sz w:val="18"/>
                <w:szCs w:val="18"/>
                <w:color w:val="auto"/>
              </w:rPr>
              <w:t>Third Amendment to the Apogee Enterprises, Inc. 2011 Deferred Compensation Plan, dated October 5, 2017.</w:t>
            </w:r>
          </w:p>
        </w:tc>
      </w:tr>
      <w:tr>
        <w:trPr>
          <w:trHeight w:val="392"/>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392"/>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377"/>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120"/>
              <w:spacing w:after="0"/>
              <w:rPr>
                <w:sz w:val="20"/>
                <w:szCs w:val="20"/>
                <w:color w:val="auto"/>
              </w:rPr>
            </w:pPr>
            <w:r>
              <w:rPr>
                <w:rFonts w:ascii="Arial" w:cs="Arial" w:eastAsia="Arial" w:hAnsi="Arial"/>
                <w:sz w:val="18"/>
                <w:szCs w:val="18"/>
                <w:color w:val="auto"/>
              </w:rPr>
              <w:t>Act of 2002.</w:t>
            </w:r>
          </w:p>
        </w:tc>
      </w:tr>
      <w:tr>
        <w:trPr>
          <w:trHeight w:val="377"/>
        </w:trPr>
        <w:tc>
          <w:tcPr>
            <w:tcW w:w="1280" w:type="dxa"/>
            <w:vAlign w:val="bottom"/>
          </w:tcPr>
          <w:p>
            <w:pPr>
              <w:jc w:val="right"/>
              <w:ind w:right="830"/>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9980" w:type="dxa"/>
            <w:vAlign w:val="bottom"/>
          </w:tcPr>
          <w:p>
            <w:pPr>
              <w:ind w:left="12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Pr>
          <w:p>
            <w:pPr>
              <w:ind w:left="120"/>
              <w:spacing w:after="0"/>
              <w:rPr>
                <w:sz w:val="20"/>
                <w:szCs w:val="20"/>
                <w:color w:val="auto"/>
              </w:rPr>
            </w:pPr>
            <w:r>
              <w:rPr>
                <w:rFonts w:ascii="Arial" w:cs="Arial" w:eastAsia="Arial" w:hAnsi="Arial"/>
                <w:sz w:val="18"/>
                <w:szCs w:val="18"/>
                <w:color w:val="auto"/>
              </w:rPr>
              <w:t>Act of 2002.</w:t>
            </w:r>
          </w:p>
        </w:tc>
      </w:tr>
    </w:tbl>
    <w:p>
      <w:pPr>
        <w:spacing w:after="0" w:line="161" w:lineRule="exact"/>
        <w:rPr>
          <w:sz w:val="20"/>
          <w:szCs w:val="20"/>
          <w:color w:val="auto"/>
        </w:rPr>
      </w:pPr>
    </w:p>
    <w:p>
      <w:pPr>
        <w:jc w:val="both"/>
        <w:ind w:left="1520" w:hanging="1485"/>
        <w:spacing w:after="0" w:line="272" w:lineRule="auto"/>
        <w:tabs>
          <w:tab w:leader="none" w:pos="1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materials from Apogee Enterprises, Inc.’s Quarterly Report on Form 10-Q for the quarter ended December 2, 2017 are furnished herewith, formatted in XBRL (Extensible Business Reporting Language): (i) the Consolidated Balance Sheets as of December 2, 2017 and March 4, 2017, (ii) the Consolidated Results of Operations for the three and nine months ended December 2, 2017 and November 26, 2016, (iii) the Consolidated Statements of Comprehensive Earnings for the three and nine months ended December 2, 2017 and November 26, 2016, (iv) the Consolidated Statements of Cash Flows for the nine months ended December 2, 2017 and November 26, 2016, (v) the Consolidated Statements of Shareholders' Equity for the nine months ended December 2, 2017 and November 26, 2016, and (vi) Notes to Consolidated Financial Statements.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08" w:right="2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2018</w:t>
      </w:r>
    </w:p>
    <w:p>
      <w:pPr>
        <w:spacing w:after="0" w:line="36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2018</w:t>
      </w:r>
    </w:p>
    <w:p>
      <w:pPr>
        <w:spacing w:after="0" w:line="36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December 2, 2017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11, 2018</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December 2, 2017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4"/>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4" Type="http://schemas.openxmlformats.org/officeDocument/2006/relationships/hyperlink" Target="http://www.sec.gov/Archives/edgar/data/6845/000119312517306711/d4692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2019-12-29T02:33:17Z</dcterms:created>
  <dcterms:modified xsi:type="dcterms:W3CDTF">2019-12-29T02:33:17Z</dcterms:modified>
</cp:coreProperties>
</file>