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4200"/>
        <w:spacing w:after="0"/>
        <w:rPr>
          <w:sz w:val="20"/>
          <w:szCs w:val="20"/>
          <w:color w:val="auto"/>
        </w:rPr>
      </w:pPr>
      <w:r>
        <w:rPr>
          <w:rFonts w:ascii="Arial" w:cs="Arial" w:eastAsia="Arial" w:hAnsi="Arial"/>
          <w:sz w:val="18"/>
          <w:szCs w:val="18"/>
          <w:color w:val="auto"/>
        </w:rPr>
        <w:t>_________________________________</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_________________________________</w:t>
      </w:r>
    </w:p>
    <w:p>
      <w:pPr>
        <w:spacing w:after="0" w:line="142" w:lineRule="exact"/>
        <w:rPr>
          <w:sz w:val="24"/>
          <w:szCs w:val="24"/>
          <w:color w:val="auto"/>
        </w:rPr>
      </w:pPr>
    </w:p>
    <w:p>
      <w:pPr>
        <w:ind w:left="720" w:right="32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December 1, 2018</w:t>
      </w:r>
    </w:p>
    <w:p>
      <w:pPr>
        <w:spacing w:after="0" w:line="270" w:lineRule="exact"/>
        <w:rPr>
          <w:sz w:val="24"/>
          <w:szCs w:val="24"/>
          <w:color w:val="auto"/>
        </w:rPr>
      </w:pPr>
    </w:p>
    <w:p>
      <w:pPr>
        <w:ind w:left="720" w:right="300" w:hanging="685"/>
        <w:spacing w:after="0" w:line="256" w:lineRule="auto"/>
        <w:tabs>
          <w:tab w:leader="none" w:pos="7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tbl>
      <w:tblPr>
        <w:tblLayout w:type="fixed"/>
        <w:tblInd w:w="1480" w:type="dxa"/>
        <w:tblCellMar>
          <w:top w:w="0" w:type="dxa"/>
          <w:left w:w="0" w:type="dxa"/>
          <w:bottom w:w="0" w:type="dxa"/>
          <w:right w:w="0" w:type="dxa"/>
        </w:tblCellMar>
      </w:tblPr>
      <w:tr>
        <w:trPr>
          <w:trHeight w:val="234"/>
        </w:trPr>
        <w:tc>
          <w:tcPr>
            <w:tcW w:w="6440" w:type="dxa"/>
            <w:vAlign w:val="bottom"/>
          </w:tcPr>
          <w:p>
            <w:pPr>
              <w:jc w:val="center"/>
              <w:ind w:left="1923"/>
              <w:spacing w:after="0"/>
              <w:rPr>
                <w:sz w:val="20"/>
                <w:szCs w:val="20"/>
                <w:color w:val="auto"/>
              </w:rPr>
            </w:pPr>
            <w:r>
              <w:rPr>
                <w:rFonts w:ascii="Arial" w:cs="Arial" w:eastAsia="Arial" w:hAnsi="Arial"/>
                <w:sz w:val="18"/>
                <w:szCs w:val="18"/>
                <w:b w:val="1"/>
                <w:bCs w:val="1"/>
                <w:color w:val="auto"/>
                <w:w w:val="90"/>
              </w:rPr>
              <w:t>Commission File Number: 0-6365</w:t>
            </w:r>
          </w:p>
        </w:tc>
        <w:tc>
          <w:tcPr>
            <w:tcW w:w="1300" w:type="dxa"/>
            <w:vAlign w:val="bottom"/>
          </w:tcPr>
          <w:p>
            <w:pPr>
              <w:spacing w:after="0"/>
              <w:rPr>
                <w:sz w:val="20"/>
                <w:szCs w:val="20"/>
                <w:color w:val="auto"/>
              </w:rPr>
            </w:pPr>
          </w:p>
        </w:tc>
      </w:tr>
      <w:tr>
        <w:trPr>
          <w:trHeight w:val="270"/>
        </w:trPr>
        <w:tc>
          <w:tcPr>
            <w:tcW w:w="6440" w:type="dxa"/>
            <w:vAlign w:val="bottom"/>
          </w:tcPr>
          <w:p>
            <w:pPr>
              <w:jc w:val="center"/>
              <w:ind w:left="1883"/>
              <w:spacing w:after="0"/>
              <w:rPr>
                <w:sz w:val="20"/>
                <w:szCs w:val="20"/>
                <w:color w:val="auto"/>
              </w:rPr>
            </w:pPr>
            <w:r>
              <w:rPr>
                <w:rFonts w:ascii="Arial" w:cs="Arial" w:eastAsia="Arial" w:hAnsi="Arial"/>
                <w:sz w:val="18"/>
                <w:szCs w:val="18"/>
                <w:color w:val="auto"/>
                <w:w w:val="90"/>
              </w:rPr>
              <w:t>_________________________________</w:t>
            </w:r>
          </w:p>
        </w:tc>
        <w:tc>
          <w:tcPr>
            <w:tcW w:w="1300" w:type="dxa"/>
            <w:vAlign w:val="bottom"/>
          </w:tcPr>
          <w:p>
            <w:pPr>
              <w:spacing w:after="0"/>
              <w:rPr>
                <w:sz w:val="23"/>
                <w:szCs w:val="23"/>
                <w:color w:val="auto"/>
              </w:rPr>
            </w:pPr>
          </w:p>
        </w:tc>
      </w:tr>
      <w:tr>
        <w:trPr>
          <w:trHeight w:val="576"/>
        </w:trPr>
        <w:tc>
          <w:tcPr>
            <w:tcW w:w="7740" w:type="dxa"/>
            <w:vAlign w:val="bottom"/>
            <w:gridSpan w:val="2"/>
          </w:tcPr>
          <w:p>
            <w:pPr>
              <w:jc w:val="center"/>
              <w:ind w:left="623"/>
              <w:spacing w:after="0"/>
              <w:rPr>
                <w:sz w:val="20"/>
                <w:szCs w:val="20"/>
                <w:color w:val="auto"/>
              </w:rPr>
            </w:pPr>
            <w:r>
              <w:rPr>
                <w:rFonts w:ascii="Arial" w:cs="Arial" w:eastAsia="Arial" w:hAnsi="Arial"/>
                <w:sz w:val="43"/>
                <w:szCs w:val="43"/>
                <w:b w:val="1"/>
                <w:bCs w:val="1"/>
                <w:color w:val="auto"/>
                <w:w w:val="99"/>
              </w:rPr>
              <w:t>APOGEE ENTERPRISES, INC.</w:t>
            </w:r>
          </w:p>
        </w:tc>
      </w:tr>
      <w:tr>
        <w:trPr>
          <w:trHeight w:val="220"/>
        </w:trPr>
        <w:tc>
          <w:tcPr>
            <w:tcW w:w="6440" w:type="dxa"/>
            <w:vAlign w:val="bottom"/>
          </w:tcPr>
          <w:p>
            <w:pPr>
              <w:jc w:val="center"/>
              <w:ind w:left="1923"/>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300" w:type="dxa"/>
            <w:vAlign w:val="bottom"/>
          </w:tcPr>
          <w:p>
            <w:pPr>
              <w:spacing w:after="0"/>
              <w:rPr>
                <w:sz w:val="19"/>
                <w:szCs w:val="19"/>
                <w:color w:val="auto"/>
              </w:rPr>
            </w:pPr>
          </w:p>
        </w:tc>
      </w:tr>
      <w:tr>
        <w:trPr>
          <w:trHeight w:val="230"/>
        </w:trPr>
        <w:tc>
          <w:tcPr>
            <w:tcW w:w="6440" w:type="dxa"/>
            <w:vAlign w:val="bottom"/>
          </w:tcPr>
          <w:p>
            <w:pPr>
              <w:jc w:val="center"/>
              <w:ind w:left="1963"/>
              <w:spacing w:after="0"/>
              <w:rPr>
                <w:sz w:val="20"/>
                <w:szCs w:val="20"/>
                <w:color w:val="auto"/>
              </w:rPr>
            </w:pPr>
            <w:r>
              <w:rPr>
                <w:rFonts w:ascii="Arial" w:cs="Arial" w:eastAsia="Arial" w:hAnsi="Arial"/>
                <w:sz w:val="18"/>
                <w:szCs w:val="18"/>
                <w:color w:val="auto"/>
                <w:w w:val="90"/>
              </w:rPr>
              <w:t>_________________________________</w:t>
            </w:r>
          </w:p>
        </w:tc>
        <w:tc>
          <w:tcPr>
            <w:tcW w:w="1300" w:type="dxa"/>
            <w:vAlign w:val="bottom"/>
          </w:tcPr>
          <w:p>
            <w:pPr>
              <w:spacing w:after="0"/>
              <w:rPr>
                <w:sz w:val="20"/>
                <w:szCs w:val="20"/>
                <w:color w:val="auto"/>
              </w:rPr>
            </w:pPr>
          </w:p>
        </w:tc>
      </w:tr>
      <w:tr>
        <w:trPr>
          <w:trHeight w:val="378"/>
        </w:trPr>
        <w:tc>
          <w:tcPr>
            <w:tcW w:w="6440" w:type="dxa"/>
            <w:vAlign w:val="bottom"/>
          </w:tcPr>
          <w:p>
            <w:pPr>
              <w:jc w:val="center"/>
              <w:ind w:right="3803"/>
              <w:spacing w:after="0"/>
              <w:rPr>
                <w:sz w:val="20"/>
                <w:szCs w:val="20"/>
                <w:color w:val="auto"/>
              </w:rPr>
            </w:pPr>
            <w:r>
              <w:rPr>
                <w:rFonts w:ascii="Arial" w:cs="Arial" w:eastAsia="Arial" w:hAnsi="Arial"/>
                <w:sz w:val="18"/>
                <w:szCs w:val="18"/>
                <w:b w:val="1"/>
                <w:bCs w:val="1"/>
                <w:color w:val="auto"/>
                <w:w w:val="92"/>
              </w:rPr>
              <w:t>Minnesota</w:t>
            </w:r>
          </w:p>
        </w:tc>
        <w:tc>
          <w:tcPr>
            <w:tcW w:w="1300" w:type="dxa"/>
            <w:vAlign w:val="bottom"/>
          </w:tcPr>
          <w:p>
            <w:pPr>
              <w:jc w:val="right"/>
              <w:ind w:right="21"/>
              <w:spacing w:after="0"/>
              <w:rPr>
                <w:sz w:val="20"/>
                <w:szCs w:val="20"/>
                <w:color w:val="auto"/>
              </w:rPr>
            </w:pPr>
            <w:r>
              <w:rPr>
                <w:rFonts w:ascii="Arial" w:cs="Arial" w:eastAsia="Arial" w:hAnsi="Arial"/>
                <w:sz w:val="18"/>
                <w:szCs w:val="18"/>
                <w:b w:val="1"/>
                <w:bCs w:val="1"/>
                <w:color w:val="auto"/>
              </w:rPr>
              <w:t>41-0919654</w:t>
            </w:r>
          </w:p>
        </w:tc>
      </w:tr>
      <w:tr>
        <w:trPr>
          <w:trHeight w:val="184"/>
        </w:trPr>
        <w:tc>
          <w:tcPr>
            <w:tcW w:w="6440" w:type="dxa"/>
            <w:vAlign w:val="bottom"/>
          </w:tcPr>
          <w:p>
            <w:pPr>
              <w:jc w:val="center"/>
              <w:ind w:right="3803"/>
              <w:spacing w:after="0"/>
              <w:rPr>
                <w:sz w:val="20"/>
                <w:szCs w:val="20"/>
                <w:color w:val="auto"/>
              </w:rPr>
            </w:pPr>
            <w:r>
              <w:rPr>
                <w:rFonts w:ascii="Arial" w:cs="Arial" w:eastAsia="Arial" w:hAnsi="Arial"/>
                <w:sz w:val="14"/>
                <w:szCs w:val="14"/>
                <w:color w:val="auto"/>
                <w:w w:val="94"/>
              </w:rPr>
              <w:t>(State or other jurisdiction of</w:t>
            </w:r>
          </w:p>
        </w:tc>
        <w:tc>
          <w:tcPr>
            <w:tcW w:w="1300" w:type="dxa"/>
            <w:vAlign w:val="bottom"/>
          </w:tcPr>
          <w:p>
            <w:pPr>
              <w:jc w:val="center"/>
              <w:ind w:left="161"/>
              <w:spacing w:after="0"/>
              <w:rPr>
                <w:sz w:val="20"/>
                <w:szCs w:val="20"/>
                <w:color w:val="auto"/>
              </w:rPr>
            </w:pPr>
            <w:r>
              <w:rPr>
                <w:rFonts w:ascii="Arial" w:cs="Arial" w:eastAsia="Arial" w:hAnsi="Arial"/>
                <w:sz w:val="14"/>
                <w:szCs w:val="14"/>
                <w:color w:val="auto"/>
                <w:w w:val="95"/>
              </w:rPr>
              <w:t>(I.R.S. Employer</w:t>
            </w:r>
          </w:p>
        </w:tc>
      </w:tr>
      <w:tr>
        <w:trPr>
          <w:trHeight w:val="182"/>
        </w:trPr>
        <w:tc>
          <w:tcPr>
            <w:tcW w:w="6440" w:type="dxa"/>
            <w:vAlign w:val="bottom"/>
          </w:tcPr>
          <w:p>
            <w:pPr>
              <w:jc w:val="center"/>
              <w:ind w:right="3803"/>
              <w:spacing w:after="0"/>
              <w:rPr>
                <w:sz w:val="20"/>
                <w:szCs w:val="20"/>
                <w:color w:val="auto"/>
              </w:rPr>
            </w:pPr>
            <w:r>
              <w:rPr>
                <w:rFonts w:ascii="Arial" w:cs="Arial" w:eastAsia="Arial" w:hAnsi="Arial"/>
                <w:sz w:val="14"/>
                <w:szCs w:val="14"/>
                <w:color w:val="auto"/>
                <w:w w:val="95"/>
              </w:rPr>
              <w:t>incorporation or organization)</w:t>
            </w:r>
          </w:p>
        </w:tc>
        <w:tc>
          <w:tcPr>
            <w:tcW w:w="1300" w:type="dxa"/>
            <w:vAlign w:val="bottom"/>
          </w:tcPr>
          <w:p>
            <w:pPr>
              <w:jc w:val="center"/>
              <w:ind w:left="141"/>
              <w:spacing w:after="0"/>
              <w:rPr>
                <w:sz w:val="20"/>
                <w:szCs w:val="20"/>
                <w:color w:val="auto"/>
              </w:rPr>
            </w:pPr>
            <w:r>
              <w:rPr>
                <w:rFonts w:ascii="Arial" w:cs="Arial" w:eastAsia="Arial" w:hAnsi="Arial"/>
                <w:sz w:val="14"/>
                <w:szCs w:val="14"/>
                <w:color w:val="auto"/>
                <w:w w:val="99"/>
              </w:rPr>
              <w:t>Identification No.)</w:t>
            </w:r>
          </w:p>
        </w:tc>
      </w:tr>
      <w:tr>
        <w:trPr>
          <w:trHeight w:val="358"/>
        </w:trPr>
        <w:tc>
          <w:tcPr>
            <w:tcW w:w="6440" w:type="dxa"/>
            <w:vAlign w:val="bottom"/>
          </w:tcPr>
          <w:p>
            <w:pPr>
              <w:jc w:val="center"/>
              <w:ind w:right="3803"/>
              <w:spacing w:after="0"/>
              <w:rPr>
                <w:sz w:val="20"/>
                <w:szCs w:val="20"/>
                <w:color w:val="auto"/>
              </w:rPr>
            </w:pPr>
            <w:r>
              <w:rPr>
                <w:rFonts w:ascii="Arial" w:cs="Arial" w:eastAsia="Arial" w:hAnsi="Arial"/>
                <w:sz w:val="18"/>
                <w:szCs w:val="18"/>
                <w:b w:val="1"/>
                <w:bCs w:val="1"/>
                <w:color w:val="auto"/>
                <w:w w:val="87"/>
              </w:rPr>
              <w:t>4400 West 78</w:t>
            </w:r>
            <w:r>
              <w:rPr>
                <w:rFonts w:ascii="Arial" w:cs="Arial" w:eastAsia="Arial" w:hAnsi="Arial"/>
                <w:sz w:val="25"/>
                <w:szCs w:val="25"/>
                <w:b w:val="1"/>
                <w:bCs w:val="1"/>
                <w:color w:val="auto"/>
                <w:w w:val="87"/>
                <w:vertAlign w:val="superscript"/>
              </w:rPr>
              <w:t>th</w:t>
            </w:r>
            <w:r>
              <w:rPr>
                <w:rFonts w:ascii="Arial" w:cs="Arial" w:eastAsia="Arial" w:hAnsi="Arial"/>
                <w:sz w:val="18"/>
                <w:szCs w:val="18"/>
                <w:b w:val="1"/>
                <w:bCs w:val="1"/>
                <w:color w:val="auto"/>
                <w:w w:val="87"/>
              </w:rPr>
              <w:t xml:space="preserve"> Street – Suite 520,</w:t>
            </w:r>
          </w:p>
        </w:tc>
        <w:tc>
          <w:tcPr>
            <w:tcW w:w="1300" w:type="dxa"/>
            <w:vAlign w:val="bottom"/>
          </w:tcPr>
          <w:p>
            <w:pPr>
              <w:spacing w:after="0"/>
              <w:rPr>
                <w:sz w:val="24"/>
                <w:szCs w:val="24"/>
                <w:color w:val="auto"/>
              </w:rPr>
            </w:pPr>
          </w:p>
        </w:tc>
      </w:tr>
      <w:tr>
        <w:trPr>
          <w:trHeight w:val="234"/>
        </w:trPr>
        <w:tc>
          <w:tcPr>
            <w:tcW w:w="6440" w:type="dxa"/>
            <w:vAlign w:val="bottom"/>
          </w:tcPr>
          <w:p>
            <w:pPr>
              <w:jc w:val="center"/>
              <w:ind w:right="3803"/>
              <w:spacing w:after="0"/>
              <w:rPr>
                <w:sz w:val="20"/>
                <w:szCs w:val="20"/>
                <w:color w:val="auto"/>
              </w:rPr>
            </w:pPr>
            <w:r>
              <w:rPr>
                <w:rFonts w:ascii="Arial" w:cs="Arial" w:eastAsia="Arial" w:hAnsi="Arial"/>
                <w:sz w:val="18"/>
                <w:szCs w:val="18"/>
                <w:b w:val="1"/>
                <w:bCs w:val="1"/>
                <w:color w:val="auto"/>
                <w:w w:val="94"/>
              </w:rPr>
              <w:t>Minneapolis, MN</w:t>
            </w:r>
          </w:p>
        </w:tc>
        <w:tc>
          <w:tcPr>
            <w:tcW w:w="1300" w:type="dxa"/>
            <w:vAlign w:val="bottom"/>
          </w:tcPr>
          <w:p>
            <w:pPr>
              <w:jc w:val="right"/>
              <w:ind w:right="221"/>
              <w:spacing w:after="0"/>
              <w:rPr>
                <w:sz w:val="20"/>
                <w:szCs w:val="20"/>
                <w:color w:val="auto"/>
              </w:rPr>
            </w:pPr>
            <w:r>
              <w:rPr>
                <w:rFonts w:ascii="Arial" w:cs="Arial" w:eastAsia="Arial" w:hAnsi="Arial"/>
                <w:sz w:val="18"/>
                <w:szCs w:val="18"/>
                <w:b w:val="1"/>
                <w:bCs w:val="1"/>
                <w:color w:val="auto"/>
              </w:rPr>
              <w:t>55435</w:t>
            </w:r>
          </w:p>
        </w:tc>
      </w:tr>
      <w:tr>
        <w:trPr>
          <w:trHeight w:val="218"/>
        </w:trPr>
        <w:tc>
          <w:tcPr>
            <w:tcW w:w="6440" w:type="dxa"/>
            <w:vAlign w:val="bottom"/>
          </w:tcPr>
          <w:p>
            <w:pPr>
              <w:jc w:val="center"/>
              <w:ind w:right="3803"/>
              <w:spacing w:after="0"/>
              <w:rPr>
                <w:sz w:val="20"/>
                <w:szCs w:val="20"/>
                <w:color w:val="auto"/>
              </w:rPr>
            </w:pPr>
            <w:r>
              <w:rPr>
                <w:rFonts w:ascii="Arial" w:cs="Arial" w:eastAsia="Arial" w:hAnsi="Arial"/>
                <w:sz w:val="14"/>
                <w:szCs w:val="14"/>
                <w:color w:val="auto"/>
                <w:w w:val="95"/>
              </w:rPr>
              <w:t>(Address of principal executive offices)</w:t>
            </w:r>
          </w:p>
        </w:tc>
        <w:tc>
          <w:tcPr>
            <w:tcW w:w="1300" w:type="dxa"/>
            <w:vAlign w:val="bottom"/>
          </w:tcPr>
          <w:p>
            <w:pPr>
              <w:jc w:val="center"/>
              <w:ind w:left="141"/>
              <w:spacing w:after="0"/>
              <w:rPr>
                <w:sz w:val="20"/>
                <w:szCs w:val="20"/>
                <w:color w:val="auto"/>
              </w:rPr>
            </w:pPr>
            <w:r>
              <w:rPr>
                <w:rFonts w:ascii="Arial" w:cs="Arial" w:eastAsia="Arial" w:hAnsi="Arial"/>
                <w:sz w:val="14"/>
                <w:szCs w:val="14"/>
                <w:color w:val="auto"/>
                <w:w w:val="96"/>
              </w:rPr>
              <w:t>(Zip Code)</w:t>
            </w:r>
          </w:p>
        </w:tc>
      </w:tr>
    </w:tbl>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(952) 835-1874</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ind w:left="4200"/>
        <w:spacing w:after="0"/>
        <w:rPr>
          <w:sz w:val="20"/>
          <w:szCs w:val="20"/>
          <w:color w:val="auto"/>
        </w:rPr>
      </w:pPr>
      <w:r>
        <w:rPr>
          <w:rFonts w:ascii="Arial" w:cs="Arial" w:eastAsia="Arial" w:hAnsi="Arial"/>
          <w:sz w:val="18"/>
          <w:szCs w:val="18"/>
          <w:color w:val="auto"/>
        </w:rPr>
        <w:t>_________________________________</w:t>
      </w:r>
    </w:p>
    <w:p>
      <w:pPr>
        <w:spacing w:after="0" w:line="4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27"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x Yes o No</w:t>
      </w:r>
    </w:p>
    <w:p>
      <w:pPr>
        <w:spacing w:after="0" w:line="93"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801" w:right="239" w:bottom="1440" w:gutter="0" w:footer="0" w:header="0"/>
        </w:sectPr>
      </w:pPr>
    </w:p>
    <w:p>
      <w:pPr>
        <w:spacing w:after="0" w:line="20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40" w:type="dxa"/>
            <w:vAlign w:val="bottom"/>
          </w:tcPr>
          <w:p>
            <w:pPr>
              <w:ind w:left="500"/>
              <w:spacing w:after="0"/>
              <w:rPr>
                <w:sz w:val="20"/>
                <w:szCs w:val="20"/>
                <w:color w:val="auto"/>
              </w:rPr>
            </w:pPr>
            <w:r>
              <w:rPr>
                <w:rFonts w:ascii="Arial" w:cs="Arial" w:eastAsia="Arial" w:hAnsi="Arial"/>
                <w:sz w:val="18"/>
                <w:szCs w:val="18"/>
                <w:color w:val="auto"/>
              </w:rPr>
              <w:t>x</w:t>
            </w:r>
          </w:p>
        </w:tc>
        <w:tc>
          <w:tcPr>
            <w:tcW w:w="4320" w:type="dxa"/>
            <w:vAlign w:val="bottom"/>
          </w:tcPr>
          <w:p>
            <w:pPr>
              <w:ind w:left="2360"/>
              <w:spacing w:after="0"/>
              <w:rPr>
                <w:sz w:val="20"/>
                <w:szCs w:val="20"/>
                <w:color w:val="auto"/>
              </w:rPr>
            </w:pPr>
            <w:r>
              <w:rPr>
                <w:rFonts w:ascii="Arial" w:cs="Arial" w:eastAsia="Arial" w:hAnsi="Arial"/>
                <w:sz w:val="18"/>
                <w:szCs w:val="18"/>
                <w:color w:val="auto"/>
              </w:rPr>
              <w:t>Accelerated filer</w:t>
            </w:r>
          </w:p>
        </w:tc>
      </w:tr>
      <w:tr>
        <w:trPr>
          <w:trHeight w:val="392"/>
        </w:trPr>
        <w:tc>
          <w:tcPr>
            <w:tcW w:w="2480" w:type="dxa"/>
            <w:vAlign w:val="bottom"/>
          </w:tcPr>
          <w:p>
            <w:pPr>
              <w:spacing w:after="0"/>
              <w:rPr>
                <w:sz w:val="20"/>
                <w:szCs w:val="20"/>
                <w:color w:val="auto"/>
              </w:rPr>
            </w:pPr>
            <w:r>
              <w:rPr>
                <w:rFonts w:ascii="Arial" w:cs="Arial" w:eastAsia="Arial" w:hAnsi="Arial"/>
                <w:sz w:val="18"/>
                <w:szCs w:val="18"/>
                <w:color w:val="auto"/>
              </w:rPr>
              <w:t>Non-accelerated filer</w:t>
            </w:r>
          </w:p>
        </w:tc>
        <w:tc>
          <w:tcPr>
            <w:tcW w:w="2940" w:type="dxa"/>
            <w:vAlign w:val="bottom"/>
          </w:tcPr>
          <w:p>
            <w:pPr>
              <w:ind w:left="500"/>
              <w:spacing w:after="0"/>
              <w:rPr>
                <w:sz w:val="20"/>
                <w:szCs w:val="20"/>
                <w:color w:val="auto"/>
              </w:rPr>
            </w:pPr>
            <w:r>
              <w:rPr>
                <w:rFonts w:ascii="Arial" w:cs="Arial" w:eastAsia="Arial" w:hAnsi="Arial"/>
                <w:sz w:val="18"/>
                <w:szCs w:val="18"/>
                <w:color w:val="auto"/>
              </w:rPr>
              <w:t>o</w:t>
            </w:r>
          </w:p>
        </w:tc>
        <w:tc>
          <w:tcPr>
            <w:tcW w:w="4320" w:type="dxa"/>
            <w:vAlign w:val="bottom"/>
          </w:tcPr>
          <w:p>
            <w:pPr>
              <w:ind w:left="2360"/>
              <w:spacing w:after="0"/>
              <w:rPr>
                <w:sz w:val="20"/>
                <w:szCs w:val="20"/>
                <w:color w:val="auto"/>
              </w:rPr>
            </w:pPr>
            <w:r>
              <w:rPr>
                <w:rFonts w:ascii="Arial" w:cs="Arial" w:eastAsia="Arial" w:hAnsi="Arial"/>
                <w:sz w:val="18"/>
                <w:szCs w:val="18"/>
                <w:color w:val="auto"/>
                <w:w w:val="90"/>
              </w:rPr>
              <w:t>Smaller reporting company</w:t>
            </w:r>
          </w:p>
        </w:tc>
      </w:tr>
      <w:tr>
        <w:trPr>
          <w:trHeight w:val="392"/>
        </w:trPr>
        <w:tc>
          <w:tcPr>
            <w:tcW w:w="24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40" w:type="dxa"/>
            <w:vAlign w:val="bottom"/>
          </w:tcPr>
          <w:p>
            <w:pPr>
              <w:ind w:left="500"/>
              <w:spacing w:after="0"/>
              <w:rPr>
                <w:sz w:val="20"/>
                <w:szCs w:val="20"/>
                <w:color w:val="auto"/>
              </w:rPr>
            </w:pPr>
            <w:r>
              <w:rPr>
                <w:rFonts w:ascii="Arial" w:cs="Arial" w:eastAsia="Arial" w:hAnsi="Arial"/>
                <w:sz w:val="18"/>
                <w:szCs w:val="18"/>
                <w:color w:val="auto"/>
              </w:rPr>
              <w:t>o</w:t>
            </w:r>
          </w:p>
        </w:tc>
        <w:tc>
          <w:tcPr>
            <w:tcW w:w="4320" w:type="dxa"/>
            <w:vAlign w:val="bottom"/>
          </w:tcPr>
          <w:p>
            <w:pPr>
              <w:spacing w:after="0"/>
              <w:rPr>
                <w:sz w:val="24"/>
                <w:szCs w:val="24"/>
                <w:color w:val="auto"/>
              </w:rPr>
            </w:pPr>
          </w:p>
        </w:tc>
      </w:tr>
    </w:tbl>
    <w:p>
      <w:pPr>
        <w:spacing w:after="0" w:line="40" w:lineRule="exact"/>
        <w:rPr>
          <w:sz w:val="24"/>
          <w:szCs w:val="24"/>
          <w:color w:val="auto"/>
        </w:rPr>
      </w:pPr>
    </w:p>
    <w:p>
      <w:pPr>
        <w:ind w:left="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3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ectPr>
          <w:pgSz w:w="11900" w:h="16838" w:orient="portrait"/>
          <w:cols w:equalWidth="0" w:num="2">
            <w:col w:w="10460" w:space="320"/>
            <w:col w:w="640"/>
          </w:cols>
          <w:pgMar w:left="240" w:top="801" w:right="239" w:bottom="1440" w:gutter="0" w:footer="0" w:header="0"/>
          <w:type w:val="continuous"/>
        </w:sectPr>
      </w:pPr>
    </w:p>
    <w:bookmarkStart w:id="1" w:name="page2"/>
    <w:bookmarkEnd w:id="1"/>
    <w:p>
      <w:pPr>
        <w:ind w:right="839"/>
        <w:spacing w:after="0" w:line="553"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o Yes x No As of January 9, 2019, 27,175,800 shares of the registrant’s common stock, par value $0.33 1/3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30"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APOGEE ENTERPRISES, INC. AND SUBSIDIARIES</w:t>
      </w: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20" w:type="dxa"/>
            <w:vAlign w:val="bottom"/>
            <w:gridSpan w:val="5"/>
          </w:tcPr>
          <w:p>
            <w:pPr>
              <w:jc w:val="right"/>
              <w:ind w:right="430"/>
              <w:spacing w:after="0"/>
              <w:rPr>
                <w:sz w:val="20"/>
                <w:szCs w:val="20"/>
                <w:color w:val="auto"/>
              </w:rPr>
            </w:pPr>
            <w:r>
              <w:rPr>
                <w:rFonts w:ascii="Arial" w:cs="Arial" w:eastAsia="Arial" w:hAnsi="Arial"/>
                <w:sz w:val="14"/>
                <w:szCs w:val="14"/>
                <w:b w:val="1"/>
                <w:bCs w:val="1"/>
                <w:color w:val="auto"/>
              </w:rPr>
              <w:t>Page</w:t>
            </w:r>
          </w:p>
        </w:tc>
      </w:tr>
      <w:tr>
        <w:trPr>
          <w:trHeight w:val="223"/>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1700" w:type="dxa"/>
            <w:vAlign w:val="bottom"/>
            <w:tcBorders>
              <w:bottom w:val="single" w:sz="8" w:color="0000FF"/>
            </w:tcBorders>
            <w:gridSpan w:val="5"/>
          </w:tcPr>
          <w:p>
            <w:pPr>
              <w:spacing w:after="0"/>
              <w:rPr>
                <w:rFonts w:ascii="Arial" w:cs="Arial" w:eastAsia="Arial" w:hAnsi="Arial"/>
                <w:sz w:val="18"/>
                <w:szCs w:val="18"/>
                <w:b w:val="1"/>
                <w:bCs w:val="1"/>
                <w:color w:val="0000FF"/>
                <w:w w:val="92"/>
              </w:rPr>
            </w:pPr>
            <w:hyperlink w:anchor="page4">
              <w:r>
                <w:rPr>
                  <w:rFonts w:ascii="Arial" w:cs="Arial" w:eastAsia="Arial" w:hAnsi="Arial"/>
                  <w:sz w:val="18"/>
                  <w:szCs w:val="18"/>
                  <w:b w:val="1"/>
                  <w:bCs w:val="1"/>
                  <w:color w:val="0000FF"/>
                  <w:w w:val="92"/>
                </w:rPr>
                <w:t>Financial Information</w:t>
              </w:r>
            </w:hyperlink>
          </w:p>
        </w:tc>
        <w:tc>
          <w:tcPr>
            <w:tcW w:w="6180" w:type="dxa"/>
            <w:vAlign w:val="bottom"/>
            <w:gridSpan w:val="11"/>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88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 (Unaudited):</w:t>
              </w:r>
            </w:hyperlink>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60" w:type="dxa"/>
            <w:vAlign w:val="bottom"/>
            <w:tcBorders>
              <w:top w:val="single" w:sz="8" w:color="0000FF"/>
            </w:tcBorders>
            <w:gridSpan w:val="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5420" w:type="dxa"/>
            <w:vAlign w:val="bottom"/>
            <w:gridSpan w:val="8"/>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8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Results of Operations</w:t>
              </w:r>
            </w:hyperlink>
          </w:p>
        </w:tc>
        <w:tc>
          <w:tcPr>
            <w:tcW w:w="2220" w:type="dxa"/>
            <w:vAlign w:val="bottom"/>
            <w:gridSpan w:val="5"/>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Comprehensive Earnings</w:t>
              </w:r>
            </w:hyperlink>
          </w:p>
        </w:tc>
        <w:tc>
          <w:tcPr>
            <w:tcW w:w="4040" w:type="dxa"/>
            <w:vAlign w:val="bottom"/>
            <w:gridSpan w:val="3"/>
          </w:tcPr>
          <w:p>
            <w:pPr>
              <w:spacing w:after="0"/>
              <w:rPr>
                <w:sz w:val="24"/>
                <w:szCs w:val="24"/>
                <w:color w:val="auto"/>
              </w:rPr>
            </w:pPr>
          </w:p>
        </w:tc>
        <w:tc>
          <w:tcPr>
            <w:tcW w:w="2120" w:type="dxa"/>
            <w:vAlign w:val="bottom"/>
            <w:gridSpan w:val="4"/>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8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w:t>
              </w:r>
            </w:hyperlink>
          </w:p>
        </w:tc>
        <w:tc>
          <w:tcPr>
            <w:tcW w:w="2220" w:type="dxa"/>
            <w:vAlign w:val="bottom"/>
            <w:gridSpan w:val="5"/>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Consolidated Statements of Shareholders' Equity</w:t>
              </w:r>
            </w:hyperlink>
          </w:p>
        </w:tc>
        <w:tc>
          <w:tcPr>
            <w:tcW w:w="4360" w:type="dxa"/>
            <w:vAlign w:val="bottom"/>
            <w:gridSpan w:val="4"/>
          </w:tcPr>
          <w:p>
            <w:pPr>
              <w:spacing w:after="0"/>
              <w:rPr>
                <w:sz w:val="24"/>
                <w:szCs w:val="24"/>
                <w:color w:val="auto"/>
              </w:rPr>
            </w:pPr>
          </w:p>
        </w:tc>
        <w:tc>
          <w:tcPr>
            <w:tcW w:w="2120" w:type="dxa"/>
            <w:vAlign w:val="bottom"/>
            <w:gridSpan w:val="4"/>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80" w:type="dxa"/>
            <w:vAlign w:val="bottom"/>
            <w:gridSpan w:val="16"/>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Consolidated Financial Statements</w:t>
              </w:r>
            </w:hyperlink>
          </w:p>
        </w:tc>
        <w:tc>
          <w:tcPr>
            <w:tcW w:w="2220" w:type="dxa"/>
            <w:vAlign w:val="bottom"/>
            <w:gridSpan w:val="5"/>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9</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5"/>
          </w:tcPr>
          <w:p>
            <w:pPr>
              <w:spacing w:after="0"/>
              <w:rPr>
                <w:rFonts w:ascii="Arial" w:cs="Arial" w:eastAsia="Arial" w:hAnsi="Arial"/>
                <w:sz w:val="18"/>
                <w:szCs w:val="18"/>
                <w:color w:val="0000FF"/>
                <w:w w:val="90"/>
              </w:rPr>
            </w:pPr>
            <w:hyperlink w:anchor="page19">
              <w:r>
                <w:rPr>
                  <w:rFonts w:ascii="Arial" w:cs="Arial" w:eastAsia="Arial" w:hAnsi="Arial"/>
                  <w:sz w:val="18"/>
                  <w:szCs w:val="18"/>
                  <w:color w:val="0000FF"/>
                  <w:w w:val="90"/>
                </w:rPr>
                <w:t>Management’s Discussion and Analysis of Financial Condition and Results of Operations</w:t>
              </w:r>
            </w:hyperlink>
          </w:p>
        </w:tc>
        <w:tc>
          <w:tcPr>
            <w:tcW w:w="1420" w:type="dxa"/>
            <w:vAlign w:val="bottom"/>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4"/>
          </w:tcPr>
          <w:p>
            <w:pPr>
              <w:spacing w:after="0"/>
              <w:rPr>
                <w:rFonts w:ascii="Arial" w:cs="Arial" w:eastAsia="Arial" w:hAnsi="Arial"/>
                <w:sz w:val="18"/>
                <w:szCs w:val="18"/>
                <w:color w:val="0000FF"/>
                <w:w w:val="91"/>
              </w:rPr>
            </w:pPr>
            <w:hyperlink w:anchor="page26">
              <w:r>
                <w:rPr>
                  <w:rFonts w:ascii="Arial" w:cs="Arial" w:eastAsia="Arial" w:hAnsi="Arial"/>
                  <w:sz w:val="18"/>
                  <w:szCs w:val="18"/>
                  <w:color w:val="0000FF"/>
                  <w:w w:val="91"/>
                </w:rPr>
                <w:t>Quantitative and Qualitative Disclosures About Market Risk</w:t>
              </w:r>
            </w:hyperlink>
          </w:p>
        </w:tc>
        <w:tc>
          <w:tcPr>
            <w:tcW w:w="2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354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4"/>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Controls and Procedures</w:t>
              </w:r>
            </w:hyperlink>
          </w:p>
        </w:tc>
        <w:tc>
          <w:tcPr>
            <w:tcW w:w="3540" w:type="dxa"/>
            <w:vAlign w:val="bottom"/>
            <w:gridSpan w:val="2"/>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40" w:type="dxa"/>
            <w:vAlign w:val="bottom"/>
            <w:tcBorders>
              <w:top w:val="single" w:sz="8" w:color="0000FF"/>
              <w:bottom w:val="single" w:sz="8" w:color="0000FF"/>
            </w:tcBorders>
            <w:gridSpan w:val="4"/>
          </w:tcPr>
          <w:p>
            <w:pPr>
              <w:spacing w:after="0"/>
              <w:rPr>
                <w:rFonts w:ascii="Arial" w:cs="Arial" w:eastAsia="Arial" w:hAnsi="Arial"/>
                <w:sz w:val="18"/>
                <w:szCs w:val="18"/>
                <w:b w:val="1"/>
                <w:bCs w:val="1"/>
                <w:color w:val="0000FF"/>
                <w:w w:val="93"/>
              </w:rPr>
            </w:pPr>
            <w:hyperlink w:anchor="page26">
              <w:r>
                <w:rPr>
                  <w:rFonts w:ascii="Arial" w:cs="Arial" w:eastAsia="Arial" w:hAnsi="Arial"/>
                  <w:sz w:val="18"/>
                  <w:szCs w:val="18"/>
                  <w:b w:val="1"/>
                  <w:bCs w:val="1"/>
                  <w:color w:val="0000FF"/>
                  <w:w w:val="93"/>
                </w:rPr>
                <w:t>Other Information</w:t>
              </w:r>
            </w:hyperlink>
          </w:p>
        </w:tc>
        <w:tc>
          <w:tcPr>
            <w:tcW w:w="320" w:type="dxa"/>
            <w:vAlign w:val="bottom"/>
            <w:tcBorders>
              <w:top w:val="single" w:sz="8" w:color="0000FF"/>
            </w:tcBorders>
            <w:gridSpan w:val="2"/>
          </w:tcPr>
          <w:p>
            <w:pPr>
              <w:spacing w:after="0"/>
              <w:rPr>
                <w:sz w:val="24"/>
                <w:szCs w:val="24"/>
                <w:color w:val="auto"/>
              </w:rPr>
            </w:pPr>
          </w:p>
        </w:tc>
        <w:tc>
          <w:tcPr>
            <w:tcW w:w="6120" w:type="dxa"/>
            <w:vAlign w:val="bottom"/>
            <w:gridSpan w:val="10"/>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880" w:type="dxa"/>
            <w:vAlign w:val="bottom"/>
            <w:gridSpan w:val="16"/>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Legal Proceedings</w:t>
              </w:r>
            </w:hyperlink>
          </w:p>
        </w:tc>
        <w:tc>
          <w:tcPr>
            <w:tcW w:w="2220" w:type="dxa"/>
            <w:vAlign w:val="bottom"/>
            <w:gridSpan w:val="5"/>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2"/>
          </w:tcPr>
          <w:p>
            <w:pPr>
              <w:spacing w:after="0"/>
              <w:rPr>
                <w:rFonts w:ascii="Arial" w:cs="Arial" w:eastAsia="Arial" w:hAnsi="Arial"/>
                <w:sz w:val="18"/>
                <w:szCs w:val="18"/>
                <w:color w:val="0000FF"/>
                <w:w w:val="87"/>
              </w:rPr>
            </w:pPr>
            <w:hyperlink w:anchor="page27">
              <w:r>
                <w:rPr>
                  <w:rFonts w:ascii="Arial" w:cs="Arial" w:eastAsia="Arial" w:hAnsi="Arial"/>
                  <w:sz w:val="18"/>
                  <w:szCs w:val="18"/>
                  <w:color w:val="0000FF"/>
                  <w:w w:val="87"/>
                </w:rPr>
                <w:t>Risk Factors</w:t>
              </w:r>
            </w:hyperlink>
          </w:p>
        </w:tc>
        <w:tc>
          <w:tcPr>
            <w:tcW w:w="420" w:type="dxa"/>
            <w:vAlign w:val="bottom"/>
          </w:tcPr>
          <w:p>
            <w:pPr>
              <w:spacing w:after="0"/>
              <w:rPr>
                <w:sz w:val="24"/>
                <w:szCs w:val="24"/>
                <w:color w:val="auto"/>
              </w:rPr>
            </w:pPr>
          </w:p>
        </w:tc>
        <w:tc>
          <w:tcPr>
            <w:tcW w:w="6560" w:type="dxa"/>
            <w:vAlign w:val="bottom"/>
            <w:gridSpan w:val="13"/>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12"/>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gridSpan w:val="14"/>
          </w:tcPr>
          <w:p>
            <w:pPr>
              <w:spacing w:after="0"/>
              <w:rPr>
                <w:rFonts w:ascii="Arial" w:cs="Arial" w:eastAsia="Arial" w:hAnsi="Arial"/>
                <w:sz w:val="18"/>
                <w:szCs w:val="18"/>
                <w:color w:val="0000FF"/>
                <w:w w:val="88"/>
              </w:rPr>
            </w:pPr>
            <w:hyperlink w:anchor="page27">
              <w:r>
                <w:rPr>
                  <w:rFonts w:ascii="Arial" w:cs="Arial" w:eastAsia="Arial" w:hAnsi="Arial"/>
                  <w:sz w:val="18"/>
                  <w:szCs w:val="18"/>
                  <w:color w:val="0000FF"/>
                  <w:w w:val="88"/>
                </w:rPr>
                <w:t>Unregistered Sales of Equity Securities and Use of Proceeds</w:t>
              </w:r>
            </w:hyperlink>
          </w:p>
        </w:tc>
        <w:tc>
          <w:tcPr>
            <w:tcW w:w="3540" w:type="dxa"/>
            <w:vAlign w:val="bottom"/>
            <w:gridSpan w:val="2"/>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FF"/>
                <w:w w:val="91"/>
              </w:rPr>
            </w:pPr>
            <w:hyperlink w:anchor="page27">
              <w:r>
                <w:rPr>
                  <w:rFonts w:ascii="Arial" w:cs="Arial" w:eastAsia="Arial" w:hAnsi="Arial"/>
                  <w:sz w:val="18"/>
                  <w:szCs w:val="18"/>
                  <w:color w:val="0000FF"/>
                  <w:w w:val="91"/>
                </w:rPr>
                <w:t>Exhibits</w:t>
              </w:r>
            </w:hyperlink>
          </w:p>
        </w:tc>
        <w:tc>
          <w:tcPr>
            <w:tcW w:w="3740" w:type="dxa"/>
            <w:vAlign w:val="bottom"/>
            <w:gridSpan w:val="13"/>
          </w:tcPr>
          <w:p>
            <w:pPr>
              <w:spacing w:after="0"/>
              <w:rPr>
                <w:sz w:val="24"/>
                <w:szCs w:val="24"/>
                <w:color w:val="auto"/>
              </w:rPr>
            </w:pPr>
          </w:p>
        </w:tc>
        <w:tc>
          <w:tcPr>
            <w:tcW w:w="3540" w:type="dxa"/>
            <w:vAlign w:val="bottom"/>
            <w:gridSpan w:val="2"/>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507"/>
        </w:trPr>
        <w:tc>
          <w:tcPr>
            <w:tcW w:w="76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6460" w:type="dxa"/>
            <w:vAlign w:val="bottom"/>
            <w:gridSpan w:val="15"/>
          </w:tcPr>
          <w:p>
            <w:pPr>
              <w:ind w:left="4360"/>
              <w:spacing w:after="0"/>
              <w:rPr>
                <w:sz w:val="20"/>
                <w:szCs w:val="20"/>
                <w:color w:val="auto"/>
              </w:rPr>
            </w:pPr>
            <w:r>
              <w:rPr>
                <w:rFonts w:ascii="Arial" w:cs="Arial" w:eastAsia="Arial" w:hAnsi="Arial"/>
                <w:sz w:val="18"/>
                <w:szCs w:val="18"/>
                <w:color w:val="auto"/>
              </w:rPr>
              <w:t>3</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80"/>
        </w:trPr>
        <w:tc>
          <w:tcPr>
            <w:tcW w:w="5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960" w:type="dxa"/>
            <w:vAlign w:val="bottom"/>
            <w:gridSpan w:val="2"/>
          </w:tcPr>
          <w:p>
            <w:pPr>
              <w:ind w:left="2900"/>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p>
        </w:tc>
        <w:tc>
          <w:tcPr>
            <w:tcW w:w="7700" w:type="dxa"/>
            <w:vAlign w:val="bottom"/>
            <w:gridSpan w:val="3"/>
          </w:tcPr>
          <w:p>
            <w:pPr>
              <w:ind w:left="28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8"/>
        </w:trPr>
        <w:tc>
          <w:tcPr>
            <w:tcW w:w="8240" w:type="dxa"/>
            <w:vAlign w:val="bottom"/>
            <w:gridSpan w:val="4"/>
          </w:tcPr>
          <w:p>
            <w:pPr>
              <w:spacing w:after="0"/>
              <w:rPr>
                <w:sz w:val="20"/>
                <w:szCs w:val="20"/>
                <w:color w:val="auto"/>
              </w:rPr>
            </w:pPr>
            <w:r>
              <w:rPr>
                <w:rFonts w:ascii="Arial" w:cs="Arial" w:eastAsia="Arial" w:hAnsi="Arial"/>
                <w:sz w:val="18"/>
                <w:szCs w:val="18"/>
                <w:b w:val="1"/>
                <w:bCs w:val="1"/>
                <w:color w:val="auto"/>
              </w:rPr>
              <w:t>CONSOLIDATED BALANCE SHEETS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0"/>
        </w:trPr>
        <w:tc>
          <w:tcPr>
            <w:tcW w:w="8240" w:type="dxa"/>
            <w:vAlign w:val="bottom"/>
            <w:gridSpan w:val="4"/>
          </w:tcPr>
          <w:p>
            <w:pPr>
              <w:spacing w:after="0"/>
              <w:rPr>
                <w:sz w:val="20"/>
                <w:szCs w:val="20"/>
                <w:color w:val="auto"/>
              </w:rPr>
            </w:pPr>
            <w:r>
              <w:rPr>
                <w:rFonts w:ascii="Arial" w:cs="Arial" w:eastAsia="Arial" w:hAnsi="Arial"/>
                <w:sz w:val="18"/>
                <w:szCs w:val="18"/>
                <w:color w:val="auto"/>
              </w:rPr>
              <w:t>(unaudited)</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99"/>
        </w:trPr>
        <w:tc>
          <w:tcPr>
            <w:tcW w:w="8240" w:type="dxa"/>
            <w:vAlign w:val="bottom"/>
            <w:gridSpan w:val="4"/>
          </w:tcPr>
          <w:p>
            <w:pPr>
              <w:ind w:left="40"/>
              <w:spacing w:after="0"/>
              <w:rPr>
                <w:sz w:val="20"/>
                <w:szCs w:val="20"/>
                <w:color w:val="auto"/>
              </w:rPr>
            </w:pPr>
            <w:r>
              <w:rPr>
                <w:rFonts w:ascii="Arial" w:cs="Arial" w:eastAsia="Arial" w:hAnsi="Arial"/>
                <w:sz w:val="14"/>
                <w:szCs w:val="14"/>
                <w:i w:val="1"/>
                <w:iCs w:val="1"/>
                <w:color w:val="auto"/>
              </w:rPr>
              <w:t>In thousands, except stock data</w:t>
            </w:r>
          </w:p>
        </w:tc>
        <w:tc>
          <w:tcPr>
            <w:tcW w:w="18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1, 2018</w:t>
            </w:r>
          </w:p>
        </w:tc>
        <w:tc>
          <w:tcPr>
            <w:tcW w:w="220" w:type="dxa"/>
            <w:vAlign w:val="bottom"/>
          </w:tcPr>
          <w:p>
            <w:pPr>
              <w:spacing w:after="0"/>
              <w:rPr>
                <w:sz w:val="24"/>
                <w:szCs w:val="24"/>
                <w:color w:val="auto"/>
              </w:rPr>
            </w:pPr>
          </w:p>
        </w:tc>
        <w:tc>
          <w:tcPr>
            <w:tcW w:w="1260" w:type="dxa"/>
            <w:vAlign w:val="bottom"/>
          </w:tcPr>
          <w:p>
            <w:pPr>
              <w:jc w:val="right"/>
              <w:ind w:right="211"/>
              <w:spacing w:after="0"/>
              <w:rPr>
                <w:sz w:val="20"/>
                <w:szCs w:val="20"/>
                <w:color w:val="auto"/>
              </w:rPr>
            </w:pPr>
            <w:r>
              <w:rPr>
                <w:rFonts w:ascii="Arial" w:cs="Arial" w:eastAsia="Arial" w:hAnsi="Arial"/>
                <w:sz w:val="14"/>
                <w:szCs w:val="14"/>
                <w:b w:val="1"/>
                <w:bCs w:val="1"/>
                <w:color w:val="auto"/>
              </w:rPr>
              <w:t>March 3, 2018</w:t>
            </w:r>
          </w:p>
        </w:tc>
      </w:tr>
      <w:tr>
        <w:trPr>
          <w:trHeight w:val="250"/>
        </w:trPr>
        <w:tc>
          <w:tcPr>
            <w:tcW w:w="5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1"/>
              </w:rPr>
              <w:t>Assets</w:t>
            </w: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6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240" w:type="dxa"/>
            <w:vAlign w:val="bottom"/>
            <w:gridSpan w:val="4"/>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1280" w:type="dxa"/>
            <w:vAlign w:val="bottom"/>
            <w:gridSpan w:val="2"/>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19,359</w:t>
            </w:r>
          </w:p>
        </w:tc>
      </w:tr>
      <w:tr>
        <w:trPr>
          <w:trHeight w:val="243"/>
        </w:trPr>
        <w:tc>
          <w:tcPr>
            <w:tcW w:w="8240" w:type="dxa"/>
            <w:vAlign w:val="bottom"/>
            <w:gridSpan w:val="4"/>
          </w:tcPr>
          <w:p>
            <w:pPr>
              <w:ind w:left="380"/>
              <w:spacing w:after="0"/>
              <w:rPr>
                <w:sz w:val="20"/>
                <w:szCs w:val="20"/>
                <w:color w:val="auto"/>
              </w:rPr>
            </w:pPr>
            <w:r>
              <w:rPr>
                <w:rFonts w:ascii="Arial" w:cs="Arial" w:eastAsia="Arial" w:hAnsi="Arial"/>
                <w:sz w:val="18"/>
                <w:szCs w:val="18"/>
                <w:color w:val="auto"/>
              </w:rPr>
              <w:t>Receivables, net of allowance for doubtful accounts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201,498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211,852</w:t>
            </w:r>
          </w:p>
        </w:tc>
      </w:tr>
      <w:tr>
        <w:trPr>
          <w:trHeight w:val="27"/>
        </w:trPr>
        <w:tc>
          <w:tcPr>
            <w:tcW w:w="1280" w:type="dxa"/>
            <w:vAlign w:val="bottom"/>
            <w:gridSpan w:val="2"/>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79,847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80,908</w:t>
            </w:r>
          </w:p>
        </w:tc>
      </w:tr>
      <w:tr>
        <w:trPr>
          <w:trHeight w:val="243"/>
        </w:trPr>
        <w:tc>
          <w:tcPr>
            <w:tcW w:w="8240" w:type="dxa"/>
            <w:vAlign w:val="bottom"/>
            <w:gridSpan w:val="4"/>
          </w:tcPr>
          <w:p>
            <w:pPr>
              <w:ind w:left="380"/>
              <w:spacing w:after="0"/>
              <w:rPr>
                <w:sz w:val="20"/>
                <w:szCs w:val="20"/>
                <w:color w:val="auto"/>
              </w:rPr>
            </w:pPr>
            <w:r>
              <w:rPr>
                <w:rFonts w:ascii="Arial" w:cs="Arial" w:eastAsia="Arial" w:hAnsi="Arial"/>
                <w:sz w:val="18"/>
                <w:szCs w:val="18"/>
                <w:color w:val="auto"/>
              </w:rPr>
              <w:t>Costs and earnings on contracts in excess of billings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60,140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4,120</w:t>
            </w:r>
          </w:p>
        </w:tc>
      </w:tr>
      <w:tr>
        <w:trPr>
          <w:trHeight w:val="27"/>
        </w:trPr>
        <w:tc>
          <w:tcPr>
            <w:tcW w:w="1280" w:type="dxa"/>
            <w:vAlign w:val="bottom"/>
            <w:gridSpan w:val="2"/>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16,247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20,039</w:t>
            </w:r>
          </w:p>
        </w:tc>
      </w:tr>
      <w:tr>
        <w:trPr>
          <w:trHeight w:val="237"/>
        </w:trPr>
        <w:tc>
          <w:tcPr>
            <w:tcW w:w="540" w:type="dxa"/>
            <w:vAlign w:val="bottom"/>
          </w:tcPr>
          <w:p>
            <w:pPr>
              <w:spacing w:after="0"/>
              <w:rPr>
                <w:sz w:val="20"/>
                <w:szCs w:val="20"/>
                <w:color w:val="auto"/>
              </w:rPr>
            </w:pPr>
          </w:p>
        </w:tc>
        <w:tc>
          <w:tcPr>
            <w:tcW w:w="7700" w:type="dxa"/>
            <w:vAlign w:val="bottom"/>
            <w:gridSpan w:val="3"/>
          </w:tcPr>
          <w:p>
            <w:pPr>
              <w:ind w:left="1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372,775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336,278</w:t>
            </w:r>
          </w:p>
        </w:tc>
      </w:tr>
      <w:tr>
        <w:trPr>
          <w:trHeight w:val="27"/>
        </w:trPr>
        <w:tc>
          <w:tcPr>
            <w:tcW w:w="1280" w:type="dxa"/>
            <w:vAlign w:val="bottom"/>
            <w:tcBorders>
              <w:bottom w:val="single" w:sz="8" w:color="CCEEFF"/>
            </w:tcBorders>
            <w:gridSpan w:val="2"/>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302,209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304,063</w:t>
            </w:r>
          </w:p>
        </w:tc>
      </w:tr>
      <w:tr>
        <w:trPr>
          <w:trHeight w:val="243"/>
        </w:trPr>
        <w:tc>
          <w:tcPr>
            <w:tcW w:w="8240" w:type="dxa"/>
            <w:vAlign w:val="bottom"/>
            <w:gridSpan w:val="4"/>
          </w:tcPr>
          <w:p>
            <w:pPr>
              <w:ind w:left="4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26,354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gridSpan w:val="2"/>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185,788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180,956</w:t>
            </w:r>
          </w:p>
        </w:tc>
      </w:tr>
      <w:tr>
        <w:trPr>
          <w:trHeight w:val="243"/>
        </w:trPr>
        <w:tc>
          <w:tcPr>
            <w:tcW w:w="8240" w:type="dxa"/>
            <w:vAlign w:val="bottom"/>
            <w:gridSpan w:val="4"/>
          </w:tcPr>
          <w:p>
            <w:pPr>
              <w:ind w:left="40"/>
              <w:spacing w:after="0"/>
              <w:rPr>
                <w:sz w:val="20"/>
                <w:szCs w:val="20"/>
                <w:color w:val="auto"/>
              </w:rPr>
            </w:pPr>
            <w:r>
              <w:rPr>
                <w:rFonts w:ascii="Arial" w:cs="Arial" w:eastAsia="Arial" w:hAnsi="Arial"/>
                <w:sz w:val="18"/>
                <w:szCs w:val="18"/>
                <w:color w:val="auto"/>
              </w:rPr>
              <w:t>Intangible assets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153,605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167,349</w:t>
            </w:r>
          </w:p>
        </w:tc>
      </w:tr>
      <w:tr>
        <w:trPr>
          <w:trHeight w:val="27"/>
        </w:trPr>
        <w:tc>
          <w:tcPr>
            <w:tcW w:w="1280" w:type="dxa"/>
            <w:vAlign w:val="bottom"/>
            <w:gridSpan w:val="2"/>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33,674</w:t>
            </w:r>
          </w:p>
        </w:tc>
      </w:tr>
      <w:tr>
        <w:trPr>
          <w:trHeight w:val="237"/>
        </w:trPr>
        <w:tc>
          <w:tcPr>
            <w:tcW w:w="540" w:type="dxa"/>
            <w:vAlign w:val="bottom"/>
          </w:tcPr>
          <w:p>
            <w:pPr>
              <w:spacing w:after="0"/>
              <w:rPr>
                <w:sz w:val="20"/>
                <w:szCs w:val="20"/>
                <w:color w:val="auto"/>
              </w:rPr>
            </w:pPr>
          </w:p>
        </w:tc>
        <w:tc>
          <w:tcPr>
            <w:tcW w:w="7700" w:type="dxa"/>
            <w:vAlign w:val="bottom"/>
            <w:gridSpan w:val="3"/>
          </w:tcPr>
          <w:p>
            <w:pPr>
              <w:ind w:left="18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1,080,980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1,022,320</w:t>
            </w:r>
          </w:p>
        </w:tc>
      </w:tr>
      <w:tr>
        <w:trPr>
          <w:trHeight w:val="67"/>
        </w:trPr>
        <w:tc>
          <w:tcPr>
            <w:tcW w:w="1280" w:type="dxa"/>
            <w:vAlign w:val="bottom"/>
            <w:tcBorders>
              <w:bottom w:val="single" w:sz="8" w:color="CCEEFF"/>
            </w:tcBorders>
            <w:gridSpan w:val="2"/>
          </w:tcPr>
          <w:p>
            <w:pPr>
              <w:spacing w:after="0"/>
              <w:rPr>
                <w:sz w:val="5"/>
                <w:szCs w:val="5"/>
                <w:color w:val="auto"/>
              </w:rPr>
            </w:pPr>
          </w:p>
        </w:tc>
        <w:tc>
          <w:tcPr>
            <w:tcW w:w="68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31"/>
        </w:trPr>
        <w:tc>
          <w:tcPr>
            <w:tcW w:w="8240" w:type="dxa"/>
            <w:vAlign w:val="bottom"/>
            <w:tcBorders>
              <w:bottom w:val="single" w:sz="8" w:color="CCEEFF"/>
            </w:tcBorders>
            <w:gridSpan w:val="4"/>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gridSpan w:val="4"/>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1280" w:type="dxa"/>
            <w:vAlign w:val="bottom"/>
            <w:gridSpan w:val="2"/>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79,072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68,416</w:t>
            </w:r>
          </w:p>
        </w:tc>
      </w:tr>
      <w:tr>
        <w:trPr>
          <w:trHeight w:val="243"/>
        </w:trPr>
        <w:tc>
          <w:tcPr>
            <w:tcW w:w="8240" w:type="dxa"/>
            <w:vAlign w:val="bottom"/>
            <w:gridSpan w:val="4"/>
          </w:tcPr>
          <w:p>
            <w:pPr>
              <w:ind w:left="380"/>
              <w:spacing w:after="0"/>
              <w:rPr>
                <w:sz w:val="20"/>
                <w:szCs w:val="20"/>
                <w:color w:val="auto"/>
              </w:rPr>
            </w:pPr>
            <w:r>
              <w:rPr>
                <w:rFonts w:ascii="Arial" w:cs="Arial" w:eastAsia="Arial" w:hAnsi="Arial"/>
                <w:sz w:val="18"/>
                <w:szCs w:val="18"/>
                <w:color w:val="auto"/>
              </w:rPr>
              <w:t>Accrued payroll and related benefits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39,323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36,646</w:t>
            </w:r>
          </w:p>
        </w:tc>
      </w:tr>
      <w:tr>
        <w:trPr>
          <w:trHeight w:val="27"/>
        </w:trPr>
        <w:tc>
          <w:tcPr>
            <w:tcW w:w="1280" w:type="dxa"/>
            <w:vAlign w:val="bottom"/>
            <w:gridSpan w:val="2"/>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Accrued self-insurance reserves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10,933</w:t>
            </w:r>
          </w:p>
        </w:tc>
      </w:tr>
      <w:tr>
        <w:trPr>
          <w:trHeight w:val="243"/>
        </w:trPr>
        <w:tc>
          <w:tcPr>
            <w:tcW w:w="8240" w:type="dxa"/>
            <w:vAlign w:val="bottom"/>
            <w:gridSpan w:val="4"/>
          </w:tcPr>
          <w:p>
            <w:pPr>
              <w:ind w:left="380"/>
              <w:spacing w:after="0"/>
              <w:rPr>
                <w:sz w:val="20"/>
                <w:szCs w:val="20"/>
                <w:color w:val="auto"/>
              </w:rPr>
            </w:pPr>
            <w:r>
              <w:rPr>
                <w:rFonts w:ascii="Arial" w:cs="Arial" w:eastAsia="Arial" w:hAnsi="Arial"/>
                <w:sz w:val="18"/>
                <w:szCs w:val="18"/>
                <w:color w:val="auto"/>
              </w:rPr>
              <w:t>Billings on contracts in excess of costs and earnings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26,961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12,461</w:t>
            </w:r>
          </w:p>
        </w:tc>
      </w:tr>
      <w:tr>
        <w:trPr>
          <w:trHeight w:val="27"/>
        </w:trPr>
        <w:tc>
          <w:tcPr>
            <w:tcW w:w="1280" w:type="dxa"/>
            <w:vAlign w:val="bottom"/>
            <w:gridSpan w:val="2"/>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79,696</w:t>
            </w:r>
          </w:p>
        </w:tc>
      </w:tr>
      <w:tr>
        <w:trPr>
          <w:trHeight w:val="237"/>
        </w:trPr>
        <w:tc>
          <w:tcPr>
            <w:tcW w:w="540" w:type="dxa"/>
            <w:vAlign w:val="bottom"/>
          </w:tcPr>
          <w:p>
            <w:pPr>
              <w:spacing w:after="0"/>
              <w:rPr>
                <w:sz w:val="20"/>
                <w:szCs w:val="20"/>
                <w:color w:val="auto"/>
              </w:rPr>
            </w:pPr>
          </w:p>
        </w:tc>
        <w:tc>
          <w:tcPr>
            <w:tcW w:w="7700" w:type="dxa"/>
            <w:vAlign w:val="bottom"/>
            <w:gridSpan w:val="3"/>
          </w:tcPr>
          <w:p>
            <w:pPr>
              <w:ind w:left="1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212,646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208,152</w:t>
            </w:r>
          </w:p>
        </w:tc>
      </w:tr>
      <w:tr>
        <w:trPr>
          <w:trHeight w:val="27"/>
        </w:trPr>
        <w:tc>
          <w:tcPr>
            <w:tcW w:w="1280" w:type="dxa"/>
            <w:vAlign w:val="bottom"/>
            <w:tcBorders>
              <w:bottom w:val="single" w:sz="8" w:color="CCEEFF"/>
            </w:tcBorders>
            <w:gridSpan w:val="2"/>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232,726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215,860</w:t>
            </w:r>
          </w:p>
        </w:tc>
      </w:tr>
      <w:tr>
        <w:trPr>
          <w:trHeight w:val="243"/>
        </w:trPr>
        <w:tc>
          <w:tcPr>
            <w:tcW w:w="8240" w:type="dxa"/>
            <w:vAlign w:val="bottom"/>
            <w:gridSpan w:val="4"/>
          </w:tcPr>
          <w:p>
            <w:pPr>
              <w:ind w:left="40"/>
              <w:spacing w:after="0"/>
              <w:rPr>
                <w:sz w:val="20"/>
                <w:szCs w:val="20"/>
                <w:color w:val="auto"/>
              </w:rPr>
            </w:pPr>
            <w:r>
              <w:rPr>
                <w:rFonts w:ascii="Arial" w:cs="Arial" w:eastAsia="Arial" w:hAnsi="Arial"/>
                <w:sz w:val="18"/>
                <w:szCs w:val="18"/>
                <w:color w:val="auto"/>
              </w:rPr>
              <w:t>Long-term self-insurance reserves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19,329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16,307</w:t>
            </w:r>
          </w:p>
        </w:tc>
      </w:tr>
      <w:tr>
        <w:trPr>
          <w:trHeight w:val="27"/>
        </w:trPr>
        <w:tc>
          <w:tcPr>
            <w:tcW w:w="1280" w:type="dxa"/>
            <w:vAlign w:val="bottom"/>
            <w:gridSpan w:val="2"/>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85,405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70,646</w:t>
            </w:r>
          </w:p>
        </w:tc>
      </w:tr>
      <w:tr>
        <w:trPr>
          <w:trHeight w:val="243"/>
        </w:trPr>
        <w:tc>
          <w:tcPr>
            <w:tcW w:w="8240" w:type="dxa"/>
            <w:vAlign w:val="bottom"/>
            <w:gridSpan w:val="4"/>
          </w:tcPr>
          <w:p>
            <w:pPr>
              <w:ind w:left="40"/>
              <w:spacing w:after="0"/>
              <w:rPr>
                <w:sz w:val="20"/>
                <w:szCs w:val="20"/>
                <w:color w:val="auto"/>
              </w:rPr>
            </w:pPr>
            <w:r>
              <w:rPr>
                <w:rFonts w:ascii="Arial" w:cs="Arial" w:eastAsia="Arial" w:hAnsi="Arial"/>
                <w:sz w:val="18"/>
                <w:szCs w:val="18"/>
                <w:color w:val="auto"/>
              </w:rPr>
              <w:t>Commitments and contingent liabilities (Note 8)</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1280" w:type="dxa"/>
            <w:vAlign w:val="bottom"/>
            <w:gridSpan w:val="2"/>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9"/>
        </w:trPr>
        <w:tc>
          <w:tcPr>
            <w:tcW w:w="8240" w:type="dxa"/>
            <w:vAlign w:val="bottom"/>
            <w:gridSpan w:val="4"/>
          </w:tcPr>
          <w:p>
            <w:pPr>
              <w:ind w:left="380"/>
              <w:spacing w:after="0"/>
              <w:rPr>
                <w:sz w:val="20"/>
                <w:szCs w:val="20"/>
                <w:color w:val="auto"/>
              </w:rPr>
            </w:pPr>
            <w:r>
              <w:rPr>
                <w:rFonts w:ascii="Arial" w:cs="Arial" w:eastAsia="Arial" w:hAnsi="Arial"/>
                <w:sz w:val="18"/>
                <w:szCs w:val="18"/>
                <w:color w:val="auto"/>
                <w:w w:val="93"/>
              </w:rPr>
              <w:t>Common stock of $0.33-1/3 par value; authorized 50,000,000 shares; issued and outstanding 27,655,804</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40" w:type="dxa"/>
            <w:vAlign w:val="bottom"/>
          </w:tcPr>
          <w:p>
            <w:pPr>
              <w:spacing w:after="0"/>
              <w:rPr>
                <w:sz w:val="20"/>
                <w:szCs w:val="20"/>
                <w:color w:val="auto"/>
              </w:rPr>
            </w:pPr>
          </w:p>
        </w:tc>
        <w:tc>
          <w:tcPr>
            <w:tcW w:w="7700" w:type="dxa"/>
            <w:vAlign w:val="bottom"/>
            <w:gridSpan w:val="3"/>
          </w:tcPr>
          <w:p>
            <w:pPr>
              <w:spacing w:after="0"/>
              <w:rPr>
                <w:sz w:val="20"/>
                <w:szCs w:val="20"/>
                <w:color w:val="auto"/>
              </w:rPr>
            </w:pPr>
            <w:r>
              <w:rPr>
                <w:rFonts w:ascii="Arial" w:cs="Arial" w:eastAsia="Arial" w:hAnsi="Arial"/>
                <w:sz w:val="18"/>
                <w:szCs w:val="18"/>
                <w:color w:val="auto"/>
              </w:rPr>
              <w:t>and 28,158,042 respectively</w:t>
            </w: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9,219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9,386</w:t>
            </w:r>
          </w:p>
        </w:tc>
      </w:tr>
      <w:tr>
        <w:trPr>
          <w:trHeight w:val="27"/>
        </w:trPr>
        <w:tc>
          <w:tcPr>
            <w:tcW w:w="1280" w:type="dxa"/>
            <w:vAlign w:val="bottom"/>
            <w:gridSpan w:val="2"/>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154,095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152,763</w:t>
            </w:r>
          </w:p>
        </w:tc>
      </w:tr>
      <w:tr>
        <w:trPr>
          <w:trHeight w:val="243"/>
        </w:trPr>
        <w:tc>
          <w:tcPr>
            <w:tcW w:w="8240" w:type="dxa"/>
            <w:vAlign w:val="bottom"/>
            <w:gridSpan w:val="4"/>
          </w:tcPr>
          <w:p>
            <w:pPr>
              <w:ind w:left="38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400,289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373,259</w:t>
            </w:r>
          </w:p>
        </w:tc>
      </w:tr>
      <w:tr>
        <w:trPr>
          <w:trHeight w:val="27"/>
        </w:trPr>
        <w:tc>
          <w:tcPr>
            <w:tcW w:w="1280" w:type="dxa"/>
            <w:vAlign w:val="bottom"/>
            <w:gridSpan w:val="2"/>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Common stock held in trust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w:t>
            </w:r>
          </w:p>
        </w:tc>
      </w:tr>
      <w:tr>
        <w:trPr>
          <w:trHeight w:val="243"/>
        </w:trPr>
        <w:tc>
          <w:tcPr>
            <w:tcW w:w="8240" w:type="dxa"/>
            <w:vAlign w:val="bottom"/>
            <w:gridSpan w:val="4"/>
          </w:tcPr>
          <w:p>
            <w:pPr>
              <w:ind w:left="380"/>
              <w:spacing w:after="0"/>
              <w:rPr>
                <w:sz w:val="20"/>
                <w:szCs w:val="20"/>
                <w:color w:val="auto"/>
              </w:rPr>
            </w:pPr>
            <w:r>
              <w:rPr>
                <w:rFonts w:ascii="Arial" w:cs="Arial" w:eastAsia="Arial" w:hAnsi="Arial"/>
                <w:sz w:val="18"/>
                <w:szCs w:val="18"/>
                <w:color w:val="auto"/>
              </w:rPr>
              <w:t>Deferred compensation obligations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922</w:t>
            </w:r>
          </w:p>
        </w:tc>
      </w:tr>
      <w:tr>
        <w:trPr>
          <w:trHeight w:val="27"/>
        </w:trPr>
        <w:tc>
          <w:tcPr>
            <w:tcW w:w="1280" w:type="dxa"/>
            <w:vAlign w:val="bottom"/>
            <w:gridSpan w:val="2"/>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(24,053)</w:t>
            </w:r>
          </w:p>
        </w:tc>
      </w:tr>
      <w:tr>
        <w:trPr>
          <w:trHeight w:val="237"/>
        </w:trPr>
        <w:tc>
          <w:tcPr>
            <w:tcW w:w="540" w:type="dxa"/>
            <w:vAlign w:val="bottom"/>
          </w:tcPr>
          <w:p>
            <w:pPr>
              <w:spacing w:after="0"/>
              <w:rPr>
                <w:sz w:val="20"/>
                <w:szCs w:val="20"/>
                <w:color w:val="auto"/>
              </w:rPr>
            </w:pPr>
          </w:p>
        </w:tc>
        <w:tc>
          <w:tcPr>
            <w:tcW w:w="7700" w:type="dxa"/>
            <w:vAlign w:val="bottom"/>
            <w:gridSpan w:val="3"/>
          </w:tcPr>
          <w:p>
            <w:pPr>
              <w:ind w:left="18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530,874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511,355</w:t>
            </w:r>
          </w:p>
        </w:tc>
      </w:tr>
      <w:tr>
        <w:trPr>
          <w:trHeight w:val="27"/>
        </w:trPr>
        <w:tc>
          <w:tcPr>
            <w:tcW w:w="5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7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1,080,980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1,022,320</w:t>
            </w: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8"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2"/>
              </w:rPr>
              <w:t>December 1, 2018</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2"/>
              </w:rPr>
              <w:t>December 2, 2017</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1,</w:t>
            </w:r>
          </w:p>
        </w:tc>
        <w:tc>
          <w:tcPr>
            <w:tcW w:w="180" w:type="dxa"/>
            <w:vAlign w:val="bottom"/>
          </w:tcPr>
          <w:p>
            <w:pPr>
              <w:spacing w:after="0"/>
              <w:rPr>
                <w:sz w:val="13"/>
                <w:szCs w:val="13"/>
                <w:color w:val="auto"/>
              </w:rPr>
            </w:pPr>
          </w:p>
        </w:tc>
        <w:tc>
          <w:tcPr>
            <w:tcW w:w="1080" w:type="dxa"/>
            <w:vAlign w:val="bottom"/>
          </w:tcPr>
          <w:p>
            <w:pPr>
              <w:jc w:val="right"/>
              <w:ind w:right="172"/>
              <w:spacing w:after="0" w:line="153" w:lineRule="exact"/>
              <w:rPr>
                <w:sz w:val="20"/>
                <w:szCs w:val="20"/>
                <w:color w:val="auto"/>
              </w:rPr>
            </w:pPr>
            <w:r>
              <w:rPr>
                <w:rFonts w:ascii="Arial" w:cs="Arial" w:eastAsia="Arial" w:hAnsi="Arial"/>
                <w:sz w:val="14"/>
                <w:szCs w:val="14"/>
                <w:b w:val="1"/>
                <w:bCs w:val="1"/>
                <w:color w:val="auto"/>
                <w:w w:val="96"/>
              </w:rPr>
              <w:t>December 2,</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357,718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356,506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1,056,382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972,721</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273,628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264,947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807,096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724,868</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84,090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91,559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249,286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247,853</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52,682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57,024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167,224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161,438</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34,535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82,062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86,415</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3,689</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Other (expense) income, net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Earnings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33,350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75,808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83,676</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6,730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9,704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18,030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26,517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earnings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57,778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57,159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Earnings per share - basic</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gridSpan w:val="2"/>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 - 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Weighted average basic shares outstanding</w:t>
            </w:r>
          </w:p>
        </w:tc>
        <w:tc>
          <w:tcPr>
            <w:tcW w:w="1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27,836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28,736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28,030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28,812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28,156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28,818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28,304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28,862</w:t>
            </w:r>
          </w:p>
        </w:tc>
        <w:tc>
          <w:tcPr>
            <w:tcW w:w="0" w:type="dxa"/>
            <w:vAlign w:val="bottom"/>
          </w:tcPr>
          <w:p>
            <w:pPr>
              <w:spacing w:after="0"/>
              <w:rPr>
                <w:sz w:val="1"/>
                <w:szCs w:val="1"/>
                <w:color w:val="auto"/>
              </w:rPr>
            </w:pPr>
          </w:p>
        </w:tc>
      </w:tr>
      <w:tr>
        <w:trPr>
          <w:trHeight w:val="27"/>
        </w:trPr>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1"/>
              </w:rPr>
              <w:t>December 1, 2018</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1"/>
              </w:rPr>
              <w:t>December 2, 2017</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1,</w:t>
            </w:r>
          </w:p>
        </w:tc>
        <w:tc>
          <w:tcPr>
            <w:tcW w:w="180" w:type="dxa"/>
            <w:vAlign w:val="bottom"/>
          </w:tcPr>
          <w:p>
            <w:pPr>
              <w:spacing w:after="0"/>
              <w:rPr>
                <w:sz w:val="13"/>
                <w:szCs w:val="13"/>
                <w:color w:val="auto"/>
              </w:rPr>
            </w:pPr>
          </w:p>
        </w:tc>
        <w:tc>
          <w:tcPr>
            <w:tcW w:w="108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w w:val="96"/>
              </w:rPr>
              <w:t>December 2,</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21,891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23,646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57,778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57,159</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Other comprehensive (loss) earnings:</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3"/>
              </w:rPr>
              <w:t>Unrealized loss on marketable securities, net of $16, $78, $25 and $28 of</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tax benefit,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5840" w:type="dxa"/>
            <w:vAlign w:val="bottom"/>
            <w:gridSpan w:val="2"/>
          </w:tcPr>
          <w:p>
            <w:pPr>
              <w:ind w:left="380"/>
              <w:spacing w:after="0"/>
              <w:rPr>
                <w:sz w:val="20"/>
                <w:szCs w:val="20"/>
                <w:color w:val="auto"/>
              </w:rPr>
            </w:pPr>
            <w:r>
              <w:rPr>
                <w:rFonts w:ascii="Arial" w:cs="Arial" w:eastAsia="Arial" w:hAnsi="Arial"/>
                <w:sz w:val="18"/>
                <w:szCs w:val="18"/>
                <w:color w:val="auto"/>
                <w:w w:val="97"/>
              </w:rPr>
              <w:t>Unrealized gain (loss) on foreign currency hedge, net of $10, $-, ($99)</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ind w:left="540"/>
              <w:spacing w:after="0"/>
              <w:rPr>
                <w:sz w:val="20"/>
                <w:szCs w:val="20"/>
                <w:color w:val="auto"/>
              </w:rPr>
            </w:pPr>
            <w:r>
              <w:rPr>
                <w:rFonts w:ascii="Arial" w:cs="Arial" w:eastAsia="Arial" w:hAnsi="Arial"/>
                <w:sz w:val="18"/>
                <w:szCs w:val="18"/>
                <w:color w:val="auto"/>
              </w:rPr>
              <w:t>and $- of tax expense (benefit), respectively</w:t>
            </w:r>
          </w:p>
        </w:tc>
        <w:tc>
          <w:tcPr>
            <w:tcW w:w="14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10,652</w:t>
            </w:r>
          </w:p>
        </w:tc>
        <w:tc>
          <w:tcPr>
            <w:tcW w:w="0" w:type="dxa"/>
            <w:vAlign w:val="bottom"/>
          </w:tcPr>
          <w:p>
            <w:pPr>
              <w:spacing w:after="0"/>
              <w:rPr>
                <w:sz w:val="1"/>
                <w:szCs w:val="1"/>
                <w:color w:val="auto"/>
              </w:rPr>
            </w:pP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Other comprehensive (loss) earnings</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10,601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comprehensive earnings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18,244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19,665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49,843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67,760</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1"/>
              </w:rPr>
              <w:t>December 1, 2018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1"/>
              </w:rPr>
              <w:t>December 2, 2017</w:t>
            </w: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Net earnings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57,778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57,159</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38,378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39,774</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Share-based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4,645</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10,600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(3,339)</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Gain on disposal of assets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Proceeds from New Markets Tax Credit transaction, net of deferred costs</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8,850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Receivables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(16,131)</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4,398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(1,915)</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Costs and earnings on contracts in excess of billings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(27,449)</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Billings on contracts in excess of costs and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9,869</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Refundable and accrued income taxes</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7,108</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(2,685)</w:t>
            </w:r>
          </w:p>
        </w:tc>
      </w:tr>
      <w:tr>
        <w:trPr>
          <w:trHeight w:val="237"/>
        </w:trPr>
        <w:tc>
          <w:tcPr>
            <w:tcW w:w="8580" w:type="dxa"/>
            <w:vAlign w:val="bottom"/>
            <w:gridSpan w:val="2"/>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70,644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66,239</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(33,867)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(38,946)</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sales of 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Acquisition of business, net of cash acquired</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(184,826)</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Purchases of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(10,154)</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Sales/maturities of marketable securities</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5,813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9,288</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941</w:t>
            </w:r>
          </w:p>
        </w:tc>
      </w:tr>
      <w:tr>
        <w:trPr>
          <w:trHeight w:val="237"/>
        </w:trPr>
        <w:tc>
          <w:tcPr>
            <w:tcW w:w="8580" w:type="dxa"/>
            <w:vAlign w:val="bottom"/>
            <w:gridSpan w:val="2"/>
          </w:tcPr>
          <w:p>
            <w:pPr>
              <w:ind w:left="72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(26,937)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(223,444)</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Borrowings on line of credit</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294,500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314,700</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 on line of credit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(150,700)</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Shares withheld for taxes, net of stock issued to employees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(1,561)</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Repurchase and retirement of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(10,833)</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Dividends paid</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(11,971)</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2,039</w:t>
            </w:r>
          </w:p>
        </w:tc>
      </w:tr>
      <w:tr>
        <w:trPr>
          <w:trHeight w:val="237"/>
        </w:trPr>
        <w:tc>
          <w:tcPr>
            <w:tcW w:w="8580" w:type="dxa"/>
            <w:vAlign w:val="bottom"/>
            <w:gridSpan w:val="2"/>
          </w:tcPr>
          <w:p>
            <w:pPr>
              <w:ind w:left="720"/>
              <w:spacing w:after="0"/>
              <w:rPr>
                <w:sz w:val="20"/>
                <w:szCs w:val="20"/>
                <w:color w:val="auto"/>
              </w:rPr>
            </w:pPr>
            <w:r>
              <w:rPr>
                <w:rFonts w:ascii="Arial" w:cs="Arial" w:eastAsia="Arial" w:hAnsi="Arial"/>
                <w:sz w:val="18"/>
                <w:szCs w:val="18"/>
                <w:color w:val="auto"/>
              </w:rPr>
              <w:t>Net cash (used in) provided by financing activities</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(21,171)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141,674</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(15,531)</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Effect of exchange rates on cash</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1,079</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year</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27,297</w:t>
            </w: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41,397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12,845</w:t>
            </w:r>
          </w:p>
        </w:tc>
      </w:tr>
      <w:tr>
        <w:trPr>
          <w:trHeight w:val="67"/>
        </w:trPr>
        <w:tc>
          <w:tcPr>
            <w:tcW w:w="84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1"/>
        </w:trPr>
        <w:tc>
          <w:tcPr>
            <w:tcW w:w="858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Noncash Activity</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Capital expenditures in 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5,771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1,859</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Common</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Deferred</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Accumulated Other</w:t>
            </w: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Common Shares</w:t>
            </w:r>
          </w:p>
        </w:tc>
        <w:tc>
          <w:tcPr>
            <w:tcW w:w="140" w:type="dxa"/>
            <w:vAlign w:val="bottom"/>
          </w:tcPr>
          <w:p>
            <w:pPr>
              <w:spacing w:after="0"/>
              <w:rPr>
                <w:sz w:val="12"/>
                <w:szCs w:val="12"/>
                <w:color w:val="auto"/>
              </w:rPr>
            </w:pP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Common</w:t>
            </w:r>
          </w:p>
        </w:tc>
        <w:tc>
          <w:tcPr>
            <w:tcW w:w="11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Additional Paid-</w:t>
            </w:r>
          </w:p>
        </w:tc>
        <w:tc>
          <w:tcPr>
            <w:tcW w:w="140" w:type="dxa"/>
            <w:vAlign w:val="bottom"/>
          </w:tcPr>
          <w:p>
            <w:pPr>
              <w:spacing w:after="0"/>
              <w:rPr>
                <w:sz w:val="12"/>
                <w:szCs w:val="12"/>
                <w:color w:val="auto"/>
              </w:rPr>
            </w:pP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Retained</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Stock Held in</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40" w:type="dxa"/>
            <w:vAlign w:val="bottom"/>
          </w:tcPr>
          <w:p>
            <w:pPr>
              <w:spacing w:after="0"/>
              <w:rPr>
                <w:sz w:val="12"/>
                <w:szCs w:val="12"/>
                <w:color w:val="auto"/>
              </w:rPr>
            </w:pPr>
          </w:p>
        </w:tc>
        <w:tc>
          <w:tcPr>
            <w:tcW w:w="110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5"/>
              </w:rPr>
              <w:t>Comprehensive</w:t>
            </w:r>
          </w:p>
        </w:tc>
      </w:tr>
      <w:tr>
        <w:trPr>
          <w:trHeight w:val="18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8"/>
              </w:rPr>
              <w:t>In Capital</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5"/>
              </w:rPr>
              <w:t>Trust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Obligation</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4"/>
              </w:rPr>
              <w:t>(Loss) Income</w:t>
            </w:r>
          </w:p>
        </w:tc>
      </w:tr>
      <w:tr>
        <w:trPr>
          <w:trHeight w:val="25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March 3, 2018</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28,158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9,386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152,763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373,259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922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(24,053)</w:t>
            </w:r>
          </w:p>
        </w:tc>
      </w:tr>
      <w:tr>
        <w:trPr>
          <w:trHeight w:val="263"/>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Cumulative effect adjustment (see Note 1)</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2,999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Reclassification of tax effects (see Note 1)</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737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w:t>
            </w:r>
          </w:p>
        </w:tc>
      </w:tr>
      <w:tr>
        <w:trPr>
          <w:trHeight w:val="263"/>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Net earnings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57,778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17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5"/>
              </w:rPr>
              <w:t>Unrealized loss on marketable securities, net of $25 tax</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8"/>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benefit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r>
      <w:tr>
        <w:trPr>
          <w:trHeight w:val="163"/>
        </w:trPr>
        <w:tc>
          <w:tcPr>
            <w:tcW w:w="3340" w:type="dxa"/>
            <w:vAlign w:val="bottom"/>
            <w:gridSpan w:val="2"/>
          </w:tcPr>
          <w:p>
            <w:pPr>
              <w:ind w:left="40"/>
              <w:spacing w:after="0"/>
              <w:rPr>
                <w:sz w:val="20"/>
                <w:szCs w:val="20"/>
                <w:color w:val="auto"/>
              </w:rPr>
            </w:pPr>
            <w:r>
              <w:rPr>
                <w:rFonts w:ascii="Arial" w:cs="Arial" w:eastAsia="Arial" w:hAnsi="Arial"/>
                <w:sz w:val="14"/>
                <w:szCs w:val="14"/>
                <w:color w:val="auto"/>
                <w:w w:val="92"/>
              </w:rPr>
              <w:t>Unrealized loss on foreign currency hedge, net of $99 tax</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1"/>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benefit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(327)</w:t>
            </w:r>
          </w:p>
        </w:tc>
      </w:tr>
      <w:tr>
        <w:trPr>
          <w:trHeight w:val="27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Foreign currency translation adjustments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(7,522)</w:t>
            </w:r>
          </w:p>
        </w:tc>
      </w:tr>
      <w:tr>
        <w:trPr>
          <w:trHeight w:val="263"/>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Issuance of stock, net of cancellations</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4,724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3"/>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Exercise of stock options</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Share repurchases</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(600)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(3,436)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(19,677)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3"/>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Other share retirements</w:t>
            </w: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(1,627)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1"/>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dividends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(13,180)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83"/>
        </w:trPr>
        <w:tc>
          <w:tcPr>
            <w:tcW w:w="33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Balance at December 1, 2018</w:t>
            </w:r>
          </w:p>
        </w:tc>
        <w:tc>
          <w:tcPr>
            <w:tcW w:w="1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27,656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9,219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154,095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400,289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(745)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745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(32,729)</w:t>
            </w:r>
          </w:p>
        </w:tc>
      </w:tr>
      <w:tr>
        <w:trPr>
          <w:trHeight w:val="305"/>
        </w:trPr>
        <w:tc>
          <w:tcPr>
            <w:tcW w:w="3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3"/>
        </w:trPr>
        <w:tc>
          <w:tcPr>
            <w:tcW w:w="334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 at March 4, 2017</w:t>
            </w:r>
          </w:p>
        </w:tc>
        <w:tc>
          <w:tcPr>
            <w:tcW w:w="1160" w:type="dxa"/>
            <w:vAlign w:val="bottom"/>
          </w:tcPr>
          <w:p>
            <w:pPr>
              <w:jc w:val="right"/>
              <w:ind w:right="52"/>
              <w:spacing w:after="0"/>
              <w:rPr>
                <w:sz w:val="20"/>
                <w:szCs w:val="20"/>
                <w:color w:val="auto"/>
              </w:rPr>
            </w:pPr>
            <w:r>
              <w:rPr>
                <w:rFonts w:ascii="Arial" w:cs="Arial" w:eastAsia="Arial" w:hAnsi="Arial"/>
                <w:sz w:val="14"/>
                <w:szCs w:val="14"/>
                <w:b w:val="1"/>
                <w:bCs w:val="1"/>
                <w:color w:val="auto"/>
              </w:rPr>
              <w:t>28,680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ind w:right="52"/>
              <w:spacing w:after="0"/>
              <w:rPr>
                <w:sz w:val="20"/>
                <w:szCs w:val="20"/>
                <w:color w:val="auto"/>
              </w:rPr>
            </w:pPr>
            <w:r>
              <w:rPr>
                <w:rFonts w:ascii="Arial" w:cs="Arial" w:eastAsia="Arial" w:hAnsi="Arial"/>
                <w:sz w:val="14"/>
                <w:szCs w:val="14"/>
                <w:b w:val="1"/>
                <w:bCs w:val="1"/>
                <w:color w:val="auto"/>
              </w:rPr>
              <w:t>9,560</w:t>
            </w:r>
          </w:p>
        </w:tc>
        <w:tc>
          <w:tcPr>
            <w:tcW w:w="120" w:type="dxa"/>
            <w:vAlign w:val="bottom"/>
          </w:tcPr>
          <w:p>
            <w:pPr>
              <w:spacing w:after="0"/>
              <w:rPr>
                <w:sz w:val="22"/>
                <w:szCs w:val="22"/>
                <w:color w:val="auto"/>
              </w:rPr>
            </w:pPr>
          </w:p>
        </w:tc>
        <w:tc>
          <w:tcPr>
            <w:tcW w:w="180" w:type="dxa"/>
            <w:vAlign w:val="bottom"/>
          </w:tcPr>
          <w:p>
            <w:pPr>
              <w:jc w:val="right"/>
              <w:ind w:right="12"/>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52"/>
              <w:spacing w:after="0"/>
              <w:rPr>
                <w:sz w:val="20"/>
                <w:szCs w:val="20"/>
                <w:color w:val="auto"/>
              </w:rPr>
            </w:pPr>
            <w:r>
              <w:rPr>
                <w:rFonts w:ascii="Arial" w:cs="Arial" w:eastAsia="Arial" w:hAnsi="Arial"/>
                <w:sz w:val="14"/>
                <w:szCs w:val="14"/>
                <w:b w:val="1"/>
                <w:bCs w:val="1"/>
                <w:color w:val="auto"/>
              </w:rPr>
              <w:t>150,111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b w:val="1"/>
                <w:bCs w:val="1"/>
                <w:color w:val="auto"/>
              </w:rPr>
              <w:t>341,996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(875)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32"/>
              <w:spacing w:after="0"/>
              <w:rPr>
                <w:sz w:val="20"/>
                <w:szCs w:val="20"/>
                <w:color w:val="auto"/>
              </w:rPr>
            </w:pPr>
            <w:r>
              <w:rPr>
                <w:rFonts w:ascii="Arial" w:cs="Arial" w:eastAsia="Arial" w:hAnsi="Arial"/>
                <w:sz w:val="14"/>
                <w:szCs w:val="14"/>
                <w:b w:val="1"/>
                <w:bCs w:val="1"/>
                <w:color w:val="auto"/>
              </w:rPr>
              <w:t>875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(31,090)</w:t>
            </w:r>
          </w:p>
        </w:tc>
      </w:tr>
      <w:tr>
        <w:trPr>
          <w:trHeight w:val="27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earnings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57,159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163"/>
        </w:trPr>
        <w:tc>
          <w:tcPr>
            <w:tcW w:w="3340" w:type="dxa"/>
            <w:vAlign w:val="bottom"/>
            <w:gridSpan w:val="2"/>
          </w:tcPr>
          <w:p>
            <w:pPr>
              <w:ind w:left="40"/>
              <w:spacing w:after="0"/>
              <w:rPr>
                <w:sz w:val="20"/>
                <w:szCs w:val="20"/>
                <w:color w:val="auto"/>
              </w:rPr>
            </w:pPr>
            <w:r>
              <w:rPr>
                <w:rFonts w:ascii="Arial" w:cs="Arial" w:eastAsia="Arial" w:hAnsi="Arial"/>
                <w:sz w:val="14"/>
                <w:szCs w:val="14"/>
                <w:color w:val="auto"/>
                <w:w w:val="95"/>
              </w:rPr>
              <w:t>Unrealized loss on marketable securities, net of $28 tax</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1"/>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benefit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7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Foreign currency translation adjustments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10,652</w:t>
            </w:r>
          </w:p>
        </w:tc>
      </w:tr>
      <w:tr>
        <w:trPr>
          <w:trHeight w:val="263"/>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Issuance of stock, net of cancellations</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4,645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3"/>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Exercise of stock options</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801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Share repurchases</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(1,091)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3"/>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Other share retirements</w:t>
            </w: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(2,229)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1"/>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dividends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(11,971)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 at December 2, 2017</w:t>
            </w:r>
          </w:p>
        </w:tc>
        <w:tc>
          <w:tcPr>
            <w:tcW w:w="1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28,641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9,547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154,357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375,280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(908)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908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(20,489)</w:t>
            </w: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consolidated financial statements of Apogee Enterprises, Inc. (we, us, our or the Company) have been prepared in accordance with accounting principles generally accepted in the United States. The information included in this Form 10-Q should be read in conjunction with the Company’s Form 10-K for the year ended March 3, 2018. We use the same accounting policies in preparing quarterly and annual financial statements. All adjustments necessary for a fair presentation of quarterly operating results are reflected herein and are of a normal, recurring nature. The results of operations for the nine-month period ended December 1, 2018 are not necessarily indicative of the results to be expected for the full year.</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prior-year amounts have been reclassified for consistency with the current year presentation. These reclassifications had no effect on the consolidated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update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significant accounting policies are included in Note 1 "Summary of Significant Accounting Policies and Related Data" of our Annual Report on Form 10-K for the year ended March 3, 2018. On March 4, 2018, we adopted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as a result, made updates to our significant accounting policy for revenue recognition.</w:t>
      </w:r>
    </w:p>
    <w:p>
      <w:pPr>
        <w:spacing w:after="0" w:line="1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generate revenue from the design, engineering and fabrication of architectural glass, curtainwall, window, storefront and entrance systems, and from installing those products on commercial buildings. We also manufacture value-added glass and acrylic products. Due to the diverse nature of our operations and various types of contracts with customers, we have businesses that recognize revenue over time and businesses that recognize revenue at a point in time.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current year-to-date period, approximately 46 percent of our total revenue is recognized at the time products are shipped from our manufacturing facilities, which is when control is transferred to our customer, consistent with past practices. These businesses do not generate contract-related assets or liabilities. Variable consideration associated with these contracts and orders, generally related to early pay discounts or volume rebates, is not considered significant.</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also have three businesses which operate under long-term, fixed-price contracts, representing approximately 33 percent of our total revenue in the current year. This includes one business which changed revenue recognition practices due to the adoption of the new guidance, moving from recognizing revenue at shipment to an over-time method of revenue recognition. The contracts for these businesses have a single, bundled performance obligation, as these businesses generally provide interrelated products and services and integrate these products and services into a combined output specified by the customer. The customer obtains control of this combined output, generally integrated window systems or installed window and curtainwall systems, over time. We measure progress on these contracts following an input method, by comparing total costs incurred to-date to the total estimated costs for the contract, and record that proportion of the total contract price as revenue in the period. Contract costs include materials, labor and other direct costs related to contract performance. We believe this method of recognizing revenue is consistent with our progress in satisfying our contract obligations.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Due to the nature of the work required under these long-term contracts, the estimation of total revenue and costs incurred throughout a project is subject to many variables and requires significant judgment. It is common for these contracts to contain potential bonuses or penalties which are generally awarded or charged upon certain project milestones or cost or timing targets, and can be based on customer discretion. We estimate variable consideration at the most likely amount to which we expect to be entitled. We include estimated amounts in the transaction price to the extent that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our assessments of anticipated performance and all information (historical, current and forecasted) that is reasonably available to us.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Long-term contracts are often modified to account for changes in contract specifications and requirements of work to be performed. We consider contract modifications to exist when the modification, generally through a change order, either creates new or changes existing enforceable rights and obligations, and we evaluate these types of modifications to determine whether they may be considered distinct performance obligations. In many cases, these contract modifications are for goods or services that are not distinct from the existing contract, due to the significant integration service provided in the context of the contract. Therefore, these modifications are accounted for as part of the existing contract. The effect of a contract modification on the transaction price and our measure of progress is recognized as an adjustment to revenue, generally on a cumulative catch-up basis.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Typically, under these fixed-price contracts, we bill our customers following an agreed-upon schedule based on work performed. Because the progress billings do not generally correspond to our measurement of revenue on a contract, we generate contract assets when we have recognized revenue in excess of the amount billed to the customer. We generate contract liabilities when we have billed the customer in excess of revenue recognized on a contract.</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Finally, we have one business, making up approximately 21 percent of our total revenue in the current year, that recognizes revenue following an over-time output method based upon units produced. The customer is considered to have control over the products at the time of production, as the products are highly customized with no alternative use, and we have an enforceable right to payment for performance completed over the production period. We believe this over-time output method of recognizing revenue reasonably depicts the fulfillment of our performance obligations under our contracts. Previously, this business recognized revenue at the time of shipment. Billings still occur upon shipment. Therefore, contract assets are generated for the unbilled amounts on contracts when production is complete. Variable consideration associated with these orders, generally related to early pay discounts, is not considered significant.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outlined within the new accounting guidance, we elected several practical expedients in our transition to ASC 606:</w:t>
      </w:r>
    </w:p>
    <w:p>
      <w:pPr>
        <w:spacing w:after="0" w:line="23" w:lineRule="exact"/>
        <w:rPr>
          <w:sz w:val="20"/>
          <w:szCs w:val="20"/>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made an accounting policy election to account for shipping and handling activities that occur after control of the related goods transfers to the customer as fulfillment activities, instead of assessing such activities as performance obligations.</w:t>
      </w: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made an accounting policy election to exclude from the transaction price all sales taxes related to revenue-producing transactions that are collected from the customer for a government authority.</w:t>
      </w: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generally expense incremental costs of obtaining a contract when incurred because the amortization period would be less than one year. These costs primarily relate to sales commissions and are included in selling, general and administrative expenses.</w:t>
      </w:r>
    </w:p>
    <w:p>
      <w:pPr>
        <w:ind w:left="6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not adjusted contract price for a significant financing component, as we expect the period between when our goods and services are transferred to the customer and when the customer pays for those goods and services to be less than a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adopted the new guidance in ASC 606 using the modified retrospective transition method applied to those contracts which were not complete as of March 4, 2018. Prior period amounts were not adjusted and therefore continue to be reported in accordance with the accounting guidance and our accounting policies in effect for those periods.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Representing the cumulative effect of adopting ASC 606, we recorded a $3.0 million increase to the opening balance of retained earnings as of March 4, 2018. For the three- and nine-month periods ending December 1, 2018, the application of the new accounting guidance had the following impact on our consolidated financial statements: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4"/>
                <w:szCs w:val="14"/>
                <w:b w:val="1"/>
                <w:bCs w:val="1"/>
                <w:color w:val="auto"/>
                <w:w w:val="98"/>
              </w:rPr>
              <w:t>Three Months Ended December 1, 2018</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December 1, 2018</w:t>
            </w: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As reported</w:t>
            </w:r>
          </w:p>
        </w:tc>
        <w:tc>
          <w:tcPr>
            <w:tcW w:w="100" w:type="dxa"/>
            <w:vAlign w:val="bottom"/>
            <w:vMerge w:val="restart"/>
          </w:tcPr>
          <w:p>
            <w:pPr>
              <w:spacing w:after="0"/>
              <w:rPr>
                <w:sz w:val="13"/>
                <w:szCs w:val="13"/>
                <w:color w:val="auto"/>
              </w:rPr>
            </w:pPr>
          </w:p>
        </w:tc>
        <w:tc>
          <w:tcPr>
            <w:tcW w:w="1580" w:type="dxa"/>
            <w:vAlign w:val="bottom"/>
            <w:gridSpan w:val="3"/>
          </w:tcPr>
          <w:p>
            <w:pPr>
              <w:ind w:left="120"/>
              <w:spacing w:after="0" w:line="153" w:lineRule="exact"/>
              <w:rPr>
                <w:sz w:val="20"/>
                <w:szCs w:val="20"/>
                <w:color w:val="auto"/>
              </w:rPr>
            </w:pPr>
            <w:r>
              <w:rPr>
                <w:rFonts w:ascii="Arial" w:cs="Arial" w:eastAsia="Arial" w:hAnsi="Arial"/>
                <w:sz w:val="14"/>
                <w:szCs w:val="14"/>
                <w:b w:val="1"/>
                <w:bCs w:val="1"/>
                <w:color w:val="auto"/>
              </w:rPr>
              <w:t>Without adoption of</w:t>
            </w:r>
          </w:p>
        </w:tc>
        <w:tc>
          <w:tcPr>
            <w:tcW w:w="240" w:type="dxa"/>
            <w:vAlign w:val="bottom"/>
          </w:tcPr>
          <w:p>
            <w:pPr>
              <w:spacing w:after="0"/>
              <w:rPr>
                <w:sz w:val="13"/>
                <w:szCs w:val="13"/>
                <w:color w:val="auto"/>
              </w:rPr>
            </w:pPr>
          </w:p>
        </w:tc>
        <w:tc>
          <w:tcPr>
            <w:tcW w:w="12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As reported</w:t>
            </w:r>
          </w:p>
        </w:tc>
        <w:tc>
          <w:tcPr>
            <w:tcW w:w="100" w:type="dxa"/>
            <w:vAlign w:val="bottom"/>
            <w:vMerge w:val="restart"/>
          </w:tcPr>
          <w:p>
            <w:pPr>
              <w:spacing w:after="0"/>
              <w:rPr>
                <w:sz w:val="13"/>
                <w:szCs w:val="13"/>
                <w:color w:val="auto"/>
              </w:rPr>
            </w:pPr>
          </w:p>
        </w:tc>
        <w:tc>
          <w:tcPr>
            <w:tcW w:w="14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Without adoption of</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ASC 606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4"/>
              </w:rPr>
              <w:t>ASC 606</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357,718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355,765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1,056,382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1,042,600</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273,628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272,087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807,096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796,802</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84,090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83,678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249,286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245,798</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52,682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52,692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167,224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166,560</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31,408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82,062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79,238</w:t>
            </w: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17,355</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Net earnings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21,891</w:t>
            </w:r>
          </w:p>
        </w:tc>
        <w:tc>
          <w:tcPr>
            <w:tcW w:w="100" w:type="dxa"/>
            <w:vAlign w:val="bottom"/>
          </w:tcPr>
          <w:p>
            <w:pPr>
              <w:spacing w:after="0"/>
              <w:rPr>
                <w:sz w:val="21"/>
                <w:szCs w:val="21"/>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21,572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57,778</w:t>
            </w:r>
          </w:p>
        </w:tc>
        <w:tc>
          <w:tcPr>
            <w:tcW w:w="100" w:type="dxa"/>
            <w:vAlign w:val="bottom"/>
          </w:tcPr>
          <w:p>
            <w:pPr>
              <w:spacing w:after="0"/>
              <w:rPr>
                <w:sz w:val="21"/>
                <w:szCs w:val="21"/>
                <w:color w:val="auto"/>
              </w:rPr>
            </w:pPr>
          </w:p>
        </w:tc>
        <w:tc>
          <w:tcPr>
            <w:tcW w:w="300" w:type="dxa"/>
            <w:vAlign w:val="bottom"/>
          </w:tcPr>
          <w:p>
            <w:pPr>
              <w:jc w:val="right"/>
              <w:ind w:right="95"/>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55,628</w:t>
            </w:r>
          </w:p>
        </w:tc>
        <w:tc>
          <w:tcPr>
            <w:tcW w:w="0" w:type="dxa"/>
            <w:vAlign w:val="bottom"/>
          </w:tcPr>
          <w:p>
            <w:pPr>
              <w:spacing w:after="0"/>
              <w:rPr>
                <w:sz w:val="1"/>
                <w:szCs w:val="1"/>
                <w:color w:val="auto"/>
              </w:rPr>
            </w:pPr>
          </w:p>
        </w:tc>
      </w:tr>
      <w:tr>
        <w:trPr>
          <w:trHeight w:val="561"/>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4"/>
                <w:szCs w:val="14"/>
                <w:b w:val="1"/>
                <w:bCs w:val="1"/>
                <w:color w:val="auto"/>
              </w:rPr>
              <w:t>December 1, 2018</w:t>
            </w: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As reported</w:t>
            </w:r>
          </w:p>
        </w:tc>
        <w:tc>
          <w:tcPr>
            <w:tcW w:w="14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Without adoption of</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center"/>
              <w:ind w:right="193"/>
              <w:spacing w:after="0"/>
              <w:rPr>
                <w:sz w:val="20"/>
                <w:szCs w:val="20"/>
                <w:color w:val="auto"/>
              </w:rPr>
            </w:pPr>
            <w:r>
              <w:rPr>
                <w:rFonts w:ascii="Arial" w:cs="Arial" w:eastAsia="Arial" w:hAnsi="Arial"/>
                <w:sz w:val="14"/>
                <w:szCs w:val="14"/>
                <w:b w:val="1"/>
                <w:bCs w:val="1"/>
                <w:color w:val="auto"/>
                <w:w w:val="94"/>
              </w:rPr>
              <w:t>ASC 606</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79,847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89,250</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Costs and earnings on contracts in excess of billings</w:t>
            </w: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60,140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30,756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Billings on contracts in excess of costs and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25,923</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59,230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57,802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400,289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398,139</w:t>
            </w:r>
          </w:p>
        </w:tc>
        <w:tc>
          <w:tcPr>
            <w:tcW w:w="0" w:type="dxa"/>
            <w:vAlign w:val="bottom"/>
          </w:tcPr>
          <w:p>
            <w:pPr>
              <w:spacing w:after="0"/>
              <w:rPr>
                <w:sz w:val="1"/>
                <w:szCs w:val="1"/>
                <w:color w:val="auto"/>
              </w:rPr>
            </w:pPr>
          </w:p>
        </w:tc>
      </w:tr>
      <w:tr>
        <w:trPr>
          <w:trHeight w:val="459"/>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jc w:val="right"/>
              <w:ind w:right="79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changes are primarily a result of the transition of certain of our businesses from recognizing revenue at the time of shipment to over-time methods of revenue recognition.</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the first quarter of fiscal 2019, we elected to early adopt ASU 2018-02, </w:t>
      </w:r>
      <w:r>
        <w:rPr>
          <w:rFonts w:ascii="Arial" w:cs="Arial" w:eastAsia="Arial" w:hAnsi="Arial"/>
          <w:sz w:val="16"/>
          <w:szCs w:val="16"/>
          <w:i w:val="1"/>
          <w:iCs w:val="1"/>
          <w:color w:val="auto"/>
        </w:rPr>
        <w:t>Reclassification of Certain Tax Effects from Accumulated Other Comprehensive</w:t>
      </w:r>
      <w:r>
        <w:rPr>
          <w:rFonts w:ascii="Arial" w:cs="Arial" w:eastAsia="Arial" w:hAnsi="Arial"/>
          <w:sz w:val="16"/>
          <w:szCs w:val="16"/>
          <w:color w:val="auto"/>
        </w:rPr>
        <w:t xml:space="preserve"> </w:t>
      </w:r>
      <w:r>
        <w:rPr>
          <w:rFonts w:ascii="Arial" w:cs="Arial" w:eastAsia="Arial" w:hAnsi="Arial"/>
          <w:sz w:val="16"/>
          <w:szCs w:val="16"/>
          <w:i w:val="1"/>
          <w:iCs w:val="1"/>
          <w:color w:val="auto"/>
        </w:rPr>
        <w:t>Income</w:t>
      </w:r>
      <w:r>
        <w:rPr>
          <w:rFonts w:ascii="Arial" w:cs="Arial" w:eastAsia="Arial" w:hAnsi="Arial"/>
          <w:sz w:val="16"/>
          <w:szCs w:val="16"/>
          <w:color w:val="auto"/>
        </w:rPr>
        <w:t>. This standard permits a company to reclassify the disproportionate income tax effects of the 2017 Tax Cuts and Jobs Act on items within</w:t>
      </w:r>
      <w:r>
        <w:rPr>
          <w:rFonts w:ascii="Arial" w:cs="Arial" w:eastAsia="Arial" w:hAnsi="Arial"/>
          <w:sz w:val="16"/>
          <w:szCs w:val="16"/>
          <w:i w:val="1"/>
          <w:iCs w:val="1"/>
          <w:color w:val="auto"/>
        </w:rPr>
        <w:t xml:space="preserve"> </w:t>
      </w:r>
      <w:r>
        <w:rPr>
          <w:rFonts w:ascii="Arial" w:cs="Arial" w:eastAsia="Arial" w:hAnsi="Arial"/>
          <w:sz w:val="16"/>
          <w:szCs w:val="16"/>
          <w:color w:val="auto"/>
        </w:rPr>
        <w:t>accumulated other comprehensive income ("AOCI") to retained earnings. The FASB refers to these amounts as “stranded tax effects.” As a result of this adoption, we reclassified income tax effects of $0.7 million resulting from tax reform from AOCI to retained earnings following a portfolio approach. These stranded tax effects are derived from the deferred tax balances on our pension obligations as a result of the lower U.S. federal corporate tax rate.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not yet adopted</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which provides for comprehensive changes to lease accounting. The standard requires that a lessee recognize a lease obligation liability and a right-to-use asset for virtually all leases of property, plant and equipment, subsequently amortized over the lease term. The new standard is effective for fiscal years beginning after December 15, 2018, our fiscal year 2020. In July 2018, the FASB issued an additional update which allows an entity the option to adopt the guidance on a modified retrospective basis. Under the modified retrospective approach, which we plan to adopt in implementing the new guidance, an entity would recognize a cumulative effect adjustment of initially applying the guidance to the opening balance of retained earnings in the period of adoption. Prior period amounts will not be adjusted.</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in the process of analyzing our lease arrangements and evaluating our initial right-to-use asset and lease liability balances, including determining estimates and assumptions used in the calculation of the lease asset and liability. We are also in the process of determining modifications to our business processes, accounting policies and systems and controls that are needed to support measurement, recognition and disclosure under this new standard. We expect that the adoption of this standard will result in reflecting a material right-of-use asset and lease liability on our consolidated balance sheet. In adopting the new standard, we plan to elect the package of practical expedients, as well as the practical expedient to not separate nonlease components from lease components. We plan to adopt the new guidance following the modified retrospective application approach. We do not expect this standard to have a significant impact on our consolidated results of operations or consolidated statements of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have evaluated subsequent events for potential recognition and disclosure through the date of this filing. Subsequent to the end of the quarter, we purchased 504,004 shares of stock under our authorized share repurchase program, at a total cost of $14.9 million.</w:t>
      </w:r>
    </w:p>
    <w:p>
      <w:pPr>
        <w:spacing w:after="0" w:line="180"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12, 2017, we acquired 100 percent of the stock of EFCO Corporation, a privately held U.S. manufacturer of architectural aluminum window, curtainwall, storefront and entrance systems for commercial construction projects, for $192 million in cash, funded through our committed revolving credit facility. EFCO's results of operations have been included in our consolidated financial statements and within the Architectural Framing Systems segment since the date of acquisition.</w:t>
      </w:r>
    </w:p>
    <w:p>
      <w:pPr>
        <w:spacing w:after="0" w:line="183"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Receivables and Contract Assets and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total revenue by timing of recognition (see Note 13 for disclosure of revenue by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6"/>
              </w:rPr>
              <w:t>Nine Months Ended</w:t>
            </w:r>
          </w:p>
        </w:tc>
      </w:tr>
      <w:tr>
        <w:trPr>
          <w:trHeight w:val="250"/>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December 1, 2018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December 1, 2018</w:t>
            </w: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Recognized at shipment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158,164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481,565</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Recognized over time</w:t>
            </w:r>
          </w:p>
        </w:tc>
        <w:tc>
          <w:tcPr>
            <w:tcW w:w="200" w:type="dxa"/>
            <w:vAlign w:val="bottom"/>
          </w:tcPr>
          <w:p>
            <w:pPr>
              <w:spacing w:after="0"/>
              <w:rPr>
                <w:sz w:val="21"/>
                <w:szCs w:val="21"/>
                <w:color w:val="auto"/>
              </w:rPr>
            </w:pPr>
          </w:p>
        </w:tc>
        <w:tc>
          <w:tcPr>
            <w:tcW w:w="1640" w:type="dxa"/>
            <w:vAlign w:val="bottom"/>
          </w:tcPr>
          <w:p>
            <w:pPr>
              <w:jc w:val="right"/>
              <w:ind w:right="37"/>
              <w:spacing w:after="0"/>
              <w:rPr>
                <w:sz w:val="20"/>
                <w:szCs w:val="20"/>
                <w:color w:val="auto"/>
              </w:rPr>
            </w:pPr>
            <w:r>
              <w:rPr>
                <w:rFonts w:ascii="Arial" w:cs="Arial" w:eastAsia="Arial" w:hAnsi="Arial"/>
                <w:sz w:val="18"/>
                <w:szCs w:val="18"/>
                <w:color w:val="auto"/>
              </w:rPr>
              <w:t>199,554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574,817</w:t>
            </w:r>
          </w:p>
        </w:tc>
      </w:tr>
      <w:tr>
        <w:trPr>
          <w:trHeight w:val="27"/>
        </w:trPr>
        <w:tc>
          <w:tcPr>
            <w:tcW w:w="7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357,718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1,056,382</w:t>
            </w:r>
          </w:p>
        </w:tc>
      </w:tr>
      <w:tr>
        <w:trPr>
          <w:trHeight w:val="20"/>
        </w:trPr>
        <w:tc>
          <w:tcPr>
            <w:tcW w:w="7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Trade and construction accounts receivable consist of amounts billed and due from customers. The amounts due are stated at their estimated net realizable value. We maintain an allowance for doubtful accounts to provide for the estimated amount of receivables that will not be collected. This allowance is based on an assessment of customer creditworthiness, historical payment experience and the age of outstanding receivables. Retainage on construction contracts represents amounts withheld by our customers on long-term projects until the project reaches a level of completion where amounts are released.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December 1, 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March 3, 2018</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 accounts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155,651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157,562</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Construction contracts</w:t>
            </w:r>
          </w:p>
        </w:tc>
        <w:tc>
          <w:tcPr>
            <w:tcW w:w="2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14,229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26,545</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Construction contracts - retainage</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26,388</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Other receivables</w:t>
            </w:r>
          </w:p>
        </w:tc>
        <w:tc>
          <w:tcPr>
            <w:tcW w:w="24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2,887</w:t>
            </w: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203,056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213,382</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Less: allowance for doubtful accounts</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(1,530)</w:t>
            </w: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receivables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201,498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211,852</w:t>
            </w: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liabilities</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Contract assets consist of retainage, costs and earnings in excess of billings and other unbilled amounts typically generated when revenue recognized exceeds the amount billed to the customer. Contract liabilities consist of billings in excess of costs and earnings and other deferred revenue on contracts. Retainage is classified within receivables and deferred revenue is classified within other current liabilities on our consolidated balance sheets.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time period between when performance obligations are complete and when payment is due is not significant. In certain of our businesses that recognize revenue over time, progress billings follow an agreed-upon schedule of values, and retainage is withheld by the customer until the project reaches a level of completion where amounts are released.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6"/>
              </w:rPr>
              <w:t>December 1, 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March 3, 2018</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93,316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30,508</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Contract liabilities</w:t>
            </w:r>
          </w:p>
        </w:tc>
        <w:tc>
          <w:tcPr>
            <w:tcW w:w="18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30,447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20,120</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contract assets was due to additional businesses recognizing revenue in advance of billings, as a result of changing accounting policies for revenue recognition upon adoption of ASC 606 and the timing of costs incurred in advance of billing on a large project. The increase in contract liabilities was due to timing of project activity within our businesses that operate under long-term contracts.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nine months of fiscal 2019, we recognized revenue of $10.4 million related to contract liabilities at March 4, 2018, and revenue of $3.8 million related to performance obligations satisfied in previous periods due to changes in contract estimates. For the third quarter of fiscal 2019, we did not recognize any revenue related to contract liabilities at March 4, 2018, and recognized revenue of $1.5 million related to performance obligations satisfied in previous periods due to changes in contract estimates.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contracts have an expected duration of longer than a year, with performance obligations extending over that timeframe. Generally these contracts are in our businesses with long-term contracts which recognize revenue over time. As of December 1, 2018, the transaction price associated with unsatisfied performance obligations was approximately $706.3 million. The performance obligations are expected to be satisfied, and the corresponding revenue to be recognized, over the following estimated time periods: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8"/>
              </w:rPr>
              <w:t>December 1, 2018</w:t>
            </w: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Within one year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421,778</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Within two years</w:t>
            </w:r>
          </w:p>
        </w:tc>
        <w:tc>
          <w:tcPr>
            <w:tcW w:w="2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236,037</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Beyond</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48,493</w:t>
            </w:r>
          </w:p>
        </w:tc>
      </w:tr>
      <w:tr>
        <w:trPr>
          <w:trHeight w:val="257"/>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706,308</w:t>
            </w:r>
          </w:p>
        </w:tc>
      </w:tr>
      <w:tr>
        <w:trPr>
          <w:trHeight w:val="20"/>
        </w:trPr>
        <w:tc>
          <w:tcPr>
            <w:tcW w:w="9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7920" w:firstLine="8"/>
        <w:spacing w:after="0" w:line="506" w:lineRule="auto"/>
        <w:tabs>
          <w:tab w:leader="none" w:pos="32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Balance Sheet Information Inventories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December 1, 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March 3, 2018</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43,821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35,049</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16,426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17,406</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28,453</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inventories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79,847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80,908</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liabilities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1, 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7"/>
              </w:rPr>
              <w:t>March 3, 2018</w:t>
            </w:r>
          </w:p>
        </w:tc>
      </w:tr>
      <w:tr>
        <w:trPr>
          <w:trHeight w:val="250"/>
        </w:trPr>
        <w:tc>
          <w:tcPr>
            <w:tcW w:w="6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Warranties</w:t>
            </w: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18,110</w:t>
            </w:r>
          </w:p>
        </w:tc>
      </w:tr>
      <w:tr>
        <w:trPr>
          <w:trHeight w:val="243"/>
        </w:trPr>
        <w:tc>
          <w:tcPr>
            <w:tcW w:w="6560" w:type="dxa"/>
            <w:vAlign w:val="bottom"/>
            <w:gridSpan w:val="2"/>
          </w:tcPr>
          <w:p>
            <w:pPr>
              <w:ind w:left="40"/>
              <w:spacing w:after="0"/>
              <w:rPr>
                <w:sz w:val="20"/>
                <w:szCs w:val="20"/>
                <w:color w:val="auto"/>
              </w:rPr>
            </w:pPr>
            <w:r>
              <w:rPr>
                <w:rFonts w:ascii="Arial" w:cs="Arial" w:eastAsia="Arial" w:hAnsi="Arial"/>
                <w:sz w:val="18"/>
                <w:szCs w:val="18"/>
                <w:color w:val="auto"/>
              </w:rPr>
              <w:t>Acquired contract liabilities</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26,422</w:t>
            </w:r>
          </w:p>
        </w:tc>
      </w:tr>
      <w:tr>
        <w:trPr>
          <w:trHeight w:val="27"/>
        </w:trPr>
        <w:tc>
          <w:tcPr>
            <w:tcW w:w="6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7,659</w:t>
            </w:r>
          </w:p>
        </w:tc>
      </w:tr>
      <w:tr>
        <w:trPr>
          <w:trHeight w:val="243"/>
        </w:trPr>
        <w:tc>
          <w:tcPr>
            <w:tcW w:w="65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26,813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27,505</w:t>
            </w:r>
          </w:p>
        </w:tc>
      </w:tr>
      <w:tr>
        <w:trPr>
          <w:trHeight w:val="27"/>
        </w:trPr>
        <w:tc>
          <w:tcPr>
            <w:tcW w:w="6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6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current liabilities</w:t>
            </w:r>
          </w:p>
        </w:tc>
        <w:tc>
          <w:tcPr>
            <w:tcW w:w="4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79,696</w:t>
            </w:r>
          </w:p>
        </w:tc>
      </w:tr>
      <w:tr>
        <w:trPr>
          <w:trHeight w:val="20"/>
        </w:trPr>
        <w:tc>
          <w:tcPr>
            <w:tcW w:w="6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non-current liabilities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gridSpan w:val="2"/>
          </w:tcPr>
          <w:p>
            <w:pPr>
              <w:ind w:left="40"/>
              <w:spacing w:after="0"/>
              <w:rPr>
                <w:sz w:val="20"/>
                <w:szCs w:val="20"/>
                <w:color w:val="auto"/>
              </w:rPr>
            </w:pPr>
            <w:r>
              <w:rPr>
                <w:rFonts w:ascii="Arial" w:cs="Arial" w:eastAsia="Arial" w:hAnsi="Arial"/>
                <w:sz w:val="13"/>
                <w:szCs w:val="13"/>
                <w:i w:val="1"/>
                <w:iCs w:val="1"/>
                <w:color w:val="auto"/>
              </w:rPr>
              <w:t>In thousands</w:t>
            </w: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1, 2018</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center"/>
              <w:ind w:right="155"/>
              <w:spacing w:after="0"/>
              <w:rPr>
                <w:sz w:val="20"/>
                <w:szCs w:val="20"/>
                <w:color w:val="auto"/>
              </w:rPr>
            </w:pPr>
            <w:r>
              <w:rPr>
                <w:rFonts w:ascii="Arial" w:cs="Arial" w:eastAsia="Arial" w:hAnsi="Arial"/>
                <w:sz w:val="14"/>
                <w:szCs w:val="14"/>
                <w:b w:val="1"/>
                <w:bCs w:val="1"/>
                <w:color w:val="auto"/>
                <w:w w:val="95"/>
              </w:rPr>
              <w:t>March 3, 2018</w:t>
            </w:r>
          </w:p>
        </w:tc>
        <w:tc>
          <w:tcPr>
            <w:tcW w:w="0" w:type="dxa"/>
            <w:vAlign w:val="bottom"/>
          </w:tcPr>
          <w:p>
            <w:pPr>
              <w:spacing w:after="0"/>
              <w:rPr>
                <w:sz w:val="1"/>
                <w:szCs w:val="1"/>
                <w:color w:val="auto"/>
              </w:rPr>
            </w:pPr>
          </w:p>
        </w:tc>
      </w:tr>
      <w:tr>
        <w:trPr>
          <w:trHeight w:val="250"/>
        </w:trPr>
        <w:tc>
          <w:tcPr>
            <w:tcW w:w="4700" w:type="dxa"/>
            <w:vAlign w:val="bottom"/>
            <w:tcBorders>
              <w:top w:val="single" w:sz="8" w:color="auto"/>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benefit from New Market Tax Credit transactions</w:t>
            </w: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26,458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16,708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Retirement plan obligations</w:t>
            </w: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8,997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8,997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compensation plan</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10,996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10,730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38,954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34,211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non-current liabilities</w:t>
            </w: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85,405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70,646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5.  Financial Instruments</w:t>
            </w:r>
          </w:p>
        </w:tc>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700" w:type="dxa"/>
            <w:vAlign w:val="bottom"/>
            <w:gridSpan w:val="2"/>
            <w:vMerge w:val="continue"/>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Marketable securities</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120" w:type="dxa"/>
            <w:vAlign w:val="bottom"/>
            <w:gridSpan w:val="7"/>
          </w:tcPr>
          <w:p>
            <w:pPr>
              <w:spacing w:after="0"/>
              <w:rPr>
                <w:sz w:val="20"/>
                <w:szCs w:val="20"/>
                <w:color w:val="auto"/>
              </w:rPr>
            </w:pPr>
            <w:r>
              <w:rPr>
                <w:rFonts w:ascii="Arial" w:cs="Arial" w:eastAsia="Arial" w:hAnsi="Arial"/>
                <w:sz w:val="18"/>
                <w:szCs w:val="18"/>
                <w:color w:val="auto"/>
                <w:w w:val="95"/>
              </w:rPr>
              <w:t>We hold the following available-for-sale marketable securities, made up of municipal and corporate bonds: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vMerge w:val="restart"/>
          </w:tcPr>
          <w:p>
            <w:pPr>
              <w:spacing w:after="0"/>
              <w:rPr>
                <w:sz w:val="24"/>
                <w:szCs w:val="24"/>
                <w:color w:val="auto"/>
              </w:rPr>
            </w:pPr>
          </w:p>
        </w:tc>
        <w:tc>
          <w:tcPr>
            <w:tcW w:w="1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4"/>
              </w:rPr>
              <w:t>Gross Unrealized Gains</w:t>
            </w:r>
          </w:p>
        </w:tc>
        <w:tc>
          <w:tcPr>
            <w:tcW w:w="80" w:type="dxa"/>
            <w:vAlign w:val="bottom"/>
            <w:vMerge w:val="restart"/>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0"/>
              </w:rPr>
              <w:t>Gross Unrealized Losses</w:t>
            </w:r>
          </w:p>
        </w:tc>
        <w:tc>
          <w:tcPr>
            <w:tcW w:w="8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center"/>
              <w:ind w:right="135"/>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2018</w:t>
            </w: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12,534</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12,289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March 3, 2018</w:t>
            </w: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9,183</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9,053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wholly-owned insurance subsidiary, Prism Assurance, Ltd. (Prism), which holds these municipal and corporate bonds. Prism insures a portion of our general liability, workers’ compensation and automobile liability risks using reinsurance agreements to meet statutory requirements. The reinsurance carrier requires Prism to maintain fixed-maturity investments, which are generally high-quality municipal and corporate bonds, for the purpose of providing collateral for Prism’s obligations under the reinsurance agreements.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 and estimated fair values of municipal bonds at December 1, 2018, by contractual maturity, are shown below. Expected maturities may differ from contractual maturities, as borrowers may have the right to call or prepay obligations with or without penalty.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4"/>
              </w:rPr>
              <w:t>Estimated Fair Value</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441</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Due after one year through five years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8,781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8,598</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Due after five years through 10 years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2,493</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Due after 10 years through 15 years</w:t>
            </w: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Due beyond 15 years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757</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12,534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12,289</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We do not have any Level 3 financial assets or liabilities.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4"/>
                <w:szCs w:val="14"/>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Other Observable</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 Fair Value</w:t>
            </w:r>
          </w:p>
        </w:tc>
        <w:tc>
          <w:tcPr>
            <w:tcW w:w="0" w:type="dxa"/>
            <w:vAlign w:val="bottom"/>
          </w:tcPr>
          <w:p>
            <w:pPr>
              <w:spacing w:after="0"/>
              <w:rPr>
                <w:sz w:val="1"/>
                <w:szCs w:val="1"/>
                <w:color w:val="auto"/>
              </w:rPr>
            </w:pPr>
          </w:p>
        </w:tc>
      </w:tr>
      <w:tr>
        <w:trPr>
          <w:trHeight w:val="192"/>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Inputs (Level 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December 1, 2018</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equivalents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43"/>
        </w:trPr>
        <w:tc>
          <w:tcPr>
            <w:tcW w:w="6400" w:type="dxa"/>
            <w:vAlign w:val="bottom"/>
            <w:gridSpan w:val="2"/>
          </w:tcPr>
          <w:p>
            <w:pPr>
              <w:ind w:left="38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b w:val="1"/>
                <w:bCs w:val="1"/>
                <w:color w:val="auto"/>
              </w:rPr>
              <w:t>Short-term securities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Municipal and corporate bonds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b w:val="1"/>
                <w:bCs w:val="1"/>
                <w:color w:val="auto"/>
              </w:rPr>
              <w:t>Long-term securities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Municipal and corporate bonds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11,847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11,847</w:t>
            </w:r>
          </w:p>
        </w:tc>
        <w:tc>
          <w:tcPr>
            <w:tcW w:w="0" w:type="dxa"/>
            <w:vAlign w:val="bottom"/>
          </w:tcPr>
          <w:p>
            <w:pPr>
              <w:spacing w:after="0"/>
              <w:rPr>
                <w:sz w:val="1"/>
                <w:szCs w:val="1"/>
                <w:color w:val="auto"/>
              </w:rPr>
            </w:pP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Total assets at fair value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2,145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12,689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14,834</w:t>
            </w:r>
          </w:p>
        </w:tc>
        <w:tc>
          <w:tcPr>
            <w:tcW w:w="0" w:type="dxa"/>
            <w:vAlign w:val="bottom"/>
          </w:tcPr>
          <w:p>
            <w:pPr>
              <w:spacing w:after="0"/>
              <w:rPr>
                <w:sz w:val="1"/>
                <w:szCs w:val="1"/>
                <w:color w:val="auto"/>
              </w:rPr>
            </w:pPr>
          </w:p>
        </w:tc>
      </w:tr>
      <w:tr>
        <w:trPr>
          <w:trHeight w:val="67"/>
        </w:trPr>
        <w:tc>
          <w:tcPr>
            <w:tcW w:w="62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0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March 3, 2018</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equivalents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2,901</w:t>
            </w:r>
          </w:p>
        </w:tc>
        <w:tc>
          <w:tcPr>
            <w:tcW w:w="0" w:type="dxa"/>
            <w:vAlign w:val="bottom"/>
          </w:tcPr>
          <w:p>
            <w:pPr>
              <w:spacing w:after="0"/>
              <w:rPr>
                <w:sz w:val="1"/>
                <w:szCs w:val="1"/>
                <w:color w:val="auto"/>
              </w:rPr>
            </w:pPr>
          </w:p>
        </w:tc>
      </w:tr>
      <w:tr>
        <w:trPr>
          <w:trHeight w:val="243"/>
        </w:trPr>
        <w:tc>
          <w:tcPr>
            <w:tcW w:w="6400" w:type="dxa"/>
            <w:vAlign w:val="bottom"/>
            <w:gridSpan w:val="2"/>
          </w:tcPr>
          <w:p>
            <w:pPr>
              <w:ind w:left="38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b w:val="1"/>
                <w:bCs w:val="1"/>
                <w:color w:val="auto"/>
              </w:rPr>
              <w:t>Short-term securities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Municipal and corporate bonds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b w:val="1"/>
                <w:bCs w:val="1"/>
                <w:color w:val="auto"/>
              </w:rPr>
              <w:t>Long-term securities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Municipal and corporate bonds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8,630</w:t>
            </w:r>
          </w:p>
        </w:tc>
        <w:tc>
          <w:tcPr>
            <w:tcW w:w="0" w:type="dxa"/>
            <w:vAlign w:val="bottom"/>
          </w:tcPr>
          <w:p>
            <w:pPr>
              <w:spacing w:after="0"/>
              <w:rPr>
                <w:sz w:val="1"/>
                <w:szCs w:val="1"/>
                <w:color w:val="auto"/>
              </w:rPr>
            </w:pP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Total assets at fair value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2,901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9,453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12,354</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Fair value of money market funds was determined based on quoted prices for identical assets in active markets. Commercial paper was measured at fair value using inputs based on quoted prices for similar securities in active markets.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and long-term securities</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Mutual funds were measured at fair value based on quoted prices for identical assets in active markets. Municipal and corporate bonds were measured at fair value based on market prices from recent trades of similar securities and are classified as short-term or long-term based on maturity date.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instruments</w:t>
      </w:r>
    </w:p>
    <w:p>
      <w:pPr>
        <w:spacing w:after="0" w:line="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periodically enter into forward purchase foreign currency contracts, generally with an original maturity date of less than one year, to hedge foreign currency exchange rate risk. As of December 1, 2018, we held foreign exchange forward contracts with a U.S. dollar notional value of $16.0 million, with the objective of reducing the exposure to fluctuations in the Canadian dollar and the Euro. The fair value of these contracts was a liability of $0.4 million as of December 1, 2018. These forward contracts are measured at fair value using unobservable market inputs, such as quotations on forward foreign exchange points and foreign currency exchange rates, and would be classified as Level 2 within the fair value hierarchy above.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Identifiable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attributable to each reporting segment was: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Architectural</w:t>
            </w: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Architectural</w:t>
            </w:r>
          </w:p>
        </w:tc>
        <w:tc>
          <w:tcPr>
            <w:tcW w:w="16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Architectural</w:t>
            </w:r>
          </w:p>
        </w:tc>
        <w:tc>
          <w:tcPr>
            <w:tcW w:w="16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Large-Scale</w:t>
            </w:r>
          </w:p>
        </w:tc>
        <w:tc>
          <w:tcPr>
            <w:tcW w:w="300" w:type="dxa"/>
            <w:vAlign w:val="bottom"/>
          </w:tcPr>
          <w:p>
            <w:pPr>
              <w:spacing w:after="0"/>
              <w:rPr>
                <w:sz w:val="14"/>
                <w:szCs w:val="14"/>
                <w:color w:val="auto"/>
              </w:rPr>
            </w:pPr>
          </w:p>
        </w:tc>
        <w:tc>
          <w:tcPr>
            <w:tcW w:w="9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Framing Systems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Glass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Services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Optical</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4,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63,701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101,334</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Goodwill acquired</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84,162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84,162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Goodwill adjustments for purchase accounting</w:t>
            </w:r>
          </w:p>
        </w:tc>
        <w:tc>
          <w:tcPr>
            <w:tcW w:w="160" w:type="dxa"/>
            <w:vAlign w:val="bottom"/>
            <w:shd w:val="clear" w:color="auto" w:fill="CCEEFF"/>
          </w:tcPr>
          <w:p>
            <w:pPr>
              <w:spacing w:after="0"/>
              <w:rPr>
                <w:sz w:val="21"/>
                <w:szCs w:val="2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vMerge w:val="continue"/>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 2018</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143,308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180,956</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Goodwill adjustments for purchase accounting</w:t>
            </w:r>
          </w:p>
        </w:tc>
        <w:tc>
          <w:tcPr>
            <w:tcW w:w="160" w:type="dxa"/>
            <w:vAlign w:val="bottom"/>
          </w:tcPr>
          <w:p>
            <w:pPr>
              <w:spacing w:after="0"/>
              <w:rPr>
                <w:sz w:val="21"/>
                <w:szCs w:val="21"/>
                <w:color w:val="auto"/>
              </w:rPr>
            </w:pPr>
          </w:p>
        </w:tc>
        <w:tc>
          <w:tcPr>
            <w:tcW w:w="1120" w:type="dxa"/>
            <w:vAlign w:val="bottom"/>
            <w:vMerge w:val="restart"/>
          </w:tcPr>
          <w:p>
            <w:pPr>
              <w:jc w:val="right"/>
              <w:ind w:right="32"/>
              <w:spacing w:after="0"/>
              <w:rPr>
                <w:sz w:val="20"/>
                <w:szCs w:val="20"/>
                <w:color w:val="auto"/>
              </w:rPr>
            </w:pPr>
            <w:r>
              <w:rPr>
                <w:rFonts w:ascii="Arial" w:cs="Arial" w:eastAsia="Arial" w:hAnsi="Arial"/>
                <w:sz w:val="18"/>
                <w:szCs w:val="18"/>
                <w:color w:val="auto"/>
              </w:rPr>
              <w:t>6,267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vMerge w:val="restart"/>
          </w:tcPr>
          <w:p>
            <w:pPr>
              <w:jc w:val="right"/>
              <w:ind w:right="12"/>
              <w:spacing w:after="0"/>
              <w:rPr>
                <w:sz w:val="20"/>
                <w:szCs w:val="20"/>
                <w:color w:val="auto"/>
              </w:rPr>
            </w:pPr>
            <w:r>
              <w:rPr>
                <w:rFonts w:ascii="Arial" w:cs="Arial" w:eastAsia="Arial" w:hAnsi="Arial"/>
                <w:sz w:val="18"/>
                <w:szCs w:val="18"/>
                <w:color w:val="auto"/>
              </w:rPr>
              <w:t>6,267</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at December 1, 2018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148,465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25,646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10,557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185,788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of other intangible assets and related accumulated amortization was: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Foreign</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Currency</w:t>
            </w:r>
          </w:p>
        </w:tc>
        <w:tc>
          <w:tcPr>
            <w:tcW w:w="320" w:type="dxa"/>
            <w:vAlign w:val="bottom"/>
          </w:tcPr>
          <w:p>
            <w:pPr>
              <w:spacing w:after="0"/>
              <w:rPr>
                <w:sz w:val="12"/>
                <w:szCs w:val="12"/>
                <w:color w:val="auto"/>
              </w:rPr>
            </w:pPr>
          </w:p>
        </w:tc>
        <w:tc>
          <w:tcPr>
            <w:tcW w:w="9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2"/>
              </w:rPr>
              <w:t>Translation</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December 1, 2018</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b w:val="1"/>
                <w:bCs w:val="1"/>
                <w:color w:val="auto"/>
              </w:rPr>
              <w:t>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122,816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95,270</w:t>
            </w:r>
          </w:p>
        </w:tc>
        <w:tc>
          <w:tcPr>
            <w:tcW w:w="0" w:type="dxa"/>
            <w:vAlign w:val="bottom"/>
          </w:tcPr>
          <w:p>
            <w:pPr>
              <w:spacing w:after="0"/>
              <w:rPr>
                <w:sz w:val="1"/>
                <w:szCs w:val="1"/>
                <w:color w:val="auto"/>
              </w:rPr>
            </w:pPr>
          </w:p>
        </w:tc>
      </w:tr>
      <w:tr>
        <w:trPr>
          <w:trHeight w:val="243"/>
        </w:trPr>
        <w:tc>
          <w:tcPr>
            <w:tcW w:w="6060" w:type="dxa"/>
            <w:vAlign w:val="bottom"/>
            <w:gridSpan w:val="2"/>
          </w:tcPr>
          <w:p>
            <w:pPr>
              <w:ind w:left="180"/>
              <w:spacing w:after="0"/>
              <w:rPr>
                <w:sz w:val="20"/>
                <w:szCs w:val="20"/>
                <w:color w:val="auto"/>
              </w:rPr>
            </w:pPr>
            <w:r>
              <w:rPr>
                <w:rFonts w:ascii="Arial" w:cs="Arial" w:eastAsia="Arial" w:hAnsi="Arial"/>
                <w:sz w:val="18"/>
                <w:szCs w:val="18"/>
                <w:color w:val="auto"/>
              </w:rPr>
              <w:t>Other intangibles</w:t>
            </w:r>
          </w:p>
        </w:tc>
        <w:tc>
          <w:tcPr>
            <w:tcW w:w="2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41,697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(31,033)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9,765</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definite-lived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164,513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105,035</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b w:val="1"/>
                <w:bCs w:val="1"/>
                <w:color w:val="auto"/>
              </w:rPr>
              <w:t>Indefinite-lived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Trademarks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49,077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48,570</w:t>
            </w:r>
          </w:p>
        </w:tc>
        <w:tc>
          <w:tcPr>
            <w:tcW w:w="0" w:type="dxa"/>
            <w:vAlign w:val="bottom"/>
          </w:tcPr>
          <w:p>
            <w:pPr>
              <w:spacing w:after="0"/>
              <w:rPr>
                <w:sz w:val="1"/>
                <w:szCs w:val="1"/>
                <w:color w:val="auto"/>
              </w:rPr>
            </w:pPr>
          </w:p>
        </w:tc>
      </w:tr>
      <w:tr>
        <w:trPr>
          <w:trHeight w:val="237"/>
        </w:trPr>
        <w:tc>
          <w:tcPr>
            <w:tcW w:w="6060" w:type="dxa"/>
            <w:vAlign w:val="bottom"/>
            <w:gridSpan w:val="2"/>
          </w:tcPr>
          <w:p>
            <w:pPr>
              <w:ind w:left="280"/>
              <w:spacing w:after="0"/>
              <w:rPr>
                <w:sz w:val="20"/>
                <w:szCs w:val="20"/>
                <w:color w:val="auto"/>
              </w:rPr>
            </w:pPr>
            <w:r>
              <w:rPr>
                <w:rFonts w:ascii="Arial" w:cs="Arial" w:eastAsia="Arial" w:hAnsi="Arial"/>
                <w:sz w:val="18"/>
                <w:szCs w:val="18"/>
                <w:color w:val="auto"/>
              </w:rPr>
              <w:t>Total intangible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213,590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(55,970)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153,605</w:t>
            </w:r>
          </w:p>
        </w:tc>
        <w:tc>
          <w:tcPr>
            <w:tcW w:w="0" w:type="dxa"/>
            <w:vAlign w:val="bottom"/>
          </w:tcPr>
          <w:p>
            <w:pPr>
              <w:spacing w:after="0"/>
              <w:rPr>
                <w:sz w:val="1"/>
                <w:szCs w:val="1"/>
                <w:color w:val="auto"/>
              </w:rPr>
            </w:pPr>
          </w:p>
        </w:tc>
      </w:tr>
      <w:tr>
        <w:trPr>
          <w:trHeight w:val="67"/>
        </w:trPr>
        <w:tc>
          <w:tcPr>
            <w:tcW w:w="59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March 3, 2018</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b w:val="1"/>
                <w:bCs w:val="1"/>
                <w:color w:val="auto"/>
              </w:rPr>
              <w:t>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122,816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102,483</w:t>
            </w:r>
          </w:p>
        </w:tc>
        <w:tc>
          <w:tcPr>
            <w:tcW w:w="0" w:type="dxa"/>
            <w:vAlign w:val="bottom"/>
          </w:tcPr>
          <w:p>
            <w:pPr>
              <w:spacing w:after="0"/>
              <w:rPr>
                <w:sz w:val="1"/>
                <w:szCs w:val="1"/>
                <w:color w:val="auto"/>
              </w:rPr>
            </w:pPr>
          </w:p>
        </w:tc>
      </w:tr>
      <w:tr>
        <w:trPr>
          <w:trHeight w:val="243"/>
        </w:trPr>
        <w:tc>
          <w:tcPr>
            <w:tcW w:w="6060" w:type="dxa"/>
            <w:vAlign w:val="bottom"/>
            <w:gridSpan w:val="2"/>
          </w:tcPr>
          <w:p>
            <w:pPr>
              <w:ind w:left="180"/>
              <w:spacing w:after="0"/>
              <w:rPr>
                <w:sz w:val="20"/>
                <w:szCs w:val="20"/>
                <w:color w:val="auto"/>
              </w:rPr>
            </w:pPr>
            <w:r>
              <w:rPr>
                <w:rFonts w:ascii="Arial" w:cs="Arial" w:eastAsia="Arial" w:hAnsi="Arial"/>
                <w:sz w:val="18"/>
                <w:szCs w:val="18"/>
                <w:color w:val="auto"/>
              </w:rPr>
              <w:t>Other intangibles</w:t>
            </w:r>
          </w:p>
        </w:tc>
        <w:tc>
          <w:tcPr>
            <w:tcW w:w="2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41,697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(25,879)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15,788</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definite-lived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164,513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118,271</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b w:val="1"/>
                <w:bCs w:val="1"/>
                <w:color w:val="auto"/>
              </w:rPr>
              <w:t>Indefinite-lived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Trademarks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48,461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49,078</w:t>
            </w:r>
          </w:p>
        </w:tc>
        <w:tc>
          <w:tcPr>
            <w:tcW w:w="0" w:type="dxa"/>
            <w:vAlign w:val="bottom"/>
          </w:tcPr>
          <w:p>
            <w:pPr>
              <w:spacing w:after="0"/>
              <w:rPr>
                <w:sz w:val="1"/>
                <w:szCs w:val="1"/>
                <w:color w:val="auto"/>
              </w:rPr>
            </w:pPr>
          </w:p>
        </w:tc>
      </w:tr>
      <w:tr>
        <w:trPr>
          <w:trHeight w:val="237"/>
        </w:trPr>
        <w:tc>
          <w:tcPr>
            <w:tcW w:w="6060" w:type="dxa"/>
            <w:vAlign w:val="bottom"/>
            <w:gridSpan w:val="2"/>
          </w:tcPr>
          <w:p>
            <w:pPr>
              <w:ind w:left="280"/>
              <w:spacing w:after="0"/>
              <w:rPr>
                <w:sz w:val="20"/>
                <w:szCs w:val="20"/>
                <w:color w:val="auto"/>
              </w:rPr>
            </w:pPr>
            <w:r>
              <w:rPr>
                <w:rFonts w:ascii="Arial" w:cs="Arial" w:eastAsia="Arial" w:hAnsi="Arial"/>
                <w:sz w:val="18"/>
                <w:szCs w:val="18"/>
                <w:color w:val="auto"/>
              </w:rPr>
              <w:t>Total intangible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212,974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(46,156)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167,349</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on definite-lived intangible assets was $10.5 million and $12.8 million for the nine-month periods ended December 1, 2018 and December 2, 2017. The amortization expense associated with debt issue costs is included in interest expense while the remainder is in selling, general and administrative expenses in the consolidated results of operations. At December 1, 2018, the estimated future amortization expense for definite-lived intangible assets was: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Remainder of</w:t>
            </w:r>
          </w:p>
        </w:tc>
        <w:tc>
          <w:tcPr>
            <w:tcW w:w="200" w:type="dxa"/>
            <w:vAlign w:val="bottom"/>
          </w:tcPr>
          <w:p>
            <w:pPr>
              <w:spacing w:after="0"/>
              <w:rPr>
                <w:sz w:val="14"/>
                <w:szCs w:val="14"/>
                <w:color w:val="auto"/>
              </w:rPr>
            </w:pPr>
          </w:p>
        </w:tc>
        <w:tc>
          <w:tcPr>
            <w:tcW w:w="106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w w:val="98"/>
              </w:rPr>
              <w:t>Fiscal 2020</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w w:val="98"/>
              </w:rPr>
              <w:t>Fiscal 2021</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w w:val="98"/>
              </w:rPr>
              <w:t>Fiscal 2022</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w w:val="98"/>
              </w:rPr>
              <w:t>Fiscal 2023</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0"/>
              </w:rPr>
              <w:t>Fiscal 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Estimated amortization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2,266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8,091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8,084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7,928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7,539</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maintain a committed revolving credit facility with maximum borrowings of up to $335.0 million, maturing in November 2021. Outstanding borrowings under our committed revolving credit facility were $211.5 million, as of December 1, 2018, and $195.0 million, as of March 3, 2018. Under this facility, we are subject to two financial covenants that require us to stay below a maximum debt-to-EBITDA ratio and maintain a minimum ratio of interest expense-to-EBITDA. Both ratios are computed quarterly, with EBITDA calculated on a rolling four-quarter basis. At December 1, 2018, we were in compliance with both financial covenants. Additionally, at December 1, 2018, we had a total of $25.1 million of ongoing letters of credit related to industrial revenue bonds and construction contracts that expire in fiscal 2020 and reduce availability of funds under our committed credit facility.</w:t>
      </w:r>
    </w:p>
    <w:p>
      <w:pPr>
        <w:sectPr>
          <w:pgSz w:w="11900" w:h="16838" w:orient="portrait"/>
          <w:cols w:equalWidth="0" w:num="1">
            <w:col w:w="11420"/>
          </w:cols>
          <w:pgMar w:left="240" w:top="125"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1, 2018, our debt also included $20.4 million of industrial revenue bonds that mature in fiscal years 2021 through 2043 and $0.5 million of long-term debt in Canada. The fair value of the industrial revenue bonds approximated carrying value at December 1, 2018, due to the variable interest rates on these instruments. All debt would be classified as Level 2 within the fair value hierarchy described in Note 5.</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maintain two Canadian demand credit facilities totaling $12.0 million Canadian dollars. As of December 1, 2018, $0.4 million was outstanding under these facilities, and no borrowings were outstanding as of March 3, 2018. Borrowings under these facilities are made available at the sole discretion of the lenders and are payable on demand. The Company classifies any outstanding balances under these demand facilities as long-term debt, as outstanding amounts can be refinanced through our committed revolving credit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payments were $7.2 million and $3.6 million for the nine months ended December 1, 2018 and December 2, 2017, respectively.</w:t>
      </w:r>
    </w:p>
    <w:p>
      <w:pPr>
        <w:spacing w:after="0" w:line="221"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 commitments</w:t>
      </w:r>
    </w:p>
    <w:p>
      <w:pPr>
        <w:spacing w:after="0" w:line="27"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As of December 1, 2018, the Company was obligated under non-cancelable operating leases for buildings and equipment. Certain leases provide for increased rental payments based upon increases in real estate taxes or operating costs. Future minimum rental payments under non-cancelable operating leases are: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Remainder of</w:t>
            </w:r>
          </w:p>
        </w:tc>
        <w:tc>
          <w:tcPr>
            <w:tcW w:w="140" w:type="dxa"/>
            <w:vAlign w:val="bottom"/>
          </w:tcPr>
          <w:p>
            <w:pPr>
              <w:spacing w:after="0"/>
              <w:rPr>
                <w:sz w:val="14"/>
                <w:szCs w:val="14"/>
                <w:color w:val="auto"/>
              </w:rPr>
            </w:pPr>
          </w:p>
        </w:tc>
        <w:tc>
          <w:tcPr>
            <w:tcW w:w="8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3"/>
              </w:rPr>
              <w:t>Fiscal 2020</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3"/>
              </w:rPr>
              <w:t>Fiscal 2021</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0"/>
              </w:rPr>
              <w:t>Fiscal 2022</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3"/>
              </w:rPr>
              <w:t>Fiscal 2023</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9"/>
              </w:rPr>
              <w:t>Thereafter</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0"/>
              </w:rPr>
              <w:t>Fiscal 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minimum payments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3,890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14,759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11,522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9,353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8,459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23,308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71,291</w:t>
            </w:r>
          </w:p>
        </w:tc>
        <w:tc>
          <w:tcPr>
            <w:tcW w:w="0" w:type="dxa"/>
            <w:vAlign w:val="bottom"/>
          </w:tcPr>
          <w:p>
            <w:pPr>
              <w:spacing w:after="0"/>
              <w:rPr>
                <w:sz w:val="1"/>
                <w:szCs w:val="1"/>
                <w:color w:val="auto"/>
              </w:rPr>
            </w:pPr>
          </w:p>
        </w:tc>
      </w:tr>
      <w:tr>
        <w:trPr>
          <w:trHeight w:val="27"/>
        </w:trPr>
        <w:tc>
          <w:tcPr>
            <w:tcW w:w="3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 commitments and installation project contingencies</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In the ordinary course of business, predominantly in our Architectural Services and Architectural Framing Systems segments, we are required to provide surety or performance bonds that commit payments to our customers for any non-performance. At December 1, 2018, $224.0 million of our backlog was bonded by these types of bonds with a face value of $478.8 million. These bonds do not have stated expiration dates, as we are generally released from the bonds upon completion of the contract. We have not been required to make any payments under these bonds with respect to our existing businesses.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we also are subject to project management and installation-related contingencies as a result of our fixed-price material supply and installation service contracts, primarily in our Architectural Services segment and certain of our Architectural Framing Systems businesses, including those taken on with our acquisition of EFCO. We actively manage the risk of these exposures through contract negotiations, proactive project management and insurance coverages.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Warranties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reserve estimated exposures on known claims, as well as on a portion of anticipated claims, for product warranty and rework cost, based on historical product liability claims as a ratio of sales. Claim costs are deducted from the accrual when paid. Factors that could have an impact on the warranty accrual in any given period include the following: changes in manufacturing quality, changes in product mix and any significant changes in sales volume. A warranty rollforward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6"/>
              </w:rPr>
              <w:t>December 1, 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4"/>
              </w:rPr>
              <w:t>December 2, 2017</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22,517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21,933</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Additional accruals</w:t>
            </w:r>
          </w:p>
        </w:tc>
        <w:tc>
          <w:tcPr>
            <w:tcW w:w="1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3,437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3,443</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Claims paid</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(8,254)</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Acquired reserves</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5,571</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17,556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22,693</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At December 1, 2018, we had $25.1 million of ongoing letters of credit, all of which have been issued under our committed revolving credit facility, as discussed in Note 7.</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obligations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Purchase obligations for raw material commitments and capital expenditures totaled $163.2 million as of December 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Markets Tax Credit transactions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September 2018, we entered into a transaction with SunTrust Community Capital (STCC) under a qualified New Markets Tax Credit (NMTC) program related to an investment in plant and equipment within our Architectural Framing Systems segment. STCC contributed $3.2 million to this project, which is included in other non-current liabilities on our consolidated balance sheets. We have completed two NMTC transactions this fiscal year. Under the terms of these arrangements, we are required to hold cash dedicated to fund the related capital projects which is classified as restricted cash on our consolidated balance sheets.</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fiscal 2014, we have entered into four separate NMTC programs to support our operational expansion. The NMTC arrangements are subject to 100 percent tax credit recapture for a period of seven years from the date of each respective transaction. Therefore, upon the termination of each arrangement at the end of the seven-year period, proceeds received from investors will be recognized in earnings in exchange for the transfer of tax credits. Direct and incremental costs incurred in structuring these arrangements have been deferred and will be recognized in conjunction with the recognition of the related profits.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Variable-interest entities have been created as a result of the transaction structure, which have been included within our consolidated financial statements as investors in the program do not have a material interest in the underlying economics of the respective projects.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November 2018, a purported class action lawsuit was filed claiming the Company and certain named executive officers made materially false and/or misleading statements and failed to disclose material adverse facts about the Company’s business and operations during the period June 28, 2018 to September 17, 2018. In December 2018, a derivative lawsuit was filed against certain of our executive officers and directors claiming breach of fiduciary duty, waste of corporate assets and unjust enrichment. We intend to vigorously defend against these matters. Due to the preliminary nature of these matters, we are unable to estimate any potential loss at this time.</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foregoing, 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189"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share-based compensation expense included in the results of operations was $4.7 million for the nine-month period ended December 1, 2018 and $4.6 million for the nine-month period ended December 2,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and SARs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Stock option and SAR activity for the current nine-month period is summarized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Weighted Average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52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Stock options and SARs</w:t>
            </w:r>
          </w:p>
        </w:tc>
        <w:tc>
          <w:tcPr>
            <w:tcW w:w="120" w:type="dxa"/>
            <w:vAlign w:val="bottom"/>
            <w:vMerge w:val="restart"/>
          </w:tcPr>
          <w:p>
            <w:pPr>
              <w:spacing w:after="0"/>
              <w:rPr>
                <w:sz w:val="12"/>
                <w:szCs w:val="12"/>
                <w:color w:val="auto"/>
              </w:rPr>
            </w:pPr>
          </w:p>
        </w:tc>
        <w:tc>
          <w:tcPr>
            <w:tcW w:w="13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March 3, 2018</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129,901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11.10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Awards exercised</w:t>
            </w:r>
          </w:p>
        </w:tc>
        <w:tc>
          <w:tcPr>
            <w:tcW w:w="1380" w:type="dxa"/>
            <w:vAlign w:val="bottom"/>
          </w:tcPr>
          <w:p>
            <w:pPr>
              <w:jc w:val="right"/>
              <w:spacing w:after="0"/>
              <w:rPr>
                <w:sz w:val="20"/>
                <w:szCs w:val="20"/>
                <w:color w:val="auto"/>
              </w:rPr>
            </w:pPr>
            <w:r>
              <w:rPr>
                <w:rFonts w:ascii="Arial" w:cs="Arial" w:eastAsia="Arial" w:hAnsi="Arial"/>
                <w:sz w:val="18"/>
                <w:szCs w:val="18"/>
                <w:color w:val="auto"/>
              </w:rPr>
              <w:t>(29,560)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20.43</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and exercisable at December 1, 2018</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100,341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8.34</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2.8 years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2,820,586</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Cash proceeds from the exercise of stock options were $0.2 million and $0.8 million for the nine months ended December 1, 2018 and December 2, 2017, respectively. The aggregate intrinsic value of securities exercised (the amount by which the stock price on the date of exercise exceeded the stock price of the award on the date of grant) was $0.6 million during the nine months ended December 1, 2018 and $4.8 million during the prior-year period.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Nonvested shares and share units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Nonvested share activity for the current nine-month period is summarized as follows:</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Nonvested shares and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b w:val="1"/>
          <w:bCs w:val="1"/>
          <w:color w:val="auto"/>
        </w:rPr>
        <w:t>Number of Shares and</w:t>
      </w:r>
      <w:r>
        <w:rPr>
          <w:sz w:val="20"/>
          <w:szCs w:val="20"/>
          <w:color w:val="auto"/>
        </w:rPr>
        <w:tab/>
      </w:r>
      <w:r>
        <w:rPr>
          <w:rFonts w:ascii="Arial" w:cs="Arial" w:eastAsia="Arial" w:hAnsi="Arial"/>
          <w:sz w:val="12"/>
          <w:szCs w:val="12"/>
          <w:b w:val="1"/>
          <w:bCs w:val="1"/>
          <w:color w:val="auto"/>
        </w:rPr>
        <w:t>Weighted Average</w:t>
      </w:r>
    </w:p>
    <w:p>
      <w:pPr>
        <w:spacing w:after="0" w:line="4" w:lineRule="exact"/>
        <w:rPr>
          <w:sz w:val="20"/>
          <w:szCs w:val="20"/>
          <w:color w:val="auto"/>
        </w:rPr>
      </w:pPr>
    </w:p>
    <w:p>
      <w:pPr>
        <w:jc w:val="both"/>
        <w:ind w:left="540"/>
        <w:spacing w:after="0"/>
        <w:tabs>
          <w:tab w:leader="none" w:pos="1640" w:val="left"/>
        </w:tabs>
        <w:rPr>
          <w:sz w:val="20"/>
          <w:szCs w:val="20"/>
          <w:color w:val="auto"/>
        </w:rPr>
      </w:pPr>
      <w:r>
        <w:rPr>
          <w:rFonts w:ascii="Arial" w:cs="Arial" w:eastAsia="Arial" w:hAnsi="Arial"/>
          <w:sz w:val="14"/>
          <w:szCs w:val="14"/>
          <w:b w:val="1"/>
          <w:bCs w:val="1"/>
          <w:color w:val="auto"/>
        </w:rPr>
        <w:t>Units</w:t>
      </w:r>
      <w:r>
        <w:rPr>
          <w:sz w:val="20"/>
          <w:szCs w:val="20"/>
          <w:color w:val="auto"/>
        </w:rPr>
        <w:tab/>
      </w:r>
      <w:r>
        <w:rPr>
          <w:rFonts w:ascii="Arial" w:cs="Arial" w:eastAsia="Arial" w:hAnsi="Arial"/>
          <w:sz w:val="14"/>
          <w:szCs w:val="14"/>
          <w:b w:val="1"/>
          <w:bCs w:val="1"/>
          <w:color w:val="auto"/>
        </w:rPr>
        <w:t>Grant Date Fair Value</w:t>
      </w:r>
    </w:p>
    <w:p>
      <w:pPr>
        <w:spacing w:after="0" w:line="9" w:lineRule="exact"/>
        <w:rPr>
          <w:sz w:val="20"/>
          <w:szCs w:val="20"/>
          <w:color w:val="auto"/>
        </w:rPr>
      </w:pPr>
    </w:p>
    <w:p>
      <w:pPr>
        <w:sectPr>
          <w:pgSz w:w="11900" w:h="16838" w:orient="portrait"/>
          <w:cols w:equalWidth="0" w:num="2">
            <w:col w:w="7560" w:space="720"/>
            <w:col w:w="3140"/>
          </w:cols>
          <w:pgMar w:left="240" w:top="125" w:right="239" w:bottom="1440" w:gutter="0" w:footer="0" w:header="0"/>
        </w:sectPr>
      </w:pPr>
    </w:p>
    <w:tbl>
      <w:tblPr>
        <w:tblLayout w:type="fixed"/>
        <w:tblInd w:w="0" w:type="dxa"/>
        <w:tblCellMar>
          <w:top w:w="0" w:type="dxa"/>
          <w:left w:w="0" w:type="dxa"/>
          <w:bottom w:w="0" w:type="dxa"/>
          <w:right w:w="0" w:type="dxa"/>
        </w:tblCellMar>
      </w:tblPr>
      <w:tr>
        <w:trPr>
          <w:trHeight w:val="256"/>
        </w:trPr>
        <w:tc>
          <w:tcPr>
            <w:tcW w:w="8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March 3, 2018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266,180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49.22</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152,487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43.50</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(116,266)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46.57</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Canceled</w:t>
            </w:r>
          </w:p>
        </w:tc>
        <w:tc>
          <w:tcPr>
            <w:tcW w:w="1480" w:type="dxa"/>
            <w:vAlign w:val="bottom"/>
          </w:tcPr>
          <w:p>
            <w:pPr>
              <w:jc w:val="right"/>
              <w:spacing w:after="0"/>
              <w:rPr>
                <w:sz w:val="20"/>
                <w:szCs w:val="20"/>
                <w:color w:val="auto"/>
              </w:rPr>
            </w:pPr>
            <w:r>
              <w:rPr>
                <w:rFonts w:ascii="Arial" w:cs="Arial" w:eastAsia="Arial" w:hAnsi="Arial"/>
                <w:sz w:val="18"/>
                <w:szCs w:val="18"/>
                <w:color w:val="auto"/>
              </w:rPr>
              <w:t>(17,942)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48.65</w:t>
            </w:r>
          </w:p>
        </w:tc>
      </w:tr>
      <w:tr>
        <w:trPr>
          <w:trHeight w:val="27"/>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57"/>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at December 1, 2018</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284,459</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47.24</w:t>
            </w:r>
          </w:p>
        </w:tc>
      </w:tr>
      <w:tr>
        <w:trPr>
          <w:trHeight w:val="20"/>
        </w:trPr>
        <w:tc>
          <w:tcPr>
            <w:tcW w:w="8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1, 2018, there was $7.9 million of total unrecognized compensation cost related to nonvested share and nonvested share unit awards, which is expected to be recognized over a weighted average period of approximately 20 months. The total fair value of shares vested during the nine months ended December 1, 2018 was $4.9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sponsors two frozen defined-benefit pension plans: an unfunded Officers’ Supplemental Executive Retirement Plan and the Tubelite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Hourly Employees’ Pension Plan. Components of net periodic benefit cost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1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w w:val="98"/>
              </w:rPr>
              <w:t>December 1, 2018</w:t>
            </w:r>
          </w:p>
        </w:tc>
        <w:tc>
          <w:tcPr>
            <w:tcW w:w="100" w:type="dxa"/>
            <w:vAlign w:val="bottom"/>
            <w:vMerge w:val="restart"/>
          </w:tcPr>
          <w:p>
            <w:pPr>
              <w:spacing w:after="0"/>
              <w:rPr>
                <w:sz w:val="13"/>
                <w:szCs w:val="13"/>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December 2, 2017</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1,</w:t>
            </w:r>
          </w:p>
        </w:tc>
        <w:tc>
          <w:tcPr>
            <w:tcW w:w="240" w:type="dxa"/>
            <w:vAlign w:val="bottom"/>
          </w:tcPr>
          <w:p>
            <w:pPr>
              <w:spacing w:after="0"/>
              <w:rPr>
                <w:sz w:val="13"/>
                <w:szCs w:val="13"/>
                <w:color w:val="auto"/>
              </w:rPr>
            </w:pPr>
          </w:p>
        </w:tc>
        <w:tc>
          <w:tcPr>
            <w:tcW w:w="1240" w:type="dxa"/>
            <w:vAlign w:val="bottom"/>
          </w:tcPr>
          <w:p>
            <w:pPr>
              <w:jc w:val="right"/>
              <w:ind w:right="296"/>
              <w:spacing w:after="0" w:line="153" w:lineRule="exact"/>
              <w:rPr>
                <w:sz w:val="20"/>
                <w:szCs w:val="20"/>
                <w:color w:val="auto"/>
              </w:rPr>
            </w:pPr>
            <w:r>
              <w:rPr>
                <w:rFonts w:ascii="Arial" w:cs="Arial" w:eastAsia="Arial" w:hAnsi="Arial"/>
                <w:sz w:val="14"/>
                <w:szCs w:val="14"/>
                <w:b w:val="1"/>
                <w:bCs w:val="1"/>
                <w:color w:val="auto"/>
              </w:rPr>
              <w:t>December 2,</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40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Expected return on assets</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unrecognized net loss</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periodic benefit cost</w:t>
            </w:r>
          </w:p>
        </w:tc>
        <w:tc>
          <w:tcPr>
            <w:tcW w:w="400" w:type="dxa"/>
            <w:vAlign w:val="bottom"/>
            <w:tcBorders>
              <w:top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0"/>
                <w:szCs w:val="20"/>
                <w:color w:val="auto"/>
              </w:rPr>
            </w:pPr>
          </w:p>
        </w:tc>
        <w:tc>
          <w:tcPr>
            <w:tcW w:w="740" w:type="dxa"/>
            <w:vAlign w:val="bottom"/>
            <w:tcBorders>
              <w:top w:val="single" w:sz="8" w:color="auto"/>
            </w:tcBorders>
          </w:tcPr>
          <w:p>
            <w:pPr>
              <w:jc w:val="right"/>
              <w:ind w:right="53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files income tax returns in the U.S. federal jurisdiction, various U.S. state jurisdictions, Canada, Brazil and other international jurisdictions. The Company is no longer subject to U.S. federal tax examinations for years prior to fiscal 2016, or state and local income tax examinations for years prior to fiscal 2012. The Company is not currently under U.S. federal examination for years subsequent to fiscal year 2015, and there is very limited audit activity of the Company’s income tax returns in U.S. state jurisdictions or international jurisdictions.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total liability for unrecognized tax benefits was approximately $5.3 million at December 1, 2018 and $5.1 million at March 3, 2018. Penalties and interest related to unrecognized tax benefits are recorded in income tax expense. The total liability for unrecognized tax benefits is expected to decrease by approximately $0.6 million during the next 12 months due to lapsing of statutes.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the share amounts used in the computation of basic and diluted earnings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December 1, 2018</w:t>
            </w:r>
          </w:p>
        </w:tc>
        <w:tc>
          <w:tcPr>
            <w:tcW w:w="120" w:type="dxa"/>
            <w:vAlign w:val="bottom"/>
            <w:vMerge w:val="restart"/>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December 2, 2017</w:t>
            </w:r>
          </w:p>
        </w:tc>
        <w:tc>
          <w:tcPr>
            <w:tcW w:w="100" w:type="dxa"/>
            <w:vAlign w:val="bottom"/>
            <w:vMerge w:val="restart"/>
          </w:tcPr>
          <w:p>
            <w:pPr>
              <w:spacing w:after="0"/>
              <w:rPr>
                <w:sz w:val="13"/>
                <w:szCs w:val="13"/>
                <w:color w:val="auto"/>
              </w:rPr>
            </w:pPr>
          </w:p>
        </w:tc>
        <w:tc>
          <w:tcPr>
            <w:tcW w:w="136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December 1,</w:t>
            </w:r>
          </w:p>
        </w:tc>
        <w:tc>
          <w:tcPr>
            <w:tcW w:w="124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December 2,</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earnings per share – weighted average common shares outstanding</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27,836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28,736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28,030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28,812</w:t>
            </w:r>
          </w:p>
        </w:tc>
        <w:tc>
          <w:tcPr>
            <w:tcW w:w="0" w:type="dxa"/>
            <w:vAlign w:val="bottom"/>
          </w:tcPr>
          <w:p>
            <w:pPr>
              <w:spacing w:after="0"/>
              <w:rPr>
                <w:sz w:val="1"/>
                <w:szCs w:val="1"/>
                <w:color w:val="auto"/>
              </w:rPr>
            </w:pPr>
          </w:p>
        </w:tc>
      </w:tr>
      <w:tr>
        <w:trPr>
          <w:trHeight w:val="229"/>
        </w:trPr>
        <w:tc>
          <w:tcPr>
            <w:tcW w:w="6080" w:type="dxa"/>
            <w:vAlign w:val="bottom"/>
            <w:gridSpan w:val="2"/>
          </w:tcPr>
          <w:p>
            <w:pPr>
              <w:ind w:left="40"/>
              <w:spacing w:after="0"/>
              <w:rPr>
                <w:sz w:val="20"/>
                <w:szCs w:val="20"/>
                <w:color w:val="auto"/>
              </w:rPr>
            </w:pPr>
            <w:r>
              <w:rPr>
                <w:rFonts w:ascii="Arial" w:cs="Arial" w:eastAsia="Arial" w:hAnsi="Arial"/>
                <w:sz w:val="18"/>
                <w:szCs w:val="18"/>
                <w:color w:val="auto"/>
                <w:w w:val="91"/>
              </w:rPr>
              <w:t>Weighted average effect of nonvested share grants and assumed exercise of stock</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ind w:left="200"/>
              <w:spacing w:after="0"/>
              <w:rPr>
                <w:sz w:val="20"/>
                <w:szCs w:val="20"/>
                <w:color w:val="auto"/>
              </w:rPr>
            </w:pPr>
            <w:r>
              <w:rPr>
                <w:rFonts w:ascii="Arial" w:cs="Arial" w:eastAsia="Arial" w:hAnsi="Arial"/>
                <w:sz w:val="18"/>
                <w:szCs w:val="18"/>
                <w:color w:val="auto"/>
              </w:rPr>
              <w:t>options</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0"/>
                <w:szCs w:val="20"/>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Diluted earnings per share – weighted average common shares and potential</w:t>
            </w:r>
          </w:p>
        </w:tc>
        <w:tc>
          <w:tcPr>
            <w:tcW w:w="126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28,156</w:t>
            </w:r>
          </w:p>
        </w:tc>
        <w:tc>
          <w:tcPr>
            <w:tcW w:w="12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28,818</w:t>
            </w:r>
          </w:p>
        </w:tc>
        <w:tc>
          <w:tcPr>
            <w:tcW w:w="10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28,304</w:t>
            </w:r>
          </w:p>
        </w:tc>
        <w:tc>
          <w:tcPr>
            <w:tcW w:w="12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28,862</w:t>
            </w:r>
          </w:p>
        </w:tc>
        <w:tc>
          <w:tcPr>
            <w:tcW w:w="0" w:type="dxa"/>
            <w:vAlign w:val="bottom"/>
          </w:tcPr>
          <w:p>
            <w:pPr>
              <w:spacing w:after="0"/>
              <w:rPr>
                <w:sz w:val="1"/>
                <w:szCs w:val="1"/>
                <w:color w:val="auto"/>
              </w:rPr>
            </w:pPr>
          </w:p>
        </w:tc>
      </w:tr>
      <w:tr>
        <w:trPr>
          <w:trHeight w:val="237"/>
        </w:trPr>
        <w:tc>
          <w:tcPr>
            <w:tcW w:w="6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common shares outstanding</w:t>
            </w: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ind w:left="40"/>
              <w:spacing w:after="0"/>
              <w:rPr>
                <w:sz w:val="20"/>
                <w:szCs w:val="20"/>
                <w:color w:val="auto"/>
              </w:rPr>
            </w:pPr>
            <w:r>
              <w:rPr>
                <w:rFonts w:ascii="Arial" w:cs="Arial" w:eastAsia="Arial" w:hAnsi="Arial"/>
                <w:sz w:val="18"/>
                <w:szCs w:val="18"/>
                <w:color w:val="auto"/>
                <w:w w:val="96"/>
              </w:rPr>
              <w:t>Stock awards excluded from the calculation of earnings per share because the</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80" w:type="dxa"/>
            <w:vAlign w:val="bottom"/>
            <w:gridSpan w:val="2"/>
            <w:vMerge w:val="continue"/>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ind w:left="200"/>
              <w:spacing w:after="0"/>
              <w:rPr>
                <w:sz w:val="20"/>
                <w:szCs w:val="20"/>
                <w:color w:val="auto"/>
              </w:rPr>
            </w:pPr>
            <w:r>
              <w:rPr>
                <w:rFonts w:ascii="Arial" w:cs="Arial" w:eastAsia="Arial" w:hAnsi="Arial"/>
                <w:sz w:val="18"/>
                <w:szCs w:val="18"/>
                <w:color w:val="auto"/>
                <w:w w:val="96"/>
              </w:rPr>
              <w:t>effect was anti-dilutive (award price greater than average market price of the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ind w:left="200"/>
              <w:spacing w:after="0"/>
              <w:rPr>
                <w:sz w:val="20"/>
                <w:szCs w:val="20"/>
                <w:color w:val="auto"/>
              </w:rPr>
            </w:pPr>
            <w:r>
              <w:rPr>
                <w:rFonts w:ascii="Arial" w:cs="Arial" w:eastAsia="Arial" w:hAnsi="Arial"/>
                <w:sz w:val="18"/>
                <w:szCs w:val="18"/>
                <w:color w:val="auto"/>
              </w:rPr>
              <w:t>shares)</w:t>
            </w:r>
          </w:p>
        </w:tc>
        <w:tc>
          <w:tcPr>
            <w:tcW w:w="1260" w:type="dxa"/>
            <w:vAlign w:val="bottom"/>
            <w:vMerge w:val="restart"/>
          </w:tcPr>
          <w:p>
            <w:pPr>
              <w:jc w:val="right"/>
              <w:ind w:right="36"/>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0"/>
                <w:szCs w:val="20"/>
                <w:color w:val="auto"/>
              </w:rPr>
            </w:pPr>
          </w:p>
        </w:tc>
        <w:tc>
          <w:tcPr>
            <w:tcW w:w="13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18"/>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0"/>
                <w:szCs w:val="20"/>
                <w:color w:val="auto"/>
              </w:rPr>
            </w:pPr>
          </w:p>
        </w:tc>
        <w:tc>
          <w:tcPr>
            <w:tcW w:w="1240" w:type="dxa"/>
            <w:vAlign w:val="bottom"/>
            <w:vMerge w:val="restart"/>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5960" w:type="dxa"/>
            <w:vAlign w:val="bottom"/>
          </w:tcPr>
          <w:p>
            <w:pPr>
              <w:ind w:left="56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four reporting segments: Architectural Framing Systems, Architectural Glass, Architectural Services and Large-Scale Optical (LSO).</w:t>
      </w:r>
    </w:p>
    <w:p>
      <w:pPr>
        <w:spacing w:after="0" w:line="35" w:lineRule="exact"/>
        <w:rPr>
          <w:sz w:val="20"/>
          <w:szCs w:val="20"/>
          <w:color w:val="auto"/>
        </w:rPr>
      </w:pPr>
    </w:p>
    <w:p>
      <w:pPr>
        <w:jc w:val="both"/>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Architectural Framing Systems segment designs, engineers, fabricates and finishes the aluminum frames used in customized aluminum and glass window, curtainwall, storefront and entrance systems comprising the outside skin and entrances of commercial, institutional and high-end multi-family residential buildings. The Company has aggregated six operating segments into this reporting segment based on their similar products, customers, distribution methods, production processes and economic characteristics.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Architectural Glass segment fabricates coated, high-performance glass used in customized window and wall systems comprising the outside skin of commercial, institutional and high-end multi-family residential buildings.</w:t>
      </w: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Architectural Services segment designs, engineers, fabricates and installs the walls of glass, windows and other curtainwall products making up the outside skin of commercial and institutional buildings.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LSO segment manufactures value-added glass and acrylic products primarily for framing and display applications.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w w:val="96"/>
              </w:rPr>
              <w:t>December 1, 2018</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December 2, 2017</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December 1, 2018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1"/>
              </w:rPr>
              <w:t>December 2, 2017</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sales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Architectural Framing Systems</w:t>
            </w:r>
          </w:p>
        </w:tc>
        <w:tc>
          <w:tcPr>
            <w:tcW w:w="340" w:type="dxa"/>
            <w:vAlign w:val="bottom"/>
          </w:tcPr>
          <w:p>
            <w:pPr>
              <w:jc w:val="right"/>
              <w:ind w:right="154"/>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181,306</w:t>
            </w:r>
          </w:p>
        </w:tc>
        <w:tc>
          <w:tcPr>
            <w:tcW w:w="10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194,157</w:t>
            </w:r>
          </w:p>
        </w:tc>
        <w:tc>
          <w:tcPr>
            <w:tcW w:w="120" w:type="dxa"/>
            <w:vAlign w:val="bottom"/>
          </w:tcPr>
          <w:p>
            <w:pPr>
              <w:spacing w:after="0"/>
              <w:rPr>
                <w:sz w:val="21"/>
                <w:szCs w:val="21"/>
                <w:color w:val="auto"/>
              </w:rPr>
            </w:pP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550,193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493,672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Architectural Glass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98,524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96,940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263,533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292,026</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Architectural Services</w:t>
            </w: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72,828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49,077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220,051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146,056</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Large-Scale Optical</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64,897</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Intersegment eliminations</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(41,917)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(23,930)</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Net sales</w:t>
            </w: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357,718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356,506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1,056,382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972,721</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Operating income (loss) from operations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Architectural Framing Systems</w:t>
            </w: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46,958</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Architectural Glass</w:t>
            </w: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5,851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9,107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9,168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28,687</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Architectural Services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4,102</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Large-Scale Optical</w:t>
            </w: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6,628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6,724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15,845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15,022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Corporate and other</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(8,354)</w:t>
            </w:r>
          </w:p>
        </w:tc>
        <w:tc>
          <w:tcPr>
            <w:tcW w:w="0" w:type="dxa"/>
            <w:vAlign w:val="bottom"/>
          </w:tcPr>
          <w:p>
            <w:pPr>
              <w:spacing w:after="0"/>
              <w:rPr>
                <w:sz w:val="1"/>
                <w:szCs w:val="1"/>
                <w:color w:val="auto"/>
              </w:rPr>
            </w:pPr>
          </w:p>
        </w:tc>
      </w:tr>
      <w:tr>
        <w:trPr>
          <w:trHeight w:val="237"/>
        </w:trPr>
        <w:tc>
          <w:tcPr>
            <w:tcW w:w="5960" w:type="dxa"/>
            <w:vAlign w:val="bottom"/>
            <w:gridSpan w:val="2"/>
          </w:tcPr>
          <w:p>
            <w:pPr>
              <w:ind w:left="500"/>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31,408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34,535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82,062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86,415</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varying combinations and integration of individual window, storefront and curtainwall systems, it is impractical to report product revenues generated by class of product, beyond the segment revenues currently reported.</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discussion contains “forward-looking statements” within the meaning of the Private Securities Litigation Reform Act of 1995. These statements reflect our current views with respect to future events and financial performance. The words “believe,” “expect,” “anticipate,” “intend,” “estimate,” “forecast,” “project,” “should” and similar expressions are intended to identify “forward-looking statements” within the meaning of the Private Securities Litigation Reform Act of 1995. All forecasts and projections in this document are “forward-looking statements,” and are based on management’s current expectations or beliefs of the Company’s near-term results, based on current information available pertaining to the Company, including the risk factors noted under Item 1A of the Company’s Annual Report on Form 10-K for the fiscal year ended March 3, 2018. From time to time, we may also provide oral and written forward-looking statements in other materials we release to the public, such as press releases, presentations to securities analysts or investors, or other communications by the Company. Any or all of our forward-looking statements in this report and in any public statements we make could be materially different from actual results.</w:t>
      </w:r>
    </w:p>
    <w:p>
      <w:pPr>
        <w:spacing w:after="0" w:line="19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Accordingly, we wish to caution investors that any forward-looking statements made by or on behalf of the Company are subject to uncertainties and other factors that could cause actual results to differ materially from such statements. These uncertainties and other risk factors include, but are not limited to, the risks and uncertainties set forth under Item 1A of the Company’s Annual Report on Form 10-K for the fiscal year ended March 3, 2018.</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wish to caution investors that other factors might in the future prove to be important in affecting the Company’s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undertake no obligation to update publicly or revise any forward-looking statements, whether as a result of new information, future events or otherwise.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are a world leader in certain technologies involving the design and development of value-added glass and metal products and services for enclosing commercial buildings and framing and displays. Our four reporting segments are: Architectural Framing Systems, Architectural Glass, Architectural Services and Large-Scale Optical (LSO).</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selected financial data should be read in conjunction with the Company’s Form 10-K for the year ended March 3, 2018 and the consolidated financial statements, including the notes to consolidated financial statements, included therein.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of Third Quarter and First Nine Months of Fiscal 2019 Compared to Third Quarter and First Nine Months of Fiscal 2018</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sales</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Consolidated net sales increased 0.3 percent, or $1.2 million, for the third quarter ended December 1, 2018, and 8.6 percent, or $83.7 million, for the nine-month period, compared to the same periods in the prior year. In the three-month period, sales growth was driven by the Architectural Services segment, largely offset by volume-related declines in the Architectural Framing and Large Scale Optical segments. In the nine-month period, the increase in sales was primarily driven by the Architectural Services segment, as well as growth from our Architectural Framing segment, partially offset by lower sales in Architectural Glass.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relationship between various components of operations, as a percentage of net sales, is presented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3000" w:type="dxa"/>
            <w:vAlign w:val="bottom"/>
            <w:tcBorders>
              <w:bottom w:val="single" w:sz="8" w:color="auto"/>
            </w:tcBorders>
            <w:gridSpan w:val="3"/>
          </w:tcPr>
          <w:p>
            <w:pPr>
              <w:jc w:val="right"/>
              <w:ind w:right="73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69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15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December 1, 2018</w:t>
            </w:r>
          </w:p>
        </w:tc>
        <w:tc>
          <w:tcPr>
            <w:tcW w:w="15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December 2, 2017</w:t>
            </w:r>
          </w:p>
        </w:tc>
        <w:tc>
          <w:tcPr>
            <w:tcW w:w="144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December 1,</w:t>
            </w:r>
          </w:p>
        </w:tc>
        <w:tc>
          <w:tcPr>
            <w:tcW w:w="136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December 2,</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340" w:type="dxa"/>
            <w:vAlign w:val="bottom"/>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360" w:type="dxa"/>
            <w:vAlign w:val="bottom"/>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1"/>
                <w:szCs w:val="21"/>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21"/>
                <w:szCs w:val="21"/>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4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14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Interest and other (expense) income, net</w:t>
            </w: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Earnings before income taxes</w:t>
            </w:r>
          </w:p>
        </w:tc>
        <w:tc>
          <w:tcPr>
            <w:tcW w:w="14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earnings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Effective tax rate</w:t>
            </w: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00" w:type="dxa"/>
            <w:vAlign w:val="bottom"/>
            <w:vMerge w:val="continue"/>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23.5 %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29.1 %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23.8 %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31.7 %</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Gross profit</w:t>
      </w:r>
    </w:p>
    <w:p>
      <w:pPr>
        <w:spacing w:after="0" w:line="27" w:lineRule="exact"/>
        <w:rPr>
          <w:sz w:val="20"/>
          <w:szCs w:val="20"/>
          <w:color w:val="auto"/>
        </w:rPr>
      </w:pPr>
    </w:p>
    <w:p>
      <w:pPr>
        <w:jc w:val="both"/>
        <w:ind w:left="60"/>
        <w:spacing w:after="0" w:line="295" w:lineRule="auto"/>
        <w:rPr>
          <w:sz w:val="20"/>
          <w:szCs w:val="20"/>
          <w:color w:val="auto"/>
        </w:rPr>
      </w:pPr>
      <w:r>
        <w:rPr>
          <w:rFonts w:ascii="Arial" w:cs="Arial" w:eastAsia="Arial" w:hAnsi="Arial"/>
          <w:sz w:val="16"/>
          <w:szCs w:val="16"/>
          <w:color w:val="auto"/>
        </w:rPr>
        <w:t>Gross profit as a percent of sales was 23.5 percent and 23.6 percent for the three- and nine-month periods, respectively, ended December 1, 2018, compared to 25.7 percent and 25.5 percent for each of the three- and nine-month periods ended December 2, 2017. Gross profit as a percent of sales declined from the prior-year periods primarily due to higher operating costs in the Architectural Glass segment and negative leverage on reduced volumes in the Architectural Framing segment, somewhat offset by volume leverage and good project performance in the Architectural Services segment.</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Selling, general and administrative (SG&amp;A) expenses</w:t>
      </w:r>
    </w:p>
    <w:p>
      <w:pPr>
        <w:spacing w:after="0" w:line="121" w:lineRule="exact"/>
        <w:rPr>
          <w:sz w:val="20"/>
          <w:szCs w:val="20"/>
          <w:color w:val="auto"/>
        </w:rPr>
      </w:pPr>
    </w:p>
    <w:p>
      <w:pPr>
        <w:jc w:val="both"/>
        <w:ind w:left="60"/>
        <w:spacing w:after="0" w:line="259" w:lineRule="auto"/>
        <w:rPr>
          <w:sz w:val="20"/>
          <w:szCs w:val="20"/>
          <w:color w:val="auto"/>
        </w:rPr>
      </w:pPr>
      <w:r>
        <w:rPr>
          <w:rFonts w:ascii="Arial" w:cs="Arial" w:eastAsia="Arial" w:hAnsi="Arial"/>
          <w:sz w:val="18"/>
          <w:szCs w:val="18"/>
          <w:color w:val="auto"/>
        </w:rPr>
        <w:t>SG&amp;A expenses as a percent of sales declined to 14.7 percent and 15.8 percent for the three- and nine-month periods, respectively, ended December 1, 2018, compared to 16.0 percent and 16.6 percent in the three- and nine-month periods, respectively, last year. The decline as a percent of sales in both periods was primarily due to reduced amortization on short-lived intangibles and a gain on the sale of a property. In the year-to-date period, SG&amp;A expense as a percent of sales also decreased due to the acquisition-related costs incurred in the prior year.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effective tax rate in the third quarter of fiscal 2019 was 23.5 percent, compared to 29.1 percent in the same period last year, and 23.8 percent for the first nine months of fiscal 2019, compared to 31.7 percent in the prior-year period. The reduction in the effective tax rate in both periods was primarily driven by the provisions of the Tax Cuts and Jobs Act, enacted in December 2017.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Architectural Framing Systems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December 1, 2018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9"/>
              </w:rPr>
              <w:t>December 2, 2017</w:t>
            </w:r>
          </w:p>
        </w:tc>
        <w:tc>
          <w:tcPr>
            <w:tcW w:w="120" w:type="dxa"/>
            <w:vAlign w:val="bottom"/>
            <w:vMerge w:val="restart"/>
          </w:tcPr>
          <w:p>
            <w:pPr>
              <w:spacing w:after="0"/>
              <w:rPr>
                <w:sz w:val="13"/>
                <w:szCs w:val="13"/>
                <w:color w:val="auto"/>
              </w:rPr>
            </w:pPr>
          </w:p>
        </w:tc>
        <w:tc>
          <w:tcPr>
            <w:tcW w:w="100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28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8"/>
              </w:rPr>
              <w:t>December 1, 2018</w:t>
            </w:r>
          </w:p>
        </w:tc>
        <w:tc>
          <w:tcPr>
            <w:tcW w:w="120" w:type="dxa"/>
            <w:vAlign w:val="bottom"/>
          </w:tcPr>
          <w:p>
            <w:pPr>
              <w:spacing w:after="0"/>
              <w:rPr>
                <w:sz w:val="13"/>
                <w:szCs w:val="13"/>
                <w:color w:val="auto"/>
              </w:rPr>
            </w:pPr>
          </w:p>
        </w:tc>
        <w:tc>
          <w:tcPr>
            <w:tcW w:w="130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w w:val="98"/>
              </w:rPr>
              <w:t>December 2, 2017</w:t>
            </w:r>
          </w:p>
        </w:tc>
        <w:tc>
          <w:tcPr>
            <w:tcW w:w="100" w:type="dxa"/>
            <w:vAlign w:val="bottom"/>
            <w:vMerge w:val="restart"/>
          </w:tcPr>
          <w:p>
            <w:pPr>
              <w:spacing w:after="0"/>
              <w:rPr>
                <w:sz w:val="13"/>
                <w:szCs w:val="13"/>
                <w:color w:val="auto"/>
              </w:rPr>
            </w:pPr>
          </w:p>
        </w:tc>
        <w:tc>
          <w:tcPr>
            <w:tcW w:w="1000" w:type="dxa"/>
            <w:vAlign w:val="bottom"/>
          </w:tcPr>
          <w:p>
            <w:pPr>
              <w:jc w:val="right"/>
              <w:ind w:right="33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58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181,306</w:t>
            </w:r>
          </w:p>
        </w:tc>
        <w:tc>
          <w:tcPr>
            <w:tcW w:w="46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194,157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550,193</w:t>
            </w:r>
          </w:p>
        </w:tc>
        <w:tc>
          <w:tcPr>
            <w:tcW w:w="4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493,672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43"/>
        </w:trPr>
        <w:tc>
          <w:tcPr>
            <w:tcW w:w="368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12,903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18,452</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43,554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46,958</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60"/>
        <w:spacing w:after="0" w:line="259" w:lineRule="auto"/>
        <w:rPr>
          <w:sz w:val="20"/>
          <w:szCs w:val="20"/>
          <w:color w:val="auto"/>
        </w:rPr>
      </w:pPr>
      <w:r>
        <w:rPr>
          <w:rFonts w:ascii="Arial" w:cs="Arial" w:eastAsia="Arial" w:hAnsi="Arial"/>
          <w:sz w:val="18"/>
          <w:szCs w:val="18"/>
          <w:color w:val="auto"/>
        </w:rPr>
        <w:t>Architectural Framing Systems net sales decreased $12.9 million, or 6.6 percent, for the three-month period ended December 1, 2018, and increased $56.5 million, or 11.4 percent, for the nine-month period this year, compared to the respective prior year periods. The sales decline in the current-year third quarter was primarily due to lower volumes reflecting project timing delays in some of the segment's end markets. For the nine-month period, the sales increase was primarily due to the addition of EFCO (acquired in June 2017) for the full period.</w:t>
      </w:r>
    </w:p>
    <w:p>
      <w:pPr>
        <w:spacing w:after="0" w:line="79" w:lineRule="exact"/>
        <w:rPr>
          <w:sz w:val="20"/>
          <w:szCs w:val="20"/>
          <w:color w:val="auto"/>
        </w:rPr>
      </w:pPr>
    </w:p>
    <w:p>
      <w:pPr>
        <w:jc w:val="both"/>
        <w:ind w:left="60"/>
        <w:spacing w:after="0" w:line="302" w:lineRule="auto"/>
        <w:rPr>
          <w:sz w:val="20"/>
          <w:szCs w:val="20"/>
          <w:color w:val="auto"/>
        </w:rPr>
      </w:pPr>
      <w:r>
        <w:rPr>
          <w:rFonts w:ascii="Arial" w:cs="Arial" w:eastAsia="Arial" w:hAnsi="Arial"/>
          <w:sz w:val="16"/>
          <w:szCs w:val="16"/>
          <w:color w:val="auto"/>
        </w:rPr>
        <w:t>Operating margin decreased 240 and 160 basis points, respectively, for the three- and nine-month periods of the current year, compared to the same periods in the prior year. For the three-month period, the operating margin decline compared to the prior year was primarily driven by negative operating leverage on reduced volume. For the nine-month period, the decline in operating margin was driven by the inclusion in the current year of a full period of EFCO at lower operating margins, partially offset by operating improvements in our businesses existing prior to our acquisitions of Sotawall (in December 2016) and EFCO.</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1, 2018, segment backlog was approximately $392 million, compared to approximately $406 million last quarter.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Architectural Glass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December 1, 2018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9"/>
              </w:rPr>
              <w:t>December 2, 2017</w:t>
            </w:r>
          </w:p>
        </w:tc>
        <w:tc>
          <w:tcPr>
            <w:tcW w:w="120" w:type="dxa"/>
            <w:vAlign w:val="bottom"/>
            <w:vMerge w:val="restart"/>
          </w:tcPr>
          <w:p>
            <w:pPr>
              <w:spacing w:after="0"/>
              <w:rPr>
                <w:sz w:val="13"/>
                <w:szCs w:val="13"/>
                <w:color w:val="auto"/>
              </w:rPr>
            </w:pPr>
          </w:p>
        </w:tc>
        <w:tc>
          <w:tcPr>
            <w:tcW w:w="1000" w:type="dxa"/>
            <w:vAlign w:val="bottom"/>
          </w:tcPr>
          <w:p>
            <w:pPr>
              <w:jc w:val="right"/>
              <w:ind w:right="339"/>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3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9"/>
              </w:rPr>
              <w:t>December 1, 2018</w:t>
            </w:r>
          </w:p>
        </w:tc>
        <w:tc>
          <w:tcPr>
            <w:tcW w:w="100" w:type="dxa"/>
            <w:vAlign w:val="bottom"/>
          </w:tcPr>
          <w:p>
            <w:pPr>
              <w:spacing w:after="0"/>
              <w:rPr>
                <w:sz w:val="13"/>
                <w:szCs w:val="13"/>
                <w:color w:val="auto"/>
              </w:rPr>
            </w:pPr>
          </w:p>
        </w:tc>
        <w:tc>
          <w:tcPr>
            <w:tcW w:w="13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9"/>
              </w:rPr>
              <w:t>December 2, 2017</w:t>
            </w:r>
          </w:p>
        </w:tc>
        <w:tc>
          <w:tcPr>
            <w:tcW w:w="100" w:type="dxa"/>
            <w:vAlign w:val="bottom"/>
            <w:vMerge w:val="restart"/>
          </w:tcPr>
          <w:p>
            <w:pPr>
              <w:spacing w:after="0"/>
              <w:rPr>
                <w:sz w:val="13"/>
                <w:szCs w:val="13"/>
                <w:color w:val="auto"/>
              </w:rPr>
            </w:pPr>
          </w:p>
        </w:tc>
        <w:tc>
          <w:tcPr>
            <w:tcW w:w="102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98,524</w:t>
            </w:r>
          </w:p>
        </w:tc>
        <w:tc>
          <w:tcPr>
            <w:tcW w:w="520" w:type="dxa"/>
            <w:vAlign w:val="bottom"/>
            <w:tcBorders>
              <w:bottom w:val="single" w:sz="8" w:color="CCEEFF"/>
            </w:tcBorders>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96,940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263,533</w:t>
            </w:r>
          </w:p>
        </w:tc>
        <w:tc>
          <w:tcPr>
            <w:tcW w:w="4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292,026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5,851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9,107</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9,168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28,687</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60"/>
        <w:spacing w:after="0" w:line="286" w:lineRule="auto"/>
        <w:rPr>
          <w:sz w:val="20"/>
          <w:szCs w:val="20"/>
          <w:color w:val="auto"/>
        </w:rPr>
      </w:pPr>
      <w:r>
        <w:rPr>
          <w:rFonts w:ascii="Arial" w:cs="Arial" w:eastAsia="Arial" w:hAnsi="Arial"/>
          <w:sz w:val="17"/>
          <w:szCs w:val="17"/>
          <w:color w:val="auto"/>
        </w:rPr>
        <w:t>Net sales increased $1.6 million, or 1.6 percent, and declined $28.5 million, or 9.8 percent, for the three- and nine-month periods, respectively, ended December 1, 2018, compared to the same periods in the prior year. The decline in the year-to-date period was the result of changes in the timing of customer orders as well as volume declines stemming from operational challenges within the segment (described in the next paragraph).</w:t>
      </w:r>
    </w:p>
    <w:p>
      <w:pPr>
        <w:spacing w:after="0" w:line="57" w:lineRule="exact"/>
        <w:rPr>
          <w:sz w:val="20"/>
          <w:szCs w:val="20"/>
          <w:color w:val="auto"/>
        </w:rPr>
      </w:pPr>
    </w:p>
    <w:p>
      <w:pPr>
        <w:jc w:val="both"/>
        <w:ind w:left="60"/>
        <w:spacing w:after="0" w:line="257" w:lineRule="auto"/>
        <w:rPr>
          <w:sz w:val="20"/>
          <w:szCs w:val="20"/>
          <w:color w:val="auto"/>
        </w:rPr>
      </w:pPr>
      <w:r>
        <w:rPr>
          <w:rFonts w:ascii="Arial" w:cs="Arial" w:eastAsia="Arial" w:hAnsi="Arial"/>
          <w:sz w:val="18"/>
          <w:szCs w:val="18"/>
          <w:color w:val="auto"/>
        </w:rPr>
        <w:t>Operating margin declined 350 and 630 basis points, respectively, for the three- and nine-month periods of the current year, compared to the same periods in the prior year, primarily driven by significantly increased labor costs, continued lower productivity and higher cost of quality, as the segment has been challenged to efficiently ramp-up production in a tight labor market to meet higher than expected order intake and customer demand. In the third quarter of fiscal 2019, we made progress toward overcoming these operational challenges, resulting in operating margin improvement compared to the prior quarter and we expect these improvements to continue into early fiscal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Architectural Services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Borders>
              <w:bottom w:val="single" w:sz="8" w:color="auto"/>
            </w:tcBorders>
          </w:tcPr>
          <w:p>
            <w:pPr>
              <w:spacing w:after="0"/>
              <w:rPr>
                <w:sz w:val="16"/>
                <w:szCs w:val="16"/>
                <w:color w:val="auto"/>
              </w:rPr>
            </w:pPr>
          </w:p>
        </w:tc>
      </w:tr>
      <w:tr>
        <w:trPr>
          <w:trHeight w:val="152"/>
        </w:trPr>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97"/>
              <w:spacing w:after="0" w:line="153" w:lineRule="exact"/>
              <w:rPr>
                <w:sz w:val="20"/>
                <w:szCs w:val="20"/>
                <w:color w:val="auto"/>
              </w:rPr>
            </w:pPr>
            <w:r>
              <w:rPr>
                <w:rFonts w:ascii="Arial" w:cs="Arial" w:eastAsia="Arial" w:hAnsi="Arial"/>
                <w:sz w:val="14"/>
                <w:szCs w:val="14"/>
                <w:b w:val="1"/>
                <w:bCs w:val="1"/>
                <w:color w:val="auto"/>
                <w:w w:val="98"/>
              </w:rPr>
              <w:t>December 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w:t>
            </w:r>
          </w:p>
        </w:tc>
        <w:tc>
          <w:tcPr>
            <w:tcW w:w="960" w:type="dxa"/>
            <w:vAlign w:val="bottom"/>
          </w:tcPr>
          <w:p>
            <w:pPr>
              <w:jc w:val="right"/>
              <w:ind w:right="339"/>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177"/>
              <w:spacing w:after="0" w:line="153" w:lineRule="exact"/>
              <w:rPr>
                <w:sz w:val="20"/>
                <w:szCs w:val="20"/>
                <w:color w:val="auto"/>
              </w:rPr>
            </w:pPr>
            <w:r>
              <w:rPr>
                <w:rFonts w:ascii="Arial" w:cs="Arial" w:eastAsia="Arial" w:hAnsi="Arial"/>
                <w:sz w:val="14"/>
                <w:szCs w:val="14"/>
                <w:b w:val="1"/>
                <w:bCs w:val="1"/>
                <w:color w:val="auto"/>
                <w:w w:val="96"/>
              </w:rPr>
              <w:t>December 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w:t>
            </w:r>
          </w:p>
        </w:tc>
        <w:tc>
          <w:tcPr>
            <w:tcW w:w="960" w:type="dxa"/>
            <w:vAlign w:val="bottom"/>
          </w:tcPr>
          <w:p>
            <w:pPr>
              <w:jc w:val="right"/>
              <w:ind w:right="319"/>
              <w:spacing w:after="0" w:line="153" w:lineRule="exact"/>
              <w:rPr>
                <w:sz w:val="20"/>
                <w:szCs w:val="20"/>
                <w:color w:val="auto"/>
              </w:rPr>
            </w:pPr>
            <w:r>
              <w:rPr>
                <w:rFonts w:ascii="Arial" w:cs="Arial" w:eastAsia="Arial" w:hAnsi="Arial"/>
                <w:sz w:val="14"/>
                <w:szCs w:val="14"/>
                <w:b w:val="1"/>
                <w:bCs w:val="1"/>
                <w:color w:val="auto"/>
              </w:rPr>
              <w:t>%</w:t>
            </w:r>
          </w:p>
        </w:tc>
      </w:tr>
      <w:tr>
        <w:trPr>
          <w:trHeight w:val="192"/>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r>
      <w:tr>
        <w:trPr>
          <w:trHeight w:val="250"/>
        </w:trPr>
        <w:tc>
          <w:tcPr>
            <w:tcW w:w="3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72,828</w:t>
            </w: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49,077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220,051</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146,056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r>
      <w:tr>
        <w:trPr>
          <w:trHeight w:val="243"/>
        </w:trPr>
        <w:tc>
          <w:tcPr>
            <w:tcW w:w="372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8,659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17"/>
              <w:spacing w:after="0"/>
              <w:rPr>
                <w:sz w:val="20"/>
                <w:szCs w:val="20"/>
                <w:color w:val="auto"/>
              </w:rPr>
            </w:pPr>
            <w:r>
              <w:rPr>
                <w:rFonts w:ascii="Arial" w:cs="Arial" w:eastAsia="Arial" w:hAnsi="Arial"/>
                <w:sz w:val="18"/>
                <w:szCs w:val="18"/>
                <w:color w:val="auto"/>
              </w:rPr>
              <w:t>2,547</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77"/>
              <w:spacing w:after="0"/>
              <w:rPr>
                <w:sz w:val="20"/>
                <w:szCs w:val="20"/>
                <w:color w:val="auto"/>
              </w:rPr>
            </w:pPr>
            <w:r>
              <w:rPr>
                <w:rFonts w:ascii="Arial" w:cs="Arial" w:eastAsia="Arial" w:hAnsi="Arial"/>
                <w:sz w:val="18"/>
                <w:szCs w:val="18"/>
                <w:color w:val="auto"/>
              </w:rPr>
              <w:t>21,435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17"/>
              <w:spacing w:after="0"/>
              <w:rPr>
                <w:sz w:val="20"/>
                <w:szCs w:val="20"/>
                <w:color w:val="auto"/>
              </w:rPr>
            </w:pPr>
            <w:r>
              <w:rPr>
                <w:rFonts w:ascii="Arial" w:cs="Arial" w:eastAsia="Arial" w:hAnsi="Arial"/>
                <w:sz w:val="18"/>
                <w:szCs w:val="18"/>
                <w:color w:val="auto"/>
              </w:rPr>
              <w:t>4,102</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422.5%</w:t>
            </w:r>
          </w:p>
        </w:tc>
      </w:tr>
      <w:tr>
        <w:trPr>
          <w:trHeight w:val="27"/>
        </w:trPr>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3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7"/>
        </w:trPr>
        <w:tc>
          <w:tcPr>
            <w:tcW w:w="3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0" w:right="20"/>
        <w:spacing w:after="0" w:line="308" w:lineRule="auto"/>
        <w:rPr>
          <w:sz w:val="20"/>
          <w:szCs w:val="20"/>
          <w:color w:val="auto"/>
        </w:rPr>
      </w:pPr>
      <w:r>
        <w:rPr>
          <w:rFonts w:ascii="Arial" w:cs="Arial" w:eastAsia="Arial" w:hAnsi="Arial"/>
          <w:sz w:val="17"/>
          <w:szCs w:val="17"/>
          <w:color w:val="auto"/>
        </w:rPr>
        <w:t>Architectural Services net sales increased $23.8 million, or 48.4 percent, and $74.0 million, or 50.7 percent, for the three- and nine- month periods, respectively, ended December 1, 2018, over the same periods in the prior year, as the business continued to experience strong execution on projects.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left="60"/>
        <w:spacing w:after="0" w:line="277" w:lineRule="auto"/>
        <w:rPr>
          <w:sz w:val="20"/>
          <w:szCs w:val="20"/>
          <w:color w:val="auto"/>
        </w:rPr>
      </w:pPr>
      <w:r>
        <w:rPr>
          <w:rFonts w:ascii="Arial" w:cs="Arial" w:eastAsia="Arial" w:hAnsi="Arial"/>
          <w:sz w:val="18"/>
          <w:szCs w:val="18"/>
          <w:color w:val="auto"/>
        </w:rPr>
        <w:t>Operating margin increased 670 and 690 basis points, respectively, for the three- and nine-month periods of the current year, compared to the same periods in the prior year, due to volume leverage and strong project execution.</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1, 2018, segment backlog was approximately $419 million, compared to approximately $405 million last quarter.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Large-Scale Optical (LSO)</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December 1, 2018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9"/>
              </w:rPr>
              <w:t>December 2, 2017</w:t>
            </w:r>
          </w:p>
        </w:tc>
        <w:tc>
          <w:tcPr>
            <w:tcW w:w="120" w:type="dxa"/>
            <w:vAlign w:val="bottom"/>
            <w:vMerge w:val="restart"/>
          </w:tcPr>
          <w:p>
            <w:pPr>
              <w:spacing w:after="0"/>
              <w:rPr>
                <w:sz w:val="13"/>
                <w:szCs w:val="13"/>
                <w:color w:val="auto"/>
              </w:rPr>
            </w:pPr>
          </w:p>
        </w:tc>
        <w:tc>
          <w:tcPr>
            <w:tcW w:w="100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32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w w:val="99"/>
              </w:rPr>
              <w:t>December 1, 2018</w:t>
            </w:r>
          </w:p>
        </w:tc>
        <w:tc>
          <w:tcPr>
            <w:tcW w:w="100" w:type="dxa"/>
            <w:vAlign w:val="bottom"/>
          </w:tcPr>
          <w:p>
            <w:pPr>
              <w:spacing w:after="0"/>
              <w:rPr>
                <w:sz w:val="13"/>
                <w:szCs w:val="13"/>
                <w:color w:val="auto"/>
              </w:rPr>
            </w:pPr>
          </w:p>
        </w:tc>
        <w:tc>
          <w:tcPr>
            <w:tcW w:w="132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w w:val="99"/>
              </w:rPr>
              <w:t>December 2, 2017</w:t>
            </w:r>
          </w:p>
        </w:tc>
        <w:tc>
          <w:tcPr>
            <w:tcW w:w="100" w:type="dxa"/>
            <w:vAlign w:val="bottom"/>
            <w:vMerge w:val="restart"/>
          </w:tcPr>
          <w:p>
            <w:pPr>
              <w:spacing w:after="0"/>
              <w:rPr>
                <w:sz w:val="13"/>
                <w:szCs w:val="13"/>
                <w:color w:val="auto"/>
              </w:rPr>
            </w:pPr>
          </w:p>
        </w:tc>
        <w:tc>
          <w:tcPr>
            <w:tcW w:w="1000" w:type="dxa"/>
            <w:vAlign w:val="bottom"/>
          </w:tcPr>
          <w:p>
            <w:pPr>
              <w:jc w:val="right"/>
              <w:ind w:right="33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23,377</w:t>
            </w:r>
          </w:p>
        </w:tc>
        <w:tc>
          <w:tcPr>
            <w:tcW w:w="520" w:type="dxa"/>
            <w:vAlign w:val="bottom"/>
            <w:tcBorders>
              <w:bottom w:val="single" w:sz="8" w:color="CCEEFF"/>
            </w:tcBorders>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26,003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64,522</w:t>
            </w:r>
          </w:p>
        </w:tc>
        <w:tc>
          <w:tcPr>
            <w:tcW w:w="48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64,897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6,628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6,724</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15,845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15,022</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60" w:right="20"/>
        <w:spacing w:after="0" w:line="277" w:lineRule="auto"/>
        <w:rPr>
          <w:sz w:val="20"/>
          <w:szCs w:val="20"/>
          <w:color w:val="auto"/>
        </w:rPr>
      </w:pPr>
      <w:r>
        <w:rPr>
          <w:rFonts w:ascii="Arial" w:cs="Arial" w:eastAsia="Arial" w:hAnsi="Arial"/>
          <w:sz w:val="18"/>
          <w:szCs w:val="18"/>
          <w:color w:val="auto"/>
        </w:rPr>
        <w:t>LSO net sales decreased $2.6 million, or 10.1 percent, and $0.4 million, or 0.6 percent, for the three- and nine-month periods ended December 1, 2018, over the same periods in the prior year.</w:t>
      </w:r>
    </w:p>
    <w:p>
      <w:pPr>
        <w:spacing w:after="0" w:line="62"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Operating margin increased 250 basis points for the three months ended December 1, 2018, compared to the third quarter of last year and increased 150 basis points for the nine-month period of the current year compared to the same period in the prior year, driven by good operational performance and an insurance recovery.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9"/>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Selected cash flow data</w:t>
            </w:r>
          </w:p>
        </w:tc>
        <w:tc>
          <w:tcPr>
            <w:tcW w:w="1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93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December 1, 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4"/>
              </w:rPr>
              <w:t>December 2, 2017</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70,644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66,239</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(33,867)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(38,946)</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Acquisition of business, net of cash acquired</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(184,826)</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Proceeds from sale of property, plant and equipment</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12,332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253</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Proceeds from issuance of debt</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294,500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314,700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Payments on debt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(150,700)</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Repurchase and retirement of common stock</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(23,313)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(10,833)</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(11,971)</w:t>
            </w:r>
          </w:p>
        </w:tc>
      </w:tr>
      <w:tr>
        <w:trPr>
          <w:trHeight w:val="27"/>
        </w:trPr>
        <w:tc>
          <w:tcPr>
            <w:tcW w:w="8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Cash provided by operating activities was $70.6 million for the first nine months of fiscal 2019, increasing $4.4 million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prior-year period, primarily due to proceeds received on our two New Market Tax Credit transactions.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Net cash used in investing activities was $26.9 million for the first nine months of fiscal 2019, primarily due to capital expenditures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 purchases of marketable securities, offset by proceeds received from the sale of property, while in the first nine months of the prior year, net cash used by investing activities was $223.4 million, driven by the EFCO acquisition. We estimate fiscal 2019 capital expenditures to be approximately $60 million, as we continue to make investments in projects that will add capabilities, improve productivity and expand capacity.</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continue to review our portfolio of businesses and their assets in comparison to our internal strategic and performance objectives. As part of this review, we may take actions to adjust capacity, pursue geographic expansion, further invest in, fully divest or sell parts of our current businesses and/or acquire other businesses.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At December 1, 2018, we had outstanding borrowings under our credit facility of $211.5 million and $25.1 million of ongoing letters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credit that reduce availability of funds under our $335.0 million committed credit facility. As defined within our amended committed revolving credit facility, we are required to comply with two financial covenants. These financial covenants require us to stay below a maximum leverage ratio and to maintain a minimum interest coverage ratio. At December 1, 2018, we were in compliance with both financial covenants.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paid dividends totaling $13.2 million ($0.4725 per share) in the first nine months of fiscal 2019. As of December 1, 2018, we repurchased 600,000 shares under our authorized share repurchase program, for a total cost of $23.3 million; all such purchases were made in the third quarter. In the first nine months of fiscal 2018, we repurchased 200,000 shares under our authorized share repurchase program, for a total cost of $10.8 million. Subsequent to the end of the quarter, we purchased 504,004 shares under the program, at a total cost of $14.9 million. Including these shares, we have purchased a total of 5,113,936 shares, at a cost of $144.1 million, since the fiscal 2004 inception of this program. We currently have remaining authority to repurchase an additional 2,136,064 shares under this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Financing Activities. </w:t>
      </w:r>
      <w:r>
        <w:rPr>
          <w:rFonts w:ascii="Arial" w:cs="Arial" w:eastAsia="Arial" w:hAnsi="Arial"/>
          <w:sz w:val="18"/>
          <w:szCs w:val="18"/>
          <w:color w:val="auto"/>
        </w:rPr>
        <w:t>The following summarizes our significant contractual obligations that impact our liquidity as of December 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rPr>
              <w:t>Payments Due by Fiscal Period</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Remainder of</w:t>
            </w:r>
          </w:p>
        </w:tc>
        <w:tc>
          <w:tcPr>
            <w:tcW w:w="140" w:type="dxa"/>
            <w:vAlign w:val="bottom"/>
          </w:tcPr>
          <w:p>
            <w:pPr>
              <w:spacing w:after="0"/>
              <w:rPr>
                <w:sz w:val="13"/>
                <w:szCs w:val="13"/>
                <w:color w:val="auto"/>
              </w:rPr>
            </w:pPr>
          </w:p>
        </w:tc>
        <w:tc>
          <w:tcPr>
            <w:tcW w:w="8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0"/>
              </w:rPr>
              <w:t>Fiscal 2020</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0"/>
              </w:rPr>
              <w:t>Fiscal 2021</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3"/>
              </w:rPr>
              <w:t>Fiscal 2022</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3"/>
              </w:rPr>
              <w:t>Fiscal 2023</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9"/>
              </w:rPr>
              <w:t>Thereafter</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Fiscal 2019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obligations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5,520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214,091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232,845</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Operating leases (undiscounted)</w:t>
            </w:r>
          </w:p>
        </w:tc>
        <w:tc>
          <w:tcPr>
            <w:tcW w:w="14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3,890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14,759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11,522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9,353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8,459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23,308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71,291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54,913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99,393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7,625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163,162</w:t>
            </w:r>
          </w:p>
        </w:tc>
        <w:tc>
          <w:tcPr>
            <w:tcW w:w="0" w:type="dxa"/>
            <w:vAlign w:val="bottom"/>
          </w:tcPr>
          <w:p>
            <w:pPr>
              <w:spacing w:after="0"/>
              <w:rPr>
                <w:sz w:val="1"/>
                <w:szCs w:val="1"/>
                <w:color w:val="auto"/>
              </w:rPr>
            </w:pPr>
          </w:p>
        </w:tc>
      </w:tr>
      <w:tr>
        <w:trPr>
          <w:trHeight w:val="237"/>
        </w:trPr>
        <w:tc>
          <w:tcPr>
            <w:tcW w:w="3340" w:type="dxa"/>
            <w:vAlign w:val="bottom"/>
            <w:gridSpan w:val="2"/>
          </w:tcPr>
          <w:p>
            <w:pPr>
              <w:ind w:left="280"/>
              <w:spacing w:after="0"/>
              <w:rPr>
                <w:sz w:val="20"/>
                <w:szCs w:val="20"/>
                <w:color w:val="auto"/>
              </w:rPr>
            </w:pPr>
            <w:r>
              <w:rPr>
                <w:rFonts w:ascii="Arial" w:cs="Arial" w:eastAsia="Arial" w:hAnsi="Arial"/>
                <w:sz w:val="18"/>
                <w:szCs w:val="18"/>
                <w:color w:val="auto"/>
              </w:rPr>
              <w:t>Total cash obligations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58,833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114,272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24,667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224,675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9,543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35,308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467,298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acquire the use of certain assets through operating leases, such as warehouses, vehicles, forklifts, office equipment, hardware, software and some manufacturing equipment. While many of these operating leases have termination penalties, we consider the risk related to termination penalties to be minimal.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Purchase obligations in the table above relate to raw material commitments and capital expenditures.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make contributions of $1.0 million to our defined-benefit pension plans in fiscal 2019, which will equal or exceed our minimum funding requirements.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1, 2018, we had reserves of $5.3 million and $1.2 million for unrecognized tax benefits and environmental liabilities, respectively. We currently expect approximately $0.6 million of the unrecognized tax benefits to lapse during the next 12 months. We are unable to reasonably estimate in which future periods the remaining unrecognized tax benefits and environmental liabilities will ultimately be settled.</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required, in the ordinary course of business, to provide surety or performance bonds that commit payments to our customers for any non-performance. At December 1, 2018, $224.0 million of our backlog was bonded by these types of bonds with a face value of $478.8 million. These bonds do not have stated expiration dates, as we are generally released from the bonds upon completion of the contract. We have not been required to make any payments under these bonds with respect to our existing businesses.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our ability to generate strong cash from operations and borrowing capability under our committed revolving credit facility, we believe that our sources of liquidity will continue to be adequate to fund our working capital requirements, planned capital expenditures and dividend payments for at least the next 12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analyze non-GAAP measures for adjusted net earnings, adjusted earnings per diluted common share, adjusted EBITDA and adjusted operating income. These measures are used by management to evaluate the Company's financial performance on a more consistent basis and improve comparability of results from period to period, because they exclude certain amounts that management does not consider to be part of the Company's core operating results. Examples of items excluded to arrive at these adjusted measures may include the impact of acquisition-related costs, amortization of short-lived acquired intangibles associated with backlog and non-recurring restructuring costs. We also monitor and disclose a non-GAAP measure for backlog, which represents the dollar amount of signed contracts or firm orders which we expect to recognize as revenue in the future. Backlog is used as one of the metrics to evaluate sales trends in our longer lead time operating segments. These non-GAAP measures should be viewed in addition to, and not as an alternative to, the reported financial results of the Company prepared in accordance with GAAP. The non-GAAP measures presented below may differ from similar measures used by other companies.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earnings to adjusted net earnings and earnings per diluted common share to adjusted earnings per diluted common share.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 except per share data</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4"/>
              </w:rPr>
              <w:t>December 1, 2018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2"/>
              </w:rPr>
              <w:t>December 2, 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2"/>
              </w:rPr>
              <w:t>December 1, 2018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2"/>
              </w:rPr>
              <w:t>December 2, 2017</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21,891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57,778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57,159</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Amortization of short-lived acquired intangibles</w:t>
            </w:r>
          </w:p>
        </w:tc>
        <w:tc>
          <w:tcPr>
            <w:tcW w:w="1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2,924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4,655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7,608</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Acquisition-related costs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4,840</w:t>
            </w:r>
          </w:p>
        </w:tc>
      </w:tr>
      <w:tr>
        <w:trPr>
          <w:trHeight w:val="270"/>
        </w:trPr>
        <w:tc>
          <w:tcPr>
            <w:tcW w:w="516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 xml:space="preserve">Income tax impact on above adjustments </w:t>
            </w:r>
            <w:r>
              <w:rPr>
                <w:rFonts w:ascii="Arial" w:cs="Arial" w:eastAsia="Arial" w:hAnsi="Arial"/>
                <w:sz w:val="25"/>
                <w:szCs w:val="25"/>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(4,120)</w:t>
            </w:r>
          </w:p>
        </w:tc>
      </w:tr>
      <w:tr>
        <w:trPr>
          <w:trHeight w:val="25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net earnings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22,440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26,019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61,325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65,487</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57"/>
        </w:trPr>
        <w:tc>
          <w:tcPr>
            <w:tcW w:w="5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diluted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Amortization of short-lived acquired intangibles</w:t>
            </w:r>
          </w:p>
        </w:tc>
        <w:tc>
          <w:tcPr>
            <w:tcW w:w="1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0.26</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Acquisition-related costs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0.17</w:t>
            </w:r>
          </w:p>
        </w:tc>
      </w:tr>
      <w:tr>
        <w:trPr>
          <w:trHeight w:val="270"/>
        </w:trPr>
        <w:tc>
          <w:tcPr>
            <w:tcW w:w="516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 xml:space="preserve">Income tax impact on above adjustments </w:t>
            </w:r>
            <w:r>
              <w:rPr>
                <w:rFonts w:ascii="Arial" w:cs="Arial" w:eastAsia="Arial" w:hAnsi="Arial"/>
                <w:sz w:val="25"/>
                <w:szCs w:val="25"/>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r>
      <w:tr>
        <w:trPr>
          <w:trHeight w:val="25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earnings per diluted common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0.80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2.27</w:t>
            </w:r>
          </w:p>
        </w:tc>
      </w:tr>
    </w:tbl>
    <w:p>
      <w:pPr>
        <w:spacing w:after="0" w:line="8" w:lineRule="exact"/>
        <w:rPr>
          <w:sz w:val="20"/>
          <w:szCs w:val="20"/>
          <w:color w:val="auto"/>
        </w:rPr>
      </w:pPr>
    </w:p>
    <w:p>
      <w:pPr>
        <w:ind w:left="180" w:hanging="145"/>
        <w:spacing w:after="0"/>
        <w:tabs>
          <w:tab w:leader="none" w:pos="180" w:val="left"/>
        </w:tabs>
        <w:numPr>
          <w:ilvl w:val="0"/>
          <w:numId w:val="13"/>
        </w:numPr>
        <w:rPr>
          <w:rFonts w:ascii="Arial" w:cs="Arial" w:eastAsia="Arial" w:hAnsi="Arial"/>
          <w:sz w:val="8"/>
          <w:szCs w:val="8"/>
          <w:color w:val="auto"/>
        </w:rPr>
      </w:pPr>
      <w:r>
        <w:rPr>
          <w:rFonts w:ascii="Arial" w:cs="Arial" w:eastAsia="Arial" w:hAnsi="Arial"/>
          <w:sz w:val="13"/>
          <w:szCs w:val="13"/>
          <w:color w:val="auto"/>
        </w:rPr>
        <w:t>Income tax impact on adjustments was calculated using our effective income tax rates of 23.5% and 29.1% for the quarters ended December 1, 2018 and December 2, 2017, respectively, and</w:t>
      </w:r>
    </w:p>
    <w:p>
      <w:pPr>
        <w:spacing w:after="0" w:line="11" w:lineRule="exact"/>
        <w:rPr>
          <w:rFonts w:ascii="Arial" w:cs="Arial" w:eastAsia="Arial" w:hAnsi="Arial"/>
          <w:sz w:val="8"/>
          <w:szCs w:val="8"/>
          <w:color w:val="auto"/>
        </w:rPr>
      </w:pPr>
    </w:p>
    <w:p>
      <w:pPr>
        <w:ind w:left="40"/>
        <w:spacing w:after="0"/>
        <w:rPr>
          <w:rFonts w:ascii="Arial" w:cs="Arial" w:eastAsia="Arial" w:hAnsi="Arial"/>
          <w:sz w:val="8"/>
          <w:szCs w:val="8"/>
          <w:color w:val="auto"/>
        </w:rPr>
      </w:pPr>
      <w:r>
        <w:rPr>
          <w:rFonts w:ascii="Arial" w:cs="Arial" w:eastAsia="Arial" w:hAnsi="Arial"/>
          <w:sz w:val="14"/>
          <w:szCs w:val="14"/>
          <w:color w:val="auto"/>
        </w:rPr>
        <w:t>23.8% and 33.1% for the nine-month periods ended December 1, 2018 and December 2,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-200025</wp:posOffset>
            </wp:positionV>
            <wp:extent cx="3978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earnings before interest, income taxes and depreciation and amortization, or EBITDA, to adjusted EBITDA.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4"/>
              </w:rPr>
              <w:t>December 1, 2018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2"/>
              </w:rPr>
              <w:t>December 2, 2017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2"/>
              </w:rPr>
              <w:t>December 1, 2018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1"/>
              </w:rPr>
              <w:t>December 2, 2017</w:t>
            </w: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21,891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57,778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57,159</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6,730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9,704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18,030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26,517</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2,132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5,795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3,299</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11,921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38,378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39,774</w:t>
            </w: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EBITDA</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43,329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49,247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120,440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126,189</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Acquisition-related costs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4,840</w:t>
            </w:r>
          </w:p>
        </w:tc>
      </w:tr>
      <w:tr>
        <w:trPr>
          <w:trHeight w:val="25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43,329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49,670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120,440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131,029</w:t>
            </w: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operating income (loss) to adjusted operating income (loss).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431"/>
              <w:spacing w:after="0"/>
              <w:rPr>
                <w:sz w:val="20"/>
                <w:szCs w:val="20"/>
                <w:color w:val="auto"/>
              </w:rPr>
            </w:pPr>
            <w:r>
              <w:rPr>
                <w:rFonts w:ascii="Arial" w:cs="Arial" w:eastAsia="Arial" w:hAnsi="Arial"/>
                <w:sz w:val="14"/>
                <w:szCs w:val="14"/>
                <w:b w:val="1"/>
                <w:bCs w:val="1"/>
                <w:color w:val="auto"/>
              </w:rPr>
              <w:t>Framing Systems Segment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831"/>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Operating income</w:t>
            </w:r>
          </w:p>
        </w:tc>
        <w:tc>
          <w:tcPr>
            <w:tcW w:w="100" w:type="dxa"/>
            <w:vAlign w:val="bottom"/>
            <w:vMerge w:val="restart"/>
          </w:tcPr>
          <w:p>
            <w:pPr>
              <w:spacing w:after="0"/>
              <w:rPr>
                <w:sz w:val="13"/>
                <w:szCs w:val="13"/>
                <w:color w:val="auto"/>
              </w:rPr>
            </w:pPr>
          </w:p>
        </w:tc>
        <w:tc>
          <w:tcPr>
            <w:tcW w:w="13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Operating margin</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Operating income</w:t>
            </w: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Operating income</w:t>
            </w:r>
          </w:p>
        </w:tc>
        <w:tc>
          <w:tcPr>
            <w:tcW w:w="120" w:type="dxa"/>
            <w:vAlign w:val="bottom"/>
            <w:vMerge w:val="restart"/>
          </w:tcPr>
          <w:p>
            <w:pPr>
              <w:spacing w:after="0"/>
              <w:rPr>
                <w:sz w:val="13"/>
                <w:szCs w:val="13"/>
                <w:color w:val="auto"/>
              </w:rPr>
            </w:pPr>
          </w:p>
        </w:tc>
        <w:tc>
          <w:tcPr>
            <w:tcW w:w="132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Operating margin</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December 1, 2018</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Operating income (loss)</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12,903</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(2,633)</w:t>
            </w:r>
          </w:p>
        </w:tc>
        <w:tc>
          <w:tcPr>
            <w:tcW w:w="120" w:type="dxa"/>
            <w:vAlign w:val="bottom"/>
          </w:tcPr>
          <w:p>
            <w:pPr>
              <w:spacing w:after="0"/>
              <w:rPr>
                <w:sz w:val="21"/>
                <w:szCs w:val="21"/>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31,408</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short-lived acquired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Acquisition-related costs</w:t>
            </w:r>
          </w:p>
        </w:tc>
        <w:tc>
          <w:tcPr>
            <w:tcW w:w="3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operating income (loss)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13,620</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32,125</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Three Months Ended December 2, 2017</w:t>
            </w: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6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18,452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34,535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Amortization of short-lived acquired intangibles</w:t>
            </w: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2,924</w:t>
            </w:r>
          </w:p>
        </w:tc>
        <w:tc>
          <w:tcPr>
            <w:tcW w:w="100" w:type="dxa"/>
            <w:vAlign w:val="bottom"/>
          </w:tcPr>
          <w:p>
            <w:pPr>
              <w:spacing w:after="0"/>
              <w:rPr>
                <w:sz w:val="21"/>
                <w:szCs w:val="21"/>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2,924</w:t>
            </w:r>
          </w:p>
        </w:tc>
        <w:tc>
          <w:tcPr>
            <w:tcW w:w="120" w:type="dxa"/>
            <w:vAlign w:val="bottom"/>
          </w:tcPr>
          <w:p>
            <w:pPr>
              <w:spacing w:after="0"/>
              <w:rPr>
                <w:sz w:val="21"/>
                <w:szCs w:val="21"/>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Acquisition-related costs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97"/>
        </w:trPr>
        <w:tc>
          <w:tcPr>
            <w:tcW w:w="44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Adjusted operating income (loss)</w:t>
            </w: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21,376</w:t>
            </w:r>
          </w:p>
        </w:tc>
        <w:tc>
          <w:tcPr>
            <w:tcW w:w="10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(1,872)</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37,882</w:t>
            </w:r>
          </w:p>
        </w:tc>
        <w:tc>
          <w:tcPr>
            <w:tcW w:w="12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311"/>
        </w:trPr>
        <w:tc>
          <w:tcPr>
            <w:tcW w:w="4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b w:val="1"/>
                <w:bCs w:val="1"/>
                <w:color w:val="auto"/>
              </w:rPr>
              <w:t>Nine Months Ended December 1, 2018</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43,554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82,062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Amortization of short-lived acquired intangibles</w:t>
            </w: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4,655</w:t>
            </w:r>
          </w:p>
        </w:tc>
        <w:tc>
          <w:tcPr>
            <w:tcW w:w="100" w:type="dxa"/>
            <w:vAlign w:val="bottom"/>
          </w:tcPr>
          <w:p>
            <w:pPr>
              <w:spacing w:after="0"/>
              <w:rPr>
                <w:sz w:val="21"/>
                <w:szCs w:val="21"/>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4,655</w:t>
            </w:r>
          </w:p>
        </w:tc>
        <w:tc>
          <w:tcPr>
            <w:tcW w:w="120" w:type="dxa"/>
            <w:vAlign w:val="bottom"/>
          </w:tcPr>
          <w:p>
            <w:pPr>
              <w:spacing w:after="0"/>
              <w:rPr>
                <w:sz w:val="21"/>
                <w:szCs w:val="21"/>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Acquisition-related costs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4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Adjusted operating income (loss)</w:t>
            </w: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48,209</w:t>
            </w:r>
          </w:p>
        </w:tc>
        <w:tc>
          <w:tcPr>
            <w:tcW w:w="10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(7,940)</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86,717</w:t>
            </w:r>
          </w:p>
        </w:tc>
        <w:tc>
          <w:tcPr>
            <w:tcW w:w="12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Nine Months Ended December 2, 2017</w:t>
            </w: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Operating income (loss)</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46,958</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(8,354)</w:t>
            </w:r>
          </w:p>
        </w:tc>
        <w:tc>
          <w:tcPr>
            <w:tcW w:w="120" w:type="dxa"/>
            <w:vAlign w:val="bottom"/>
          </w:tcPr>
          <w:p>
            <w:pPr>
              <w:spacing w:after="0"/>
              <w:rPr>
                <w:sz w:val="21"/>
                <w:szCs w:val="21"/>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86,415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short-lived acquired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Acquisition-related costs</w:t>
            </w:r>
          </w:p>
        </w:tc>
        <w:tc>
          <w:tcPr>
            <w:tcW w:w="3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4,840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4,840</w:t>
            </w:r>
          </w:p>
        </w:tc>
        <w:tc>
          <w:tcPr>
            <w:tcW w:w="120" w:type="dxa"/>
            <w:vAlign w:val="bottom"/>
          </w:tcPr>
          <w:p>
            <w:pPr>
              <w:spacing w:after="0"/>
              <w:rPr>
                <w:sz w:val="21"/>
                <w:szCs w:val="21"/>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operating income (loss)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54,566</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98,863</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statements are based on our current expectations for full-year fiscal 2019 results. These statements are forward-looking, and actual results may differ materially. We are currently expecting:</w:t>
      </w:r>
    </w:p>
    <w:p>
      <w:pPr>
        <w:spacing w:after="0" w:line="76" w:lineRule="exact"/>
        <w:rPr>
          <w:sz w:val="20"/>
          <w:szCs w:val="20"/>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growth of 6 to 7 percent.</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margin of approximately 8.4 percent.</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Earnings per diluted share of approximately $3.00.</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operating margin of approximately 8.7 percent and adjusted earnings per diluted common share of approximately $3.13</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41"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Capital expenditures of approximately $60 million.</w:t>
      </w:r>
    </w:p>
    <w:p>
      <w:pPr>
        <w:spacing w:after="0" w:line="113" w:lineRule="exact"/>
        <w:rPr>
          <w:sz w:val="20"/>
          <w:szCs w:val="20"/>
          <w:color w:val="auto"/>
        </w:rPr>
      </w:pPr>
    </w:p>
    <w:p>
      <w:pPr>
        <w:jc w:val="both"/>
        <w:ind w:left="640"/>
        <w:spacing w:after="0" w:line="305" w:lineRule="auto"/>
        <w:rPr>
          <w:sz w:val="20"/>
          <w:szCs w:val="20"/>
          <w:color w:val="auto"/>
        </w:rPr>
      </w:pPr>
      <w:r>
        <w:rPr>
          <w:rFonts w:ascii="Arial" w:cs="Arial" w:eastAsia="Arial" w:hAnsi="Arial"/>
          <w:sz w:val="22"/>
          <w:szCs w:val="22"/>
          <w:color w:val="auto"/>
          <w:vertAlign w:val="superscript"/>
        </w:rPr>
        <w:t>(1)</w:t>
      </w:r>
      <w:r>
        <w:rPr>
          <w:rFonts w:ascii="Arial" w:cs="Arial" w:eastAsia="Arial" w:hAnsi="Arial"/>
          <w:sz w:val="13"/>
          <w:szCs w:val="13"/>
          <w:color w:val="auto"/>
        </w:rPr>
        <w:t>Adjusted operating margin and adjusted earnings per diluted share exclude the impact of amortization of short-lived acquired intangible assets associated with the acquired backlog of Sotawall and EFCO of $3.8 million (after tax, $0.13 per diluted common share). These non-GAAP measures are used by management to evaluate the Company's historical and prospective financial performance, measure operational profitability on a more consistent basis, and provide enhanced transparency to the investment community. These non-GAAP measures should be viewed in addition to, and not as an alternative to, the financial results of the company prepared in accordance with GAAP.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No material changes have occurred in the disclosure with respect to our related party transactions set forth in our Annual Report on Form 10-K for the fiscal year ended March 3,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Refer to an update to our critical accounting policies included within Item 1, Notes to the Consolidated Financial Statements (Note 1). No other changes have occurred to the critical accounting policies set forth in our Annual Report on Form 10-K for the fiscal year ended March 3, 2018.</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material changes have occurred to the disclosures of quantitative and qualitative market risk set forth in our Annual Report on Form 10-K for the fiscal year ended March 3, 2018.</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jc w:val="both"/>
        <w:ind w:left="1300" w:hanging="644"/>
        <w:spacing w:after="0" w:line="284"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Evaluation of Disclosure Controls and Procedures. As of the end of the period covered by this report (the Evaluation Date), we carried out an evaluation, under the supervision and with the participation of management, including the Chief Executive Officer and the Chief Financial Officer, of the effectiveness of the design and operation of our disclosure controls and procedures (as defined in Rules 13a-15(e) or 15d-15(e) of the Securities Exchange Act of 1934, as amended (the Exchange Act)). Based upon that evaluation, the Chief Executive Officer and Chief Financial Officer concluded that, as of the Evaluation Date, our disclosure controls and procedures were effective to ensure that information required to be disclosed by the Company in the reports that it files or submits under the Exchange Act is</w:t>
      </w:r>
    </w:p>
    <w:p>
      <w:pPr>
        <w:spacing w:after="0" w:line="4" w:lineRule="exact"/>
        <w:rPr>
          <w:rFonts w:ascii="Arial" w:cs="Arial" w:eastAsia="Arial" w:hAnsi="Arial"/>
          <w:sz w:val="16"/>
          <w:szCs w:val="16"/>
          <w:color w:val="auto"/>
        </w:rPr>
      </w:pPr>
    </w:p>
    <w:p>
      <w:pPr>
        <w:jc w:val="both"/>
        <w:ind w:left="1300"/>
        <w:spacing w:after="0" w:line="255" w:lineRule="auto"/>
        <w:rPr>
          <w:rFonts w:ascii="Arial" w:cs="Arial" w:eastAsia="Arial" w:hAnsi="Arial"/>
          <w:sz w:val="16"/>
          <w:szCs w:val="16"/>
          <w:color w:val="auto"/>
        </w:rPr>
      </w:pPr>
      <w:r>
        <w:rPr>
          <w:rFonts w:ascii="Arial" w:cs="Arial" w:eastAsia="Arial" w:hAnsi="Arial"/>
          <w:sz w:val="18"/>
          <w:szCs w:val="18"/>
          <w:color w:val="auto"/>
        </w:rPr>
        <w:t>(i) recorded, processed, summarized and reported within the time periods specified in applicable rules and forms, and (ii) accumulated and communicated to our management, including our Chief Executive Officer and Chief Financial Officer, to allow timely decisions regarding required disclosure.</w:t>
      </w:r>
    </w:p>
    <w:p>
      <w:pPr>
        <w:spacing w:after="0" w:line="82"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internal controls: There was no change in the Company’s internal control over financial reporting that occurred during the fiscal quarter ended December 1, 2018, that has materially affected, or is reasonably likely to materially affect, the Company’s internal control over financial reporting.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Murray Mayer v. Apogee Enterprises, Inc., et al</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November 5, 2018, Murray Mayer, individually and on behalf of all others similarly situated, filed a purported class action lawsuit against the Company and our Chief Executive Officer and our Chief Financial Officer in the United States District Court for the District of Minnesota. The complaint generally alleges that, throughout the purported class period of June 28, 2018 to September 17, 2018, the Company and the named executive officers made materially false and/or misleading statements and failed to disclose material adverse facts about the Company’s business, operations, and prospects, particularly with respect to our Architectural Glass business segment and alleges that the defendants violated Sections 10(b) and 20(a) of the Securities Exchange Act of 1934. The complaint seeks unspecified sums of damages, award of counsel fees and costs, and equitable relief. As of the date of filing of this Report, this complaint has not been served on any named defendant. If and when the complaint is served on the Company, we intend to vigorously defend against this matter.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Justin Buley v. Apogee Enterprises, Inc. et al</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17, 2018, Justin Buley filed a derivative lawsuit, purportedly on behalf of the Company, against our Chief Executive Officer, our Chief Financial Officer and eight of the nine non-executive members of our Board of Directors, in the Fourth Judicial District of the State of Minnesota. The complaint alleges claims for breach of fiduciary duty, waste of corporate assets and unjust enrichment, arising from substantially similar allegations as those described above. The complaint seeks an unspecified sum of damages and equitable relief, including requiring the Company to offer our shareholders the opportunity to vote for certain amendments to our Bylaws or Articles of Incorporation purporting to improve identified corporate governance practices. We intend to vigorously defend against this matter.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foregoing, 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or additions to our risk factors discussed in our Annual Report on Form 10-K for the fiscal year ended March 3, 2018.</w:t>
      </w:r>
    </w:p>
    <w:p>
      <w:pPr>
        <w:spacing w:after="0" w:line="24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with respect to purchases made by the Company of its own stock during the third quarter of fiscal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Total Number of Shares</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 Number</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Average Price</w:t>
            </w: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the Plans or</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 (a)</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7"/>
              </w:rPr>
              <w:t>Paid per Share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 (b)</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 (b)</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2, 2018 to September 30, 2018</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4,327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49.22</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1,240,068</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October 1, 2018 to October 28, 2018</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9"/>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2,740,068</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29, 2018 to December 1, 2018</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2,640,068</w:t>
            </w:r>
          </w:p>
        </w:tc>
        <w:tc>
          <w:tcPr>
            <w:tcW w:w="0" w:type="dxa"/>
            <w:vAlign w:val="bottom"/>
          </w:tcPr>
          <w:p>
            <w:pPr>
              <w:spacing w:after="0"/>
              <w:rPr>
                <w:sz w:val="1"/>
                <w:szCs w:val="1"/>
                <w:color w:val="auto"/>
              </w:rPr>
            </w:pPr>
          </w:p>
        </w:tc>
      </w:tr>
      <w:tr>
        <w:trPr>
          <w:trHeight w:val="237"/>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4,327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49.22</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20"/>
                <w:szCs w:val="20"/>
                <w:color w:val="auto"/>
              </w:rPr>
            </w:pPr>
          </w:p>
        </w:tc>
        <w:tc>
          <w:tcPr>
            <w:tcW w:w="18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2,640,068</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60" w:hanging="652"/>
        <w:spacing w:after="0" w:line="250"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shares in this column represent the total number of shares that were surrendered to us by plan participants to satisfy stock-for-stock option exercises or withholding tax obligations related to share-based compensation.</w:t>
      </w:r>
    </w:p>
    <w:p>
      <w:pPr>
        <w:jc w:val="both"/>
        <w:ind w:left="660" w:hanging="652"/>
        <w:spacing w:after="0" w:line="248"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 fiscal 2004, announced on April 10, 2003, the Board of Directors authorized the repurchase of 1,500,000 shares of Company stock. The Board increased the authorization by 750,000 shares, announced on January 24, 2008; by 1,000,000 shares on each of the announcement dates of October 8, 2008, January 13, 2016 and January 9, 2018; and by 2,000,000 shares, announced on October 3, 2018. The repurchase program does not have an expiration date.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700" w:type="dxa"/>
            <w:vAlign w:val="bottom"/>
            <w:gridSpan w:val="4"/>
          </w:tcPr>
          <w:p>
            <w:pPr>
              <w:ind w:left="140"/>
              <w:spacing w:after="0"/>
              <w:rPr>
                <w:sz w:val="20"/>
                <w:szCs w:val="20"/>
                <w:color w:val="auto"/>
              </w:rPr>
            </w:pPr>
            <w:r>
              <w:rPr>
                <w:rFonts w:ascii="Arial" w:cs="Arial" w:eastAsia="Arial" w:hAnsi="Arial"/>
                <w:sz w:val="18"/>
                <w:szCs w:val="18"/>
                <w:b w:val="1"/>
                <w:bCs w:val="1"/>
                <w:color w:val="auto"/>
              </w:rPr>
              <w:t>Exhibits</w:t>
            </w:r>
          </w:p>
        </w:tc>
      </w:tr>
      <w:tr>
        <w:trPr>
          <w:trHeight w:val="338"/>
        </w:trPr>
        <w:tc>
          <w:tcPr>
            <w:tcW w:w="360" w:type="dxa"/>
            <w:vAlign w:val="bottom"/>
            <w:gridSpan w:val="2"/>
          </w:tcPr>
          <w:p>
            <w:pPr>
              <w:jc w:val="right"/>
              <w:spacing w:after="0"/>
              <w:rPr>
                <w:rFonts w:ascii="Arial" w:cs="Arial" w:eastAsia="Arial" w:hAnsi="Arial"/>
                <w:sz w:val="18"/>
                <w:szCs w:val="18"/>
                <w:color w:val="0000FF"/>
                <w:w w:val="96"/>
              </w:rPr>
            </w:pPr>
            <w:hyperlink w:anchor="page29">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w:t>
              </w:r>
            </w:hyperlink>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60" w:type="dxa"/>
            <w:vAlign w:val="bottom"/>
            <w:gridSpan w:val="3"/>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Certification of Chief Executive Officer pursuant to Rule 13a-14(a) under the Securities Exchange Act of 1934.</w:t>
              </w:r>
            </w:hyperlink>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080" w:type="dxa"/>
            <w:vAlign w:val="bottom"/>
            <w:shd w:val="clear" w:color="auto" w:fill="0000FF"/>
          </w:tcPr>
          <w:p>
            <w:pPr>
              <w:spacing w:after="0" w:line="20" w:lineRule="exact"/>
              <w:rPr>
                <w:sz w:val="1"/>
                <w:szCs w:val="1"/>
                <w:color w:val="auto"/>
              </w:rPr>
            </w:pPr>
          </w:p>
        </w:tc>
        <w:tc>
          <w:tcPr>
            <w:tcW w:w="1880" w:type="dxa"/>
            <w:vAlign w:val="bottom"/>
            <w:tcBorders>
              <w:left w:val="single" w:sz="8" w:color="0000FF"/>
            </w:tcBorders>
          </w:tcPr>
          <w:p>
            <w:pPr>
              <w:spacing w:after="0" w:line="20" w:lineRule="exact"/>
              <w:rPr>
                <w:sz w:val="1"/>
                <w:szCs w:val="1"/>
                <w:color w:val="auto"/>
              </w:rPr>
            </w:pPr>
          </w:p>
        </w:tc>
      </w:tr>
      <w:tr>
        <w:trPr>
          <w:trHeight w:val="372"/>
        </w:trPr>
        <w:tc>
          <w:tcPr>
            <w:tcW w:w="360" w:type="dxa"/>
            <w:vAlign w:val="bottom"/>
            <w:gridSpan w:val="2"/>
          </w:tcPr>
          <w:p>
            <w:pPr>
              <w:jc w:val="right"/>
              <w:spacing w:after="0"/>
              <w:rPr>
                <w:rFonts w:ascii="Arial" w:cs="Arial" w:eastAsia="Arial" w:hAnsi="Arial"/>
                <w:sz w:val="18"/>
                <w:szCs w:val="18"/>
                <w:color w:val="0000FF"/>
                <w:w w:val="96"/>
              </w:rPr>
            </w:pPr>
            <w:hyperlink w:anchor="page30">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w:t>
              </w:r>
            </w:hyperlink>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60" w:type="dxa"/>
            <w:vAlign w:val="bottom"/>
            <w:gridSpan w:val="3"/>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Certification of Chief Financial Officer pursuant to Rule 13a-14(a) under the Securities Exchange Act of 1934.</w:t>
              </w:r>
            </w:hyperlink>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08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72"/>
        </w:trPr>
        <w:tc>
          <w:tcPr>
            <w:tcW w:w="360" w:type="dxa"/>
            <w:vAlign w:val="bottom"/>
            <w:gridSpan w:val="2"/>
          </w:tcPr>
          <w:p>
            <w:pPr>
              <w:jc w:val="right"/>
              <w:spacing w:after="0"/>
              <w:rPr>
                <w:rFonts w:ascii="Arial" w:cs="Arial" w:eastAsia="Arial" w:hAnsi="Arial"/>
                <w:sz w:val="18"/>
                <w:szCs w:val="18"/>
                <w:color w:val="0000FF"/>
                <w:w w:val="96"/>
              </w:rPr>
            </w:pPr>
            <w:hyperlink w:anchor="page31">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1</w:t>
              </w:r>
            </w:hyperlink>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60" w:type="dxa"/>
            <w:vAlign w:val="bottom"/>
            <w:gridSpan w:val="3"/>
          </w:tcPr>
          <w:p>
            <w:pPr>
              <w:spacing w:after="0"/>
              <w:rPr>
                <w:rFonts w:ascii="Arial" w:cs="Arial" w:eastAsia="Arial" w:hAnsi="Arial"/>
                <w:sz w:val="18"/>
                <w:szCs w:val="18"/>
                <w:color w:val="0000FF"/>
                <w:w w:val="91"/>
              </w:rPr>
            </w:pPr>
            <w:hyperlink w:anchor="page31">
              <w:r>
                <w:rPr>
                  <w:rFonts w:ascii="Arial" w:cs="Arial" w:eastAsia="Arial" w:hAnsi="Arial"/>
                  <w:sz w:val="18"/>
                  <w:szCs w:val="18"/>
                  <w:color w:val="0000FF"/>
                  <w:w w:val="91"/>
                </w:rPr>
                <w:t>Certification of Chief Executive Officer pursuant to 18 U.S.C. Section 1350, as adopted pursuant to Section 906 of the Sarbanes-Oxley</w:t>
              </w:r>
            </w:hyperlink>
          </w:p>
        </w:tc>
      </w:tr>
      <w:tr>
        <w:trPr>
          <w:trHeight w:val="196"/>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6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w:anchor="page31">
              <w:r>
                <w:rPr>
                  <w:rFonts w:ascii="Arial" w:cs="Arial" w:eastAsia="Arial" w:hAnsi="Arial"/>
                  <w:sz w:val="18"/>
                  <w:szCs w:val="18"/>
                  <w:color w:val="0000FF"/>
                </w:rPr>
                <w:t>Act of 2002.</w:t>
              </w:r>
            </w:hyperlink>
          </w:p>
        </w:tc>
      </w:tr>
      <w:tr>
        <w:trPr>
          <w:trHeight w:val="20"/>
        </w:trPr>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960" w:type="dxa"/>
            <w:vAlign w:val="bottom"/>
            <w:gridSpan w:val="2"/>
          </w:tcPr>
          <w:p>
            <w:pPr>
              <w:spacing w:after="0" w:line="20" w:lineRule="exact"/>
              <w:rPr>
                <w:sz w:val="1"/>
                <w:szCs w:val="1"/>
                <w:color w:val="auto"/>
              </w:rPr>
            </w:pPr>
          </w:p>
        </w:tc>
      </w:tr>
      <w:tr>
        <w:trPr>
          <w:trHeight w:val="372"/>
        </w:trPr>
        <w:tc>
          <w:tcPr>
            <w:tcW w:w="360" w:type="dxa"/>
            <w:vAlign w:val="bottom"/>
            <w:gridSpan w:val="2"/>
          </w:tcPr>
          <w:p>
            <w:pPr>
              <w:jc w:val="right"/>
              <w:spacing w:after="0"/>
              <w:rPr>
                <w:rFonts w:ascii="Arial" w:cs="Arial" w:eastAsia="Arial" w:hAnsi="Arial"/>
                <w:sz w:val="18"/>
                <w:szCs w:val="18"/>
                <w:color w:val="0000FF"/>
                <w:w w:val="96"/>
              </w:rPr>
            </w:pPr>
            <w:hyperlink w:anchor="page32">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2</w:t>
              </w:r>
            </w:hyperlink>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60" w:type="dxa"/>
            <w:vAlign w:val="bottom"/>
            <w:gridSpan w:val="3"/>
          </w:tcPr>
          <w:p>
            <w:pPr>
              <w:spacing w:after="0"/>
              <w:rPr>
                <w:rFonts w:ascii="Arial" w:cs="Arial" w:eastAsia="Arial" w:hAnsi="Arial"/>
                <w:sz w:val="18"/>
                <w:szCs w:val="18"/>
                <w:color w:val="0000FF"/>
                <w:w w:val="92"/>
              </w:rPr>
            </w:pPr>
            <w:hyperlink w:anchor="page32">
              <w:r>
                <w:rPr>
                  <w:rFonts w:ascii="Arial" w:cs="Arial" w:eastAsia="Arial" w:hAnsi="Arial"/>
                  <w:sz w:val="18"/>
                  <w:szCs w:val="18"/>
                  <w:color w:val="0000FF"/>
                  <w:w w:val="92"/>
                </w:rPr>
                <w:t>Certification of Chief Financial Officer pursuant to 18 U.S.C. Section 1350, as adopted pursuant to Section 906 of the Sarbanes-Oxley</w:t>
              </w:r>
            </w:hyperlink>
          </w:p>
        </w:tc>
      </w:tr>
      <w:tr>
        <w:trPr>
          <w:trHeight w:val="196"/>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6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w:anchor="page32">
              <w:r>
                <w:rPr>
                  <w:rFonts w:ascii="Arial" w:cs="Arial" w:eastAsia="Arial" w:hAnsi="Arial"/>
                  <w:sz w:val="18"/>
                  <w:szCs w:val="18"/>
                  <w:color w:val="0000FF"/>
                </w:rPr>
                <w:t>Act of 2002.</w:t>
              </w:r>
            </w:hyperlink>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1520" w:right="20" w:hanging="1485"/>
        <w:spacing w:after="0" w:line="272" w:lineRule="auto"/>
        <w:tabs>
          <w:tab w:leader="none" w:pos="1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following materials from Apogee Enterprises, Inc.’s Quarterly Report on Form 10-Q for the quarter ended December 1, 2018 are furnished herewith, formatted in XBRL (Extensible Business Reporting Language): (i) the Consolidated Balance Sheets as of December 1, 2018 and March 3, 2018, (ii) the Consolidated Results of Operations for the three- and nine-months ended December 1, 2018 and December 2, 2017, (iii) the Consolidated Statements of Comprehensive Earnings for the three- and nine-months ended December 1, 2018 and December 2, 2017, (iv) the Consolidated Statements of Cash Flows for the nine months ended December 1, 2018 and December 2, 2017, (v) the Consolidated Statements of Shareholders' Equity for the nine months ended December 1, 2018 and December 2, 2017, and (vi) Notes to Consolidated Financial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APOGEE ENTERPRISES, INC.</w:t>
      </w:r>
    </w:p>
    <w:p>
      <w:pPr>
        <w:spacing w:after="0" w:line="387" w:lineRule="exact"/>
        <w:rPr>
          <w:sz w:val="20"/>
          <w:szCs w:val="20"/>
          <w:color w:val="auto"/>
        </w:rPr>
      </w:pPr>
    </w:p>
    <w:p>
      <w:pPr>
        <w:ind w:left="40"/>
        <w:spacing w:after="0"/>
        <w:tabs>
          <w:tab w:leader="none" w:pos="6140" w:val="left"/>
        </w:tabs>
        <w:rPr>
          <w:sz w:val="20"/>
          <w:szCs w:val="20"/>
          <w:color w:val="auto"/>
        </w:rPr>
      </w:pPr>
      <w:r>
        <w:rPr>
          <w:rFonts w:ascii="Arial" w:cs="Arial" w:eastAsia="Arial" w:hAnsi="Arial"/>
          <w:sz w:val="18"/>
          <w:szCs w:val="18"/>
          <w:color w:val="auto"/>
        </w:rPr>
        <w:t>Date: January 10, 2019</w:t>
      </w:r>
      <w:r>
        <w:rPr>
          <w:sz w:val="20"/>
          <w:szCs w:val="20"/>
          <w:color w:val="auto"/>
        </w:rPr>
        <w:tab/>
      </w:r>
      <w:r>
        <w:rPr>
          <w:rFonts w:ascii="Arial" w:cs="Arial" w:eastAsia="Arial" w:hAnsi="Arial"/>
          <w:sz w:val="16"/>
          <w:szCs w:val="16"/>
          <w:color w:val="auto"/>
        </w:rPr>
        <w:t>By: /s/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2931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Joseph F. Puishys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and Chief</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Executive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Executive Officer)</w:t>
      </w:r>
    </w:p>
    <w:p>
      <w:pPr>
        <w:spacing w:after="0" w:line="373" w:lineRule="exact"/>
        <w:rPr>
          <w:sz w:val="20"/>
          <w:szCs w:val="20"/>
          <w:color w:val="auto"/>
        </w:rPr>
      </w:pPr>
    </w:p>
    <w:p>
      <w:pPr>
        <w:ind w:left="40"/>
        <w:spacing w:after="0"/>
        <w:tabs>
          <w:tab w:leader="none" w:pos="6140" w:val="left"/>
        </w:tabs>
        <w:rPr>
          <w:sz w:val="20"/>
          <w:szCs w:val="20"/>
          <w:color w:val="auto"/>
        </w:rPr>
      </w:pPr>
      <w:r>
        <w:rPr>
          <w:rFonts w:ascii="Arial" w:cs="Arial" w:eastAsia="Arial" w:hAnsi="Arial"/>
          <w:sz w:val="18"/>
          <w:szCs w:val="18"/>
          <w:color w:val="auto"/>
        </w:rPr>
        <w:t>Date: January 10, 2019</w:t>
      </w:r>
      <w:r>
        <w:rPr>
          <w:sz w:val="20"/>
          <w:szCs w:val="20"/>
          <w:color w:val="auto"/>
        </w:rPr>
        <w:tab/>
      </w:r>
      <w:r>
        <w:rPr>
          <w:rFonts w:ascii="Arial" w:cs="Arial" w:eastAsia="Arial" w:hAnsi="Arial"/>
          <w:sz w:val="16"/>
          <w:szCs w:val="16"/>
          <w:color w:val="auto"/>
        </w:rPr>
        <w:t>By: /s/ James 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2931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James S. Porter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 (Principal Financial and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125" w:right="4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Joseph F. Puishys, certify that:</w:t>
      </w:r>
    </w:p>
    <w:p>
      <w:pPr>
        <w:spacing w:after="0" w:line="117"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Apogee Enterprises, Inc.;</w:t>
      </w:r>
    </w:p>
    <w:p>
      <w:pPr>
        <w:spacing w:after="0" w:line="117"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280" w:right="80" w:hanging="651"/>
        <w:spacing w:after="0" w:line="312" w:lineRule="auto"/>
        <w:tabs>
          <w:tab w:leader="none" w:pos="22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Arial" w:cs="Arial" w:eastAsia="Arial" w:hAnsi="Arial"/>
          <w:sz w:val="16"/>
          <w:szCs w:val="16"/>
          <w:color w:val="auto"/>
        </w:rPr>
      </w:pPr>
    </w:p>
    <w:p>
      <w:pPr>
        <w:ind w:left="2280" w:right="100" w:hanging="651"/>
        <w:spacing w:after="0" w:line="286" w:lineRule="auto"/>
        <w:tabs>
          <w:tab w:leader="none" w:pos="22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jc w:val="both"/>
        <w:ind w:left="2280" w:right="180" w:hanging="651"/>
        <w:spacing w:after="0" w:line="264" w:lineRule="auto"/>
        <w:tabs>
          <w:tab w:leader="none" w:pos="22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2280" w:right="240" w:hanging="651"/>
        <w:spacing w:after="0" w:line="312" w:lineRule="auto"/>
        <w:tabs>
          <w:tab w:leader="none" w:pos="22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6"/>
          <w:szCs w:val="16"/>
          <w:color w:val="auto"/>
        </w:rPr>
      </w:pPr>
    </w:p>
    <w:p>
      <w:pPr>
        <w:ind w:left="1300" w:right="320" w:hanging="644"/>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2280" w:right="460" w:hanging="651"/>
        <w:spacing w:after="0" w:line="264" w:lineRule="auto"/>
        <w:tabs>
          <w:tab w:leader="none" w:pos="22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2280" w:right="840" w:hanging="651"/>
        <w:spacing w:after="0" w:line="277" w:lineRule="auto"/>
        <w:tabs>
          <w:tab w:leader="none" w:pos="22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Date: January 10, 2019</w:t>
      </w:r>
    </w:p>
    <w:p>
      <w:pPr>
        <w:spacing w:after="0" w:line="360"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Joseph F. Puishys</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James S. Porter, certify that:</w:t>
      </w:r>
    </w:p>
    <w:p>
      <w:pPr>
        <w:spacing w:after="0" w:line="117"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Apogee Enterprises, Inc.;</w:t>
      </w:r>
    </w:p>
    <w:p>
      <w:pPr>
        <w:spacing w:after="0" w:line="117"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280" w:right="80" w:hanging="651"/>
        <w:spacing w:after="0" w:line="312" w:lineRule="auto"/>
        <w:tabs>
          <w:tab w:leader="none" w:pos="22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Arial" w:cs="Arial" w:eastAsia="Arial" w:hAnsi="Arial"/>
          <w:sz w:val="16"/>
          <w:szCs w:val="16"/>
          <w:color w:val="auto"/>
        </w:rPr>
      </w:pPr>
    </w:p>
    <w:p>
      <w:pPr>
        <w:ind w:left="2280" w:right="100" w:hanging="651"/>
        <w:spacing w:after="0" w:line="286" w:lineRule="auto"/>
        <w:tabs>
          <w:tab w:leader="none" w:pos="22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jc w:val="both"/>
        <w:ind w:left="2280" w:right="180" w:hanging="651"/>
        <w:spacing w:after="0" w:line="264" w:lineRule="auto"/>
        <w:tabs>
          <w:tab w:leader="none" w:pos="22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2280" w:right="240" w:hanging="651"/>
        <w:spacing w:after="0" w:line="312" w:lineRule="auto"/>
        <w:tabs>
          <w:tab w:leader="none" w:pos="22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6"/>
          <w:szCs w:val="16"/>
          <w:color w:val="auto"/>
        </w:rPr>
      </w:pPr>
    </w:p>
    <w:p>
      <w:pPr>
        <w:ind w:left="1300" w:right="320" w:hanging="644"/>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2280" w:right="460" w:hanging="651"/>
        <w:spacing w:after="0" w:line="264" w:lineRule="auto"/>
        <w:tabs>
          <w:tab w:leader="none" w:pos="22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2280" w:right="840" w:hanging="651"/>
        <w:spacing w:after="0" w:line="277" w:lineRule="auto"/>
        <w:tabs>
          <w:tab w:leader="none" w:pos="22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Date: January 10, 2019</w:t>
      </w:r>
    </w:p>
    <w:p>
      <w:pPr>
        <w:spacing w:after="0" w:line="360"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James 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James S. Porter</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connection with the Quarterly Report of Apogee Enterprises, Inc. (the “Company”) on Form 10-Q for the period ended December 1, 2018 as filed with the Securities and Exchange Commission (the “Report”), I, Joseph F. Puishys, Chief Executive Officer of the Company, certify, pursuant to 18 U.S.C. § 1350, as adopted pursuant to § 906 of the Sarbanes-Oxley Act of 2002, that based on my knowledge:</w:t>
      </w:r>
    </w:p>
    <w:p>
      <w:pPr>
        <w:spacing w:after="0" w:line="12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Joseph F. Puishys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January 10, 2019</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Quarterly Report of Apogee Enterprises, Inc. (the “Company”) on Form 10-Q for the period ended December 1, 2018 as filed with the Securities and Exchange Commission (the “Report”), I, James S. Porter, Chief Financial Officer of the Company, certify, pursuant to 18 U.S.C. § 1350, as adopted pursuant to § 906 of the Sarbanes-Oxley Act of 2002, that based on my knowledge:</w:t>
      </w:r>
    </w:p>
    <w:p>
      <w:pPr>
        <w:spacing w:after="0" w:line="12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James 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James S. Porter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January 10,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2"/>
    </w:lvl>
  </w:abstractNum>
  <w:abstractNum w:abstractNumId="5">
    <w:nsid w:val="109CF92E"/>
    <w:multiLevelType w:val="hybridMultilevel"/>
    <w:lvl w:ilvl="0">
      <w:lvlJc w:val="left"/>
      <w:lvlText w:val="%1."/>
      <w:numFmt w:val="decimal"/>
      <w:start w:val="3"/>
    </w:lvl>
  </w:abstractNum>
  <w:abstractNum w:abstractNumId="6">
    <w:nsid w:val="DED7263"/>
    <w:multiLevelType w:val="hybridMultilevel"/>
    <w:lvl w:ilvl="0">
      <w:lvlJc w:val="left"/>
      <w:lvlText w:val="%1."/>
      <w:numFmt w:val="decimal"/>
      <w:start w:val="4"/>
    </w:lvl>
  </w:abstractNum>
  <w:abstractNum w:abstractNumId="7">
    <w:nsid w:val="7FDCC233"/>
    <w:multiLevelType w:val="hybridMultilevel"/>
    <w:lvl w:ilvl="0">
      <w:lvlJc w:val="left"/>
      <w:lvlText w:val="%1."/>
      <w:numFmt w:val="decimal"/>
      <w:start w:val="6"/>
    </w:lvl>
  </w:abstractNum>
  <w:abstractNum w:abstractNumId="8">
    <w:nsid w:val="1BEFD79F"/>
    <w:multiLevelType w:val="hybridMultilevel"/>
    <w:lvl w:ilvl="0">
      <w:lvlJc w:val="left"/>
      <w:lvlText w:val="%1."/>
      <w:numFmt w:val="decimal"/>
      <w:start w:val="7"/>
    </w:lvl>
  </w:abstractNum>
  <w:abstractNum w:abstractNumId="9">
    <w:nsid w:val="41A7C4C9"/>
    <w:multiLevelType w:val="hybridMultilevel"/>
    <w:lvl w:ilvl="0">
      <w:lvlJc w:val="left"/>
      <w:lvlText w:val="%1."/>
      <w:numFmt w:val="decimal"/>
      <w:start w:val="8"/>
    </w:lvl>
  </w:abstractNum>
  <w:abstractNum w:abstractNumId="10">
    <w:nsid w:val="6B68079A"/>
    <w:multiLevelType w:val="hybridMultilevel"/>
    <w:lvl w:ilvl="0">
      <w:lvlJc w:val="left"/>
      <w:lvlText w:val="%1."/>
      <w:numFmt w:val="decimal"/>
      <w:start w:val="9"/>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decimal"/>
      <w:start w:val="10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2019-12-28T17:13:43Z</dcterms:created>
  <dcterms:modified xsi:type="dcterms:W3CDTF">2019-12-28T17:13:43Z</dcterms:modified>
</cp:coreProperties>
</file>