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430530</wp:posOffset>
            </wp:positionH>
            <wp:positionV relativeFrom="page">
              <wp:posOffset>590550</wp:posOffset>
            </wp:positionV>
            <wp:extent cx="66922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2265" cy="7620"/>
                    </a:xfrm>
                    <a:prstGeom prst="rect">
                      <a:avLst/>
                    </a:prstGeom>
                    <a:noFill/>
                  </pic:spPr>
                </pic:pic>
              </a:graphicData>
            </a:graphic>
          </wp:anchor>
        </w:drawing>
        <w:drawing>
          <wp:anchor simplePos="0" relativeHeight="251657728" behindDoc="1" locked="0" layoutInCell="0" allowOverlap="1">
            <wp:simplePos x="0" y="0"/>
            <wp:positionH relativeFrom="page">
              <wp:posOffset>430530</wp:posOffset>
            </wp:positionH>
            <wp:positionV relativeFrom="page">
              <wp:posOffset>621030</wp:posOffset>
            </wp:positionV>
            <wp:extent cx="66922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2265" cy="762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3980"/>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color w:val="auto"/>
        </w:rPr>
        <w:t>_________________________________</w:t>
      </w:r>
    </w:p>
    <w:p>
      <w:pPr>
        <w:ind w:left="480" w:hanging="462"/>
        <w:spacing w:after="0" w:line="183" w:lineRule="auto"/>
        <w:tabs>
          <w:tab w:leader="none" w:pos="480"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8" w:lineRule="exact"/>
        <w:rPr>
          <w:rFonts w:ascii="MS PGothic" w:cs="MS PGothic" w:eastAsia="MS PGothic" w:hAnsi="MS PGothic"/>
          <w:sz w:val="38"/>
          <w:szCs w:val="38"/>
          <w:color w:val="auto"/>
          <w:vertAlign w:val="subscript"/>
        </w:rPr>
      </w:pPr>
    </w:p>
    <w:p>
      <w:pPr>
        <w:ind w:left="3820"/>
        <w:spacing w:after="0"/>
        <w:rPr>
          <w:rFonts w:ascii="MS PGothic" w:cs="MS PGothic" w:eastAsia="MS PGothic" w:hAnsi="MS PGothic"/>
          <w:sz w:val="38"/>
          <w:szCs w:val="38"/>
          <w:color w:val="auto"/>
          <w:vertAlign w:val="subscript"/>
        </w:rPr>
      </w:pPr>
      <w:r>
        <w:rPr>
          <w:rFonts w:ascii="Times New Roman" w:cs="Times New Roman" w:eastAsia="Times New Roman" w:hAnsi="Times New Roman"/>
          <w:sz w:val="14"/>
          <w:szCs w:val="14"/>
          <w:b w:val="1"/>
          <w:bCs w:val="1"/>
          <w:color w:val="auto"/>
        </w:rPr>
        <w:t>For the quarterly period ended August 30, 2025</w:t>
      </w:r>
    </w:p>
    <w:p>
      <w:pPr>
        <w:ind w:left="480" w:hanging="462"/>
        <w:spacing w:after="0" w:line="216" w:lineRule="auto"/>
        <w:tabs>
          <w:tab w:leader="none" w:pos="480" w:val="left"/>
        </w:tabs>
        <w:numPr>
          <w:ilvl w:val="0"/>
          <w:numId w:val="2"/>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7" w:lineRule="exact"/>
        <w:rPr>
          <w:sz w:val="24"/>
          <w:szCs w:val="24"/>
          <w:color w:val="auto"/>
        </w:rPr>
      </w:pPr>
    </w:p>
    <w:p>
      <w:pPr>
        <w:ind w:left="3820"/>
        <w:spacing w:after="0"/>
        <w:tabs>
          <w:tab w:leader="none" w:pos="61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0-6365</w:t>
      </w:r>
    </w:p>
    <w:p>
      <w:pPr>
        <w:spacing w:after="0" w:line="5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APOGEE ENTERPRISES, INC.</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ind w:left="4020"/>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48" w:lineRule="exact"/>
        <w:rPr>
          <w:sz w:val="24"/>
          <w:szCs w:val="24"/>
          <w:color w:val="auto"/>
        </w:rPr>
      </w:pPr>
    </w:p>
    <w:p>
      <w:pPr>
        <w:ind w:left="1620"/>
        <w:spacing w:after="0"/>
        <w:tabs>
          <w:tab w:leader="none" w:pos="8400" w:val="left"/>
        </w:tabs>
        <w:rPr>
          <w:sz w:val="20"/>
          <w:szCs w:val="20"/>
          <w:color w:val="auto"/>
        </w:rPr>
      </w:pPr>
      <w:r>
        <w:rPr>
          <w:rFonts w:ascii="Times New Roman" w:cs="Times New Roman" w:eastAsia="Times New Roman" w:hAnsi="Times New Roman"/>
          <w:sz w:val="16"/>
          <w:szCs w:val="16"/>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41-0919654</w:t>
      </w:r>
    </w:p>
    <w:p>
      <w:pPr>
        <w:spacing w:after="0" w:line="23" w:lineRule="exact"/>
        <w:rPr>
          <w:sz w:val="24"/>
          <w:szCs w:val="24"/>
          <w:color w:val="auto"/>
        </w:rPr>
      </w:pPr>
    </w:p>
    <w:p>
      <w:pPr>
        <w:ind w:left="380"/>
        <w:spacing w:after="0"/>
        <w:tabs>
          <w:tab w:leader="none" w:pos="7820" w:val="left"/>
        </w:tabs>
        <w:rPr>
          <w:sz w:val="20"/>
          <w:szCs w:val="20"/>
          <w:color w:val="auto"/>
        </w:rPr>
      </w:pPr>
      <w:r>
        <w:rPr>
          <w:rFonts w:ascii="Times New Roman" w:cs="Times New Roman" w:eastAsia="Times New Roman" w:hAnsi="Times New Roman"/>
          <w:sz w:val="13"/>
          <w:szCs w:val="13"/>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color w:val="auto"/>
        </w:rPr>
        <w:t>(I.R.S. Employer Identification No.)</w:t>
      </w:r>
    </w:p>
    <w:p>
      <w:pPr>
        <w:spacing w:after="0" w:line="75" w:lineRule="exact"/>
        <w:rPr>
          <w:sz w:val="24"/>
          <w:szCs w:val="24"/>
          <w:color w:val="auto"/>
        </w:rPr>
      </w:pPr>
    </w:p>
    <w:p>
      <w:pPr>
        <w:ind w:left="900"/>
        <w:spacing w:after="0"/>
        <w:tabs>
          <w:tab w:leader="none" w:pos="4280" w:val="left"/>
          <w:tab w:leader="none" w:pos="5880" w:val="left"/>
          <w:tab w:leader="none" w:pos="8580" w:val="left"/>
        </w:tabs>
        <w:rPr>
          <w:sz w:val="20"/>
          <w:szCs w:val="20"/>
          <w:color w:val="auto"/>
        </w:rPr>
      </w:pPr>
      <w:r>
        <w:rPr>
          <w:rFonts w:ascii="Times New Roman" w:cs="Times New Roman" w:eastAsia="Times New Roman" w:hAnsi="Times New Roman"/>
          <w:sz w:val="16"/>
          <w:szCs w:val="16"/>
          <w:b w:val="1"/>
          <w:bCs w:val="1"/>
          <w:color w:val="auto"/>
        </w:rPr>
        <w:t>4400 West 78th Street, Suite 520</w:t>
      </w:r>
      <w:r>
        <w:rPr>
          <w:sz w:val="20"/>
          <w:szCs w:val="20"/>
          <w:color w:val="auto"/>
        </w:rPr>
        <w:tab/>
      </w:r>
      <w:r>
        <w:rPr>
          <w:rFonts w:ascii="Times New Roman" w:cs="Times New Roman" w:eastAsia="Times New Roman" w:hAnsi="Times New Roman"/>
          <w:sz w:val="16"/>
          <w:szCs w:val="16"/>
          <w:b w:val="1"/>
          <w:bCs w:val="1"/>
          <w:color w:val="auto"/>
        </w:rPr>
        <w:t>Minneapolis</w:t>
      </w:r>
      <w:r>
        <w:rPr>
          <w:sz w:val="20"/>
          <w:szCs w:val="20"/>
          <w:color w:val="auto"/>
        </w:rPr>
        <w:tab/>
      </w:r>
      <w:r>
        <w:rPr>
          <w:rFonts w:ascii="Times New Roman" w:cs="Times New Roman" w:eastAsia="Times New Roman" w:hAnsi="Times New Roman"/>
          <w:sz w:val="16"/>
          <w:szCs w:val="16"/>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23" w:lineRule="exact"/>
        <w:rPr>
          <w:sz w:val="24"/>
          <w:szCs w:val="24"/>
          <w:color w:val="auto"/>
        </w:rPr>
      </w:pPr>
    </w:p>
    <w:p>
      <w:pPr>
        <w:ind w:left="920"/>
        <w:spacing w:after="0"/>
        <w:tabs>
          <w:tab w:leader="none" w:pos="8500" w:val="left"/>
        </w:tabs>
        <w:rPr>
          <w:sz w:val="20"/>
          <w:szCs w:val="20"/>
          <w:color w:val="auto"/>
        </w:rPr>
      </w:pPr>
      <w:r>
        <w:rPr>
          <w:rFonts w:ascii="Times New Roman" w:cs="Times New Roman" w:eastAsia="Times New Roman" w:hAnsi="Times New Roman"/>
          <w:sz w:val="13"/>
          <w:szCs w:val="13"/>
          <w:color w:val="auto"/>
        </w:rPr>
        <w:t>(Address of principal executive offices)</w:t>
      </w:r>
      <w:r>
        <w:rPr>
          <w:sz w:val="20"/>
          <w:szCs w:val="20"/>
          <w:color w:val="auto"/>
        </w:rPr>
        <w:tab/>
      </w:r>
      <w:r>
        <w:rPr>
          <w:rFonts w:ascii="Times New Roman" w:cs="Times New Roman" w:eastAsia="Times New Roman" w:hAnsi="Times New Roman"/>
          <w:sz w:val="13"/>
          <w:szCs w:val="13"/>
          <w:color w:val="auto"/>
        </w:rPr>
        <w:t>(Zip Code)</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(952) 835-1874</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ind w:left="3980"/>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6" w:lineRule="exact"/>
        <w:rPr>
          <w:sz w:val="24"/>
          <w:szCs w:val="24"/>
          <w:color w:val="auto"/>
        </w:rPr>
      </w:pPr>
    </w:p>
    <w:p>
      <w:pPr>
        <w:ind w:left="1380"/>
        <w:spacing w:after="0"/>
        <w:tabs>
          <w:tab w:leader="none" w:pos="4580" w:val="left"/>
          <w:tab w:leader="none" w:pos="708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22" w:lineRule="exact"/>
        <w:rPr>
          <w:sz w:val="24"/>
          <w:szCs w:val="24"/>
          <w:color w:val="auto"/>
        </w:rPr>
      </w:pPr>
    </w:p>
    <w:p>
      <w:pPr>
        <w:ind w:left="540"/>
        <w:spacing w:after="0"/>
        <w:tabs>
          <w:tab w:leader="none" w:pos="5000" w:val="left"/>
          <w:tab w:leader="none" w:pos="7720" w:val="left"/>
        </w:tabs>
        <w:rPr>
          <w:sz w:val="20"/>
          <w:szCs w:val="20"/>
          <w:color w:val="auto"/>
        </w:rPr>
      </w:pPr>
      <w:r>
        <w:rPr>
          <w:rFonts w:ascii="Times New Roman" w:cs="Times New Roman" w:eastAsia="Times New Roman" w:hAnsi="Times New Roman"/>
          <w:sz w:val="16"/>
          <w:szCs w:val="16"/>
          <w:color w:val="auto"/>
        </w:rPr>
        <w:t>Common stock, par value $0.33 1/3 per share</w:t>
      </w:r>
      <w:r>
        <w:rPr>
          <w:sz w:val="20"/>
          <w:szCs w:val="20"/>
          <w:color w:val="auto"/>
        </w:rPr>
        <w:tab/>
      </w:r>
      <w:r>
        <w:rPr>
          <w:rFonts w:ascii="Times New Roman" w:cs="Times New Roman" w:eastAsia="Times New Roman" w:hAnsi="Times New Roman"/>
          <w:sz w:val="16"/>
          <w:szCs w:val="16"/>
          <w:color w:val="auto"/>
        </w:rPr>
        <w:t>APOG</w:t>
      </w:r>
      <w:r>
        <w:rPr>
          <w:sz w:val="20"/>
          <w:szCs w:val="20"/>
          <w:color w:val="auto"/>
        </w:rPr>
        <w:tab/>
      </w:r>
      <w:r>
        <w:rPr>
          <w:rFonts w:ascii="Times New Roman" w:cs="Times New Roman" w:eastAsia="Times New Roman" w:hAnsi="Times New Roman"/>
          <w:sz w:val="14"/>
          <w:szCs w:val="14"/>
          <w:color w:val="auto"/>
        </w:rPr>
        <w:t>The Nasdaq Stock Market</w:t>
      </w:r>
    </w:p>
    <w:p>
      <w:pPr>
        <w:spacing w:after="0" w:line="80" w:lineRule="exact"/>
        <w:rPr>
          <w:sz w:val="24"/>
          <w:szCs w:val="24"/>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color w:val="auto"/>
        </w:rPr>
        <w:t>o</w:t>
      </w:r>
      <w:r>
        <w:rPr>
          <w:rFonts w:ascii="Times New Roman" w:cs="Times New Roman" w:eastAsia="Times New Roman" w:hAnsi="Times New Roman"/>
          <w:sz w:val="16"/>
          <w:szCs w:val="16"/>
          <w:color w:val="auto"/>
        </w:rPr>
        <w:t xml:space="preserve"> No</w:t>
      </w:r>
    </w:p>
    <w:p>
      <w:pPr>
        <w:spacing w:after="0" w:line="116"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color w:val="auto"/>
        </w:rPr>
        <w:t>o</w:t>
      </w:r>
      <w:r>
        <w:rPr>
          <w:rFonts w:ascii="Times New Roman" w:cs="Times New Roman" w:eastAsia="Times New Roman" w:hAnsi="Times New Roman"/>
          <w:sz w:val="16"/>
          <w:szCs w:val="16"/>
          <w:color w:val="auto"/>
        </w:rPr>
        <w:t xml:space="preserve"> No</w:t>
      </w:r>
    </w:p>
    <w:p>
      <w:pPr>
        <w:spacing w:after="0" w:line="107" w:lineRule="exact"/>
        <w:rPr>
          <w:sz w:val="24"/>
          <w:szCs w:val="24"/>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80"/>
          </w:cols>
          <w:pgMar w:left="660" w:top="1031" w:right="660" w:bottom="1440" w:gutter="0" w:footer="0" w:header="0"/>
        </w:sectPr>
      </w:pP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80" w:type="dxa"/>
            <w:vAlign w:val="bottom"/>
          </w:tcPr>
          <w:p>
            <w:pPr>
              <w:ind w:left="480"/>
              <w:spacing w:after="0"/>
              <w:rPr>
                <w:sz w:val="20"/>
                <w:szCs w:val="20"/>
                <w:color w:val="auto"/>
              </w:rPr>
            </w:pPr>
            <w:r>
              <w:rPr>
                <w:rFonts w:ascii="Wingdings" w:cs="Wingdings" w:eastAsia="Wingdings" w:hAnsi="Wingdings"/>
                <w:sz w:val="16"/>
                <w:szCs w:val="16"/>
                <w:color w:val="auto"/>
              </w:rPr>
              <w:t>x</w:t>
            </w:r>
          </w:p>
        </w:tc>
        <w:tc>
          <w:tcPr>
            <w:tcW w:w="35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520" w:type="dxa"/>
            <w:vAlign w:val="bottom"/>
          </w:tcPr>
          <w:p>
            <w:pPr>
              <w:ind w:left="1820"/>
              <w:spacing w:after="0"/>
              <w:rPr>
                <w:sz w:val="20"/>
                <w:szCs w:val="20"/>
                <w:color w:val="auto"/>
              </w:rPr>
            </w:pPr>
            <w:r>
              <w:rPr>
                <w:rFonts w:ascii="Times New Roman" w:cs="Times New Roman" w:eastAsia="Times New Roman" w:hAnsi="Times New Roman"/>
                <w:sz w:val="16"/>
                <w:szCs w:val="16"/>
                <w:color w:val="auto"/>
                <w:w w:val="95"/>
              </w:rPr>
              <w:t>Smaller reporting company</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4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520" w:type="dxa"/>
            <w:vAlign w:val="bottom"/>
          </w:tcPr>
          <w:p>
            <w:pPr>
              <w:spacing w:after="0"/>
              <w:rPr>
                <w:sz w:val="22"/>
                <w:szCs w:val="22"/>
                <w:color w:val="auto"/>
              </w:rPr>
            </w:pPr>
          </w:p>
        </w:tc>
      </w:tr>
    </w:tbl>
    <w:p>
      <w:pPr>
        <w:ind w:left="20"/>
        <w:spacing w:after="0" w:line="222"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8" w:lineRule="exact"/>
        <w:rPr>
          <w:sz w:val="24"/>
          <w:szCs w:val="24"/>
          <w:color w:val="auto"/>
        </w:rPr>
      </w:pPr>
    </w:p>
    <w:p>
      <w:pPr>
        <w:ind w:right="152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color w:val="auto"/>
        </w:rPr>
        <w:t>x</w:t>
      </w:r>
      <w:r>
        <w:rPr>
          <w:rFonts w:ascii="Times New Roman" w:cs="Times New Roman" w:eastAsia="Times New Roman" w:hAnsi="Times New Roman"/>
          <w:sz w:val="16"/>
          <w:szCs w:val="16"/>
          <w:color w:val="auto"/>
        </w:rPr>
        <w:t xml:space="preserve"> No As of October 6, 2025, 21,510,930 shares of the registrant’s common stock, par value $0.33 1/3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400685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55245</wp:posOffset>
            </wp:positionV>
            <wp:extent cx="66922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2265" cy="762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85725</wp:posOffset>
            </wp:positionV>
            <wp:extent cx="66922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226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7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40" w:orient="portrait"/>
          <w:cols w:equalWidth="0" w:num="2">
            <w:col w:w="9800" w:space="160"/>
            <w:col w:w="620"/>
          </w:cols>
          <w:pgMar w:left="660" w:top="1031" w:right="66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APOGEE ENTERPRISES, INC. AND SUBSIDIARIES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84"/>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1480" w:type="dxa"/>
            <w:vAlign w:val="bottom"/>
            <w:tcBorders>
              <w:bottom w:val="single" w:sz="8" w:color="0000FF"/>
            </w:tcBorders>
            <w:gridSpan w:val="5"/>
          </w:tcPr>
          <w:p>
            <w:pPr>
              <w:spacing w:after="0"/>
              <w:rPr>
                <w:rFonts w:ascii="Times New Roman" w:cs="Times New Roman" w:eastAsia="Times New Roman" w:hAnsi="Times New Roman"/>
                <w:sz w:val="16"/>
                <w:szCs w:val="16"/>
                <w:b w:val="1"/>
                <w:bCs w:val="1"/>
                <w:color w:val="0000FF"/>
                <w:w w:val="96"/>
              </w:rPr>
            </w:pPr>
            <w:hyperlink w:anchor="page2">
              <w:r>
                <w:rPr>
                  <w:rFonts w:ascii="Times New Roman" w:cs="Times New Roman" w:eastAsia="Times New Roman" w:hAnsi="Times New Roman"/>
                  <w:sz w:val="16"/>
                  <w:szCs w:val="16"/>
                  <w:b w:val="1"/>
                  <w:bCs w:val="1"/>
                  <w:color w:val="0000FF"/>
                  <w:w w:val="96"/>
                </w:rPr>
                <w:t>Financial Information</w:t>
              </w:r>
            </w:hyperlink>
          </w:p>
        </w:tc>
        <w:tc>
          <w:tcPr>
            <w:tcW w:w="6800" w:type="dxa"/>
            <w:vAlign w:val="bottom"/>
            <w:gridSpan w:val="11"/>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8280" w:type="dxa"/>
            <w:vAlign w:val="bottom"/>
            <w:gridSpan w:val="16"/>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Statements (Unaudited):</w:t>
              </w:r>
            </w:hyperlink>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20" w:type="dxa"/>
            <w:vAlign w:val="bottom"/>
            <w:tcBorders>
              <w:top w:val="single" w:sz="8" w:color="0000FF"/>
            </w:tcBorders>
            <w:gridSpan w:val="8"/>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Consolidated Balance Sheets</w:t>
              </w:r>
            </w:hyperlink>
          </w:p>
        </w:tc>
        <w:tc>
          <w:tcPr>
            <w:tcW w:w="6160" w:type="dxa"/>
            <w:vAlign w:val="bottom"/>
            <w:gridSpan w:val="8"/>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80" w:type="dxa"/>
            <w:vAlign w:val="bottom"/>
            <w:gridSpan w:val="16"/>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Consolidated Results of Operations</w:t>
              </w:r>
            </w:hyperlink>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4</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80" w:type="dxa"/>
            <w:vAlign w:val="bottom"/>
            <w:gridSpan w:val="16"/>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Consolidated Statements of Comprehensive Earnings</w:t>
              </w:r>
            </w:hyperlink>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5</w:t>
              </w:r>
            </w:hyperlink>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2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Consolidated Statements of Cash Flows</w:t>
              </w:r>
            </w:hyperlink>
          </w:p>
        </w:tc>
        <w:tc>
          <w:tcPr>
            <w:tcW w:w="4960" w:type="dxa"/>
            <w:vAlign w:val="bottom"/>
            <w:gridSpan w:val="3"/>
          </w:tcPr>
          <w:p>
            <w:pPr>
              <w:spacing w:after="0"/>
              <w:rPr>
                <w:sz w:val="20"/>
                <w:szCs w:val="20"/>
                <w:color w:val="auto"/>
              </w:rPr>
            </w:pPr>
          </w:p>
        </w:tc>
        <w:tc>
          <w:tcPr>
            <w:tcW w:w="660" w:type="dxa"/>
            <w:vAlign w:val="bottom"/>
            <w:gridSpan w:val="3"/>
          </w:tcPr>
          <w:p>
            <w:pPr>
              <w:spacing w:after="0"/>
              <w:rPr>
                <w:sz w:val="20"/>
                <w:szCs w:val="20"/>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6"/>
                <w:szCs w:val="16"/>
                <w:color w:val="0000FF"/>
                <w:w w:val="74"/>
              </w:rPr>
            </w:pPr>
            <w:hyperlink w:anchor="page5">
              <w:r>
                <w:rPr>
                  <w:rFonts w:ascii="Times New Roman" w:cs="Times New Roman" w:eastAsia="Times New Roman" w:hAnsi="Times New Roman"/>
                  <w:sz w:val="16"/>
                  <w:szCs w:val="16"/>
                  <w:color w:val="0000FF"/>
                  <w:w w:val="74"/>
                </w:rPr>
                <w:t>6</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80" w:type="dxa"/>
            <w:vAlign w:val="bottom"/>
            <w:gridSpan w:val="16"/>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Consolidated Statements of Shareholders' Equity</w:t>
              </w:r>
            </w:hyperlink>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7</w:t>
              </w:r>
            </w:hyperlink>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40" w:type="dxa"/>
            <w:vAlign w:val="bottom"/>
            <w:tcBorders>
              <w:top w:val="single" w:sz="8" w:color="0000FF"/>
            </w:tcBorders>
            <w:gridSpan w:val="12"/>
          </w:tcPr>
          <w:p>
            <w:pPr>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Notes to Consolidated Financial Statements</w:t>
              </w:r>
            </w:hyperlink>
          </w:p>
        </w:tc>
        <w:tc>
          <w:tcPr>
            <w:tcW w:w="5240" w:type="dxa"/>
            <w:vAlign w:val="bottom"/>
            <w:gridSpan w:val="4"/>
          </w:tcPr>
          <w:p>
            <w:pPr>
              <w:spacing w:after="0"/>
              <w:rPr>
                <w:sz w:val="20"/>
                <w:szCs w:val="20"/>
                <w:color w:val="auto"/>
              </w:rPr>
            </w:pPr>
          </w:p>
        </w:tc>
        <w:tc>
          <w:tcPr>
            <w:tcW w:w="660" w:type="dxa"/>
            <w:vAlign w:val="bottom"/>
            <w:gridSpan w:val="3"/>
          </w:tcPr>
          <w:p>
            <w:pPr>
              <w:spacing w:after="0"/>
              <w:rPr>
                <w:sz w:val="20"/>
                <w:szCs w:val="20"/>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6"/>
                <w:szCs w:val="16"/>
                <w:color w:val="0000FF"/>
                <w:w w:val="74"/>
              </w:rPr>
            </w:pPr>
            <w:hyperlink w:anchor="page8">
              <w:r>
                <w:rPr>
                  <w:rFonts w:ascii="Times New Roman" w:cs="Times New Roman" w:eastAsia="Times New Roman" w:hAnsi="Times New Roman"/>
                  <w:sz w:val="16"/>
                  <w:szCs w:val="16"/>
                  <w:color w:val="0000FF"/>
                  <w:w w:val="74"/>
                </w:rPr>
                <w:t>9</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280" w:type="dxa"/>
            <w:vAlign w:val="bottom"/>
            <w:gridSpan w:val="16"/>
          </w:tcPr>
          <w:p>
            <w:pPr>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Management’s Discussion and Analysis of Financial Condition and Results of Operation</w:t>
              </w:r>
            </w:hyperlink>
            <w:r>
              <w:rPr>
                <w:rFonts w:ascii="Times New Roman" w:cs="Times New Roman" w:eastAsia="Times New Roman" w:hAnsi="Times New Roman"/>
                <w:sz w:val="16"/>
                <w:szCs w:val="16"/>
                <w:color w:val="0000FF"/>
              </w:rPr>
              <w:t>s</w:t>
            </w: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23</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0" w:type="dxa"/>
            <w:vAlign w:val="bottom"/>
            <w:gridSpan w:val="8"/>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5560" w:type="dxa"/>
            <w:vAlign w:val="bottom"/>
            <w:gridSpan w:val="15"/>
          </w:tcPr>
          <w:p>
            <w:pPr>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Quantitative and Qualitative Disclosures About Market Risk</w:t>
              </w:r>
            </w:hyperlink>
          </w:p>
        </w:tc>
        <w:tc>
          <w:tcPr>
            <w:tcW w:w="2720" w:type="dxa"/>
            <w:vAlign w:val="bottom"/>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0" w:type="dxa"/>
            <w:vAlign w:val="bottom"/>
            <w:gridSpan w:val="8"/>
            <w:shd w:val="clear" w:color="auto" w:fill="0000FF"/>
          </w:tcPr>
          <w:p>
            <w:pPr>
              <w:spacing w:after="0" w:line="20" w:lineRule="exact"/>
              <w:rPr>
                <w:sz w:val="1"/>
                <w:szCs w:val="1"/>
                <w:color w:val="auto"/>
              </w:rPr>
            </w:pPr>
          </w:p>
        </w:tc>
        <w:tc>
          <w:tcPr>
            <w:tcW w:w="4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1540" w:type="dxa"/>
            <w:vAlign w:val="bottom"/>
            <w:gridSpan w:val="6"/>
          </w:tcPr>
          <w:p>
            <w:pPr>
              <w:spacing w:after="0"/>
              <w:rPr>
                <w:rFonts w:ascii="Times New Roman" w:cs="Times New Roman" w:eastAsia="Times New Roman" w:hAnsi="Times New Roman"/>
                <w:sz w:val="16"/>
                <w:szCs w:val="16"/>
                <w:color w:val="0000FF"/>
                <w:w w:val="96"/>
              </w:rPr>
            </w:pPr>
            <w:hyperlink w:anchor="page33">
              <w:r>
                <w:rPr>
                  <w:rFonts w:ascii="Times New Roman" w:cs="Times New Roman" w:eastAsia="Times New Roman" w:hAnsi="Times New Roman"/>
                  <w:sz w:val="16"/>
                  <w:szCs w:val="16"/>
                  <w:color w:val="0000FF"/>
                  <w:w w:val="96"/>
                </w:rPr>
                <w:t>Controls and Procedures</w:t>
              </w:r>
            </w:hyperlink>
          </w:p>
        </w:tc>
        <w:tc>
          <w:tcPr>
            <w:tcW w:w="2200" w:type="dxa"/>
            <w:vAlign w:val="bottom"/>
            <w:gridSpan w:val="8"/>
          </w:tcPr>
          <w:p>
            <w:pPr>
              <w:spacing w:after="0"/>
              <w:rPr>
                <w:sz w:val="20"/>
                <w:szCs w:val="20"/>
                <w:color w:val="auto"/>
              </w:rPr>
            </w:pPr>
          </w:p>
        </w:tc>
        <w:tc>
          <w:tcPr>
            <w:tcW w:w="4540" w:type="dxa"/>
            <w:vAlign w:val="bottom"/>
            <w:gridSpan w:val="2"/>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c>
          <w:tcPr>
            <w:tcW w:w="20" w:type="dxa"/>
            <w:vAlign w:val="bottom"/>
          </w:tcPr>
          <w:p>
            <w:pPr>
              <w:spacing w:after="0"/>
              <w:rPr>
                <w:sz w:val="20"/>
                <w:szCs w:val="20"/>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540" w:type="dxa"/>
            <w:vAlign w:val="bottom"/>
            <w:tcBorders>
              <w:top w:val="single" w:sz="8" w:color="0000FF"/>
            </w:tcBorders>
            <w:gridSpan w:val="6"/>
          </w:tcPr>
          <w:p>
            <w:pPr>
              <w:spacing w:after="0"/>
              <w:rPr>
                <w:rFonts w:ascii="Times New Roman" w:cs="Times New Roman" w:eastAsia="Times New Roman" w:hAnsi="Times New Roman"/>
                <w:sz w:val="16"/>
                <w:szCs w:val="16"/>
                <w:b w:val="1"/>
                <w:bCs w:val="1"/>
                <w:color w:val="0000FF"/>
              </w:rPr>
            </w:pPr>
            <w:hyperlink w:anchor="page33">
              <w:r>
                <w:rPr>
                  <w:rFonts w:ascii="Times New Roman" w:cs="Times New Roman" w:eastAsia="Times New Roman" w:hAnsi="Times New Roman"/>
                  <w:sz w:val="16"/>
                  <w:szCs w:val="16"/>
                  <w:b w:val="1"/>
                  <w:bCs w:val="1"/>
                  <w:color w:val="0000FF"/>
                </w:rPr>
                <w:t>Other Information</w:t>
              </w:r>
            </w:hyperlink>
          </w:p>
        </w:tc>
        <w:tc>
          <w:tcPr>
            <w:tcW w:w="6740" w:type="dxa"/>
            <w:vAlign w:val="bottom"/>
            <w:gridSpan w:val="10"/>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140" w:type="dxa"/>
            <w:vAlign w:val="bottom"/>
            <w:tcBorders>
              <w:top w:val="single" w:sz="8" w:color="0000FF"/>
            </w:tcBorders>
            <w:gridSpan w:val="3"/>
          </w:tcPr>
          <w:p>
            <w:pPr>
              <w:spacing w:after="0"/>
              <w:rPr>
                <w:rFonts w:ascii="Times New Roman" w:cs="Times New Roman" w:eastAsia="Times New Roman" w:hAnsi="Times New Roman"/>
                <w:sz w:val="16"/>
                <w:szCs w:val="16"/>
                <w:color w:val="0000FF"/>
                <w:w w:val="92"/>
              </w:rPr>
            </w:pPr>
            <w:hyperlink w:anchor="page34">
              <w:r>
                <w:rPr>
                  <w:rFonts w:ascii="Times New Roman" w:cs="Times New Roman" w:eastAsia="Times New Roman" w:hAnsi="Times New Roman"/>
                  <w:sz w:val="16"/>
                  <w:szCs w:val="16"/>
                  <w:color w:val="0000FF"/>
                  <w:w w:val="92"/>
                </w:rPr>
                <w:t>Legal Proceedings</w:t>
              </w:r>
            </w:hyperlink>
          </w:p>
        </w:tc>
        <w:tc>
          <w:tcPr>
            <w:tcW w:w="100" w:type="dxa"/>
            <w:vAlign w:val="bottom"/>
            <w:tcBorders>
              <w:top w:val="single" w:sz="8" w:color="0000FF"/>
            </w:tcBorders>
          </w:tcPr>
          <w:p>
            <w:pPr>
              <w:spacing w:after="0"/>
              <w:rPr>
                <w:sz w:val="20"/>
                <w:szCs w:val="20"/>
                <w:color w:val="auto"/>
              </w:rPr>
            </w:pPr>
          </w:p>
        </w:tc>
        <w:tc>
          <w:tcPr>
            <w:tcW w:w="7040" w:type="dxa"/>
            <w:vAlign w:val="bottom"/>
            <w:gridSpan w:val="12"/>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34</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gridSpan w:val="11"/>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780" w:type="dxa"/>
            <w:vAlign w:val="bottom"/>
            <w:gridSpan w:val="2"/>
          </w:tcPr>
          <w:p>
            <w:pPr>
              <w:spacing w:after="0"/>
              <w:rPr>
                <w:rFonts w:ascii="Times New Roman" w:cs="Times New Roman" w:eastAsia="Times New Roman" w:hAnsi="Times New Roman"/>
                <w:sz w:val="16"/>
                <w:szCs w:val="16"/>
                <w:color w:val="0000FF"/>
                <w:w w:val="94"/>
              </w:rPr>
            </w:pPr>
            <w:hyperlink w:anchor="page34">
              <w:r>
                <w:rPr>
                  <w:rFonts w:ascii="Times New Roman" w:cs="Times New Roman" w:eastAsia="Times New Roman" w:hAnsi="Times New Roman"/>
                  <w:sz w:val="16"/>
                  <w:szCs w:val="16"/>
                  <w:color w:val="0000FF"/>
                  <w:w w:val="94"/>
                </w:rPr>
                <w:t>Risk Factors</w:t>
              </w:r>
            </w:hyperlink>
          </w:p>
        </w:tc>
        <w:tc>
          <w:tcPr>
            <w:tcW w:w="360" w:type="dxa"/>
            <w:vAlign w:val="bottom"/>
          </w:tcPr>
          <w:p>
            <w:pPr>
              <w:spacing w:after="0"/>
              <w:rPr>
                <w:sz w:val="20"/>
                <w:szCs w:val="20"/>
                <w:color w:val="auto"/>
              </w:rPr>
            </w:pPr>
          </w:p>
        </w:tc>
        <w:tc>
          <w:tcPr>
            <w:tcW w:w="7140" w:type="dxa"/>
            <w:vAlign w:val="bottom"/>
            <w:gridSpan w:val="13"/>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34</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280" w:type="dxa"/>
            <w:vAlign w:val="bottom"/>
            <w:gridSpan w:val="16"/>
          </w:tcPr>
          <w:p>
            <w:pPr>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Unregistered Sales of Equity Securities and Use of Proceeds</w:t>
              </w:r>
            </w:hyperlink>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34</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0" w:type="dxa"/>
            <w:vAlign w:val="bottom"/>
            <w:tcBorders>
              <w:left w:val="single" w:sz="8" w:color="0000FF"/>
            </w:tcBorders>
            <w:gridSpan w:val="11"/>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5.</w:t>
            </w:r>
          </w:p>
        </w:tc>
        <w:tc>
          <w:tcPr>
            <w:tcW w:w="1140" w:type="dxa"/>
            <w:vAlign w:val="bottom"/>
            <w:gridSpan w:val="3"/>
          </w:tcPr>
          <w:p>
            <w:pPr>
              <w:spacing w:after="0"/>
              <w:rPr>
                <w:rFonts w:ascii="Times New Roman" w:cs="Times New Roman" w:eastAsia="Times New Roman" w:hAnsi="Times New Roman"/>
                <w:sz w:val="16"/>
                <w:szCs w:val="16"/>
                <w:color w:val="0000FF"/>
                <w:w w:val="94"/>
              </w:rPr>
            </w:pPr>
            <w:hyperlink w:anchor="page34">
              <w:r>
                <w:rPr>
                  <w:rFonts w:ascii="Times New Roman" w:cs="Times New Roman" w:eastAsia="Times New Roman" w:hAnsi="Times New Roman"/>
                  <w:sz w:val="16"/>
                  <w:szCs w:val="16"/>
                  <w:color w:val="0000FF"/>
                  <w:w w:val="94"/>
                </w:rPr>
                <w:t>Other Information</w:t>
              </w:r>
            </w:hyperlink>
          </w:p>
        </w:tc>
        <w:tc>
          <w:tcPr>
            <w:tcW w:w="2600" w:type="dxa"/>
            <w:vAlign w:val="bottom"/>
            <w:gridSpan w:val="11"/>
          </w:tcPr>
          <w:p>
            <w:pPr>
              <w:spacing w:after="0"/>
              <w:rPr>
                <w:sz w:val="20"/>
                <w:szCs w:val="20"/>
                <w:color w:val="auto"/>
              </w:rPr>
            </w:pPr>
          </w:p>
        </w:tc>
        <w:tc>
          <w:tcPr>
            <w:tcW w:w="4540" w:type="dxa"/>
            <w:vAlign w:val="bottom"/>
            <w:gridSpan w:val="2"/>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34</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6.</w:t>
            </w:r>
          </w:p>
        </w:tc>
        <w:tc>
          <w:tcPr>
            <w:tcW w:w="520" w:type="dxa"/>
            <w:vAlign w:val="bottom"/>
          </w:tcPr>
          <w:p>
            <w:pPr>
              <w:spacing w:after="0"/>
              <w:rPr>
                <w:rFonts w:ascii="Times New Roman" w:cs="Times New Roman" w:eastAsia="Times New Roman" w:hAnsi="Times New Roman"/>
                <w:sz w:val="16"/>
                <w:szCs w:val="16"/>
                <w:color w:val="0000FF"/>
                <w:w w:val="93"/>
              </w:rPr>
            </w:pPr>
            <w:hyperlink w:anchor="page34">
              <w:r>
                <w:rPr>
                  <w:rFonts w:ascii="Times New Roman" w:cs="Times New Roman" w:eastAsia="Times New Roman" w:hAnsi="Times New Roman"/>
                  <w:sz w:val="16"/>
                  <w:szCs w:val="16"/>
                  <w:color w:val="0000FF"/>
                  <w:w w:val="93"/>
                </w:rPr>
                <w:t>Exhibits</w:t>
              </w:r>
            </w:hyperlink>
          </w:p>
        </w:tc>
        <w:tc>
          <w:tcPr>
            <w:tcW w:w="620" w:type="dxa"/>
            <w:vAlign w:val="bottom"/>
            <w:gridSpan w:val="2"/>
          </w:tcPr>
          <w:p>
            <w:pPr>
              <w:spacing w:after="0"/>
              <w:rPr>
                <w:sz w:val="20"/>
                <w:szCs w:val="20"/>
                <w:color w:val="auto"/>
              </w:rPr>
            </w:pPr>
          </w:p>
        </w:tc>
        <w:tc>
          <w:tcPr>
            <w:tcW w:w="7140" w:type="dxa"/>
            <w:vAlign w:val="bottom"/>
            <w:gridSpan w:val="13"/>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35</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500" w:type="dxa"/>
            <w:vAlign w:val="bottom"/>
            <w:gridSpan w:val="3"/>
          </w:tcPr>
          <w:p>
            <w:pPr>
              <w:ind w:left="20"/>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Signatures</w:t>
              </w:r>
            </w:hyperlink>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60" w:type="dxa"/>
            <w:vAlign w:val="bottom"/>
            <w:gridSpan w:val="4"/>
          </w:tcPr>
          <w:p>
            <w:pPr>
              <w:jc w:val="right"/>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36</w:t>
              </w:r>
            </w:hyperlink>
          </w:p>
        </w:tc>
        <w:tc>
          <w:tcPr>
            <w:tcW w:w="20" w:type="dxa"/>
            <w:vAlign w:val="bottom"/>
          </w:tcPr>
          <w:p>
            <w:pPr>
              <w:spacing w:after="0"/>
              <w:rPr>
                <w:sz w:val="20"/>
                <w:szCs w:val="20"/>
                <w:color w:val="auto"/>
              </w:rPr>
            </w:pPr>
          </w:p>
        </w:tc>
      </w:tr>
      <w:tr>
        <w:trPr>
          <w:trHeight w:val="782"/>
        </w:trPr>
        <w:tc>
          <w:tcPr>
            <w:tcW w:w="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5560" w:type="dxa"/>
            <w:vAlign w:val="bottom"/>
            <w:gridSpan w:val="15"/>
          </w:tcPr>
          <w:p>
            <w:pPr>
              <w:ind w:left="3740"/>
              <w:spacing w:after="0"/>
              <w:rPr>
                <w:sz w:val="20"/>
                <w:szCs w:val="20"/>
                <w:color w:val="auto"/>
              </w:rPr>
            </w:pPr>
            <w:r>
              <w:rPr>
                <w:rFonts w:ascii="Times New Roman" w:cs="Times New Roman" w:eastAsia="Times New Roman" w:hAnsi="Times New Roman"/>
                <w:sz w:val="16"/>
                <w:szCs w:val="16"/>
                <w:color w:val="auto"/>
              </w:rPr>
              <w:t>2</w:t>
            </w: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660" w:type="dxa"/>
            <w:vAlign w:val="bottom"/>
            <w:tcBorders>
              <w:bottom w:val="single" w:sz="8" w:color="EEEEEE"/>
            </w:tcBorders>
          </w:tcPr>
          <w:p>
            <w:pPr>
              <w:spacing w:after="0"/>
              <w:rPr>
                <w:sz w:val="8"/>
                <w:szCs w:val="8"/>
                <w:color w:val="auto"/>
              </w:rPr>
            </w:pPr>
          </w:p>
        </w:tc>
        <w:tc>
          <w:tcPr>
            <w:tcW w:w="820" w:type="dxa"/>
            <w:vAlign w:val="bottom"/>
            <w:tcBorders>
              <w:bottom w:val="single" w:sz="8" w:color="EEEEEE"/>
            </w:tcBorders>
          </w:tcPr>
          <w:p>
            <w:pPr>
              <w:spacing w:after="0"/>
              <w:rPr>
                <w:sz w:val="8"/>
                <w:szCs w:val="8"/>
                <w:color w:val="auto"/>
              </w:rPr>
            </w:pPr>
          </w:p>
        </w:tc>
        <w:tc>
          <w:tcPr>
            <w:tcW w:w="5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34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1820" w:type="dxa"/>
            <w:vAlign w:val="bottom"/>
            <w:tcBorders>
              <w:bottom w:val="single" w:sz="8" w:color="EEEEEE"/>
            </w:tcBorders>
          </w:tcPr>
          <w:p>
            <w:pPr>
              <w:spacing w:after="0"/>
              <w:rPr>
                <w:sz w:val="8"/>
                <w:szCs w:val="8"/>
                <w:color w:val="auto"/>
              </w:rPr>
            </w:pPr>
          </w:p>
        </w:tc>
        <w:tc>
          <w:tcPr>
            <w:tcW w:w="272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640" w:type="dxa"/>
            <w:vAlign w:val="bottom"/>
            <w:gridSpan w:val="3"/>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4"/>
        </w:trPr>
        <w:tc>
          <w:tcPr>
            <w:tcW w:w="5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520" w:type="dxa"/>
            <w:vAlign w:val="bottom"/>
          </w:tcPr>
          <w:p>
            <w:pPr>
              <w:ind w:left="28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6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7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stock data)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0" w:type="dxa"/>
            <w:vAlign w:val="bottom"/>
          </w:tcPr>
          <w:p>
            <w:pPr>
              <w:spacing w:after="0"/>
              <w:rPr>
                <w:sz w:val="1"/>
                <w:szCs w:val="1"/>
                <w:color w:val="auto"/>
              </w:rPr>
            </w:pPr>
          </w:p>
        </w:tc>
      </w:tr>
      <w:tr>
        <w:trPr>
          <w:trHeight w:val="198"/>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80" w:type="dxa"/>
            <w:vAlign w:val="bottom"/>
            <w:shd w:val="clear" w:color="auto" w:fill="CCEEFF"/>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41,448</w:t>
            </w:r>
          </w:p>
        </w:tc>
        <w:tc>
          <w:tcPr>
            <w:tcW w:w="0" w:type="dxa"/>
            <w:vAlign w:val="bottom"/>
          </w:tcPr>
          <w:p>
            <w:pPr>
              <w:spacing w:after="0"/>
              <w:rPr>
                <w:sz w:val="1"/>
                <w:szCs w:val="1"/>
                <w:color w:val="auto"/>
              </w:rPr>
            </w:pPr>
          </w:p>
        </w:tc>
      </w:tr>
      <w:tr>
        <w:trPr>
          <w:trHeight w:val="204"/>
        </w:trPr>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185,590</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Inventories,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92,305</w:t>
            </w:r>
          </w:p>
        </w:tc>
        <w:tc>
          <w:tcPr>
            <w:tcW w:w="0" w:type="dxa"/>
            <w:vAlign w:val="bottom"/>
          </w:tcPr>
          <w:p>
            <w:pPr>
              <w:spacing w:after="0"/>
              <w:rPr>
                <w:sz w:val="1"/>
                <w:szCs w:val="1"/>
                <w:color w:val="auto"/>
              </w:rPr>
            </w:pPr>
          </w:p>
        </w:tc>
      </w:tr>
      <w:tr>
        <w:trPr>
          <w:trHeight w:val="204"/>
        </w:trPr>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Contract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71,842</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CCEEFF"/>
            </w:tcBorders>
          </w:tcPr>
          <w:p>
            <w:pPr>
              <w:spacing w:after="0"/>
              <w:rPr>
                <w:sz w:val="17"/>
                <w:szCs w:val="17"/>
                <w:color w:val="auto"/>
              </w:rPr>
            </w:pPr>
          </w:p>
        </w:tc>
        <w:tc>
          <w:tcPr>
            <w:tcW w:w="71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442,104</w:t>
            </w:r>
          </w:p>
        </w:tc>
        <w:tc>
          <w:tcPr>
            <w:tcW w:w="0" w:type="dxa"/>
            <w:vAlign w:val="bottom"/>
          </w:tcPr>
          <w:p>
            <w:pPr>
              <w:spacing w:after="0"/>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$478,793 and $469,480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268,139</w:t>
            </w:r>
          </w:p>
        </w:tc>
        <w:tc>
          <w:tcPr>
            <w:tcW w:w="0" w:type="dxa"/>
            <w:vAlign w:val="bottom"/>
          </w:tcPr>
          <w:p>
            <w:pPr>
              <w:spacing w:after="0"/>
              <w:rPr>
                <w:sz w:val="1"/>
                <w:szCs w:val="1"/>
                <w:color w:val="auto"/>
              </w:rPr>
            </w:pPr>
          </w:p>
        </w:tc>
      </w:tr>
      <w:tr>
        <w:trPr>
          <w:trHeight w:val="204"/>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62,314</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235,775</w:t>
            </w:r>
          </w:p>
        </w:tc>
        <w:tc>
          <w:tcPr>
            <w:tcW w:w="0" w:type="dxa"/>
            <w:vAlign w:val="bottom"/>
          </w:tcPr>
          <w:p>
            <w:pPr>
              <w:spacing w:after="0"/>
              <w:rPr>
                <w:sz w:val="1"/>
                <w:szCs w:val="1"/>
                <w:color w:val="auto"/>
              </w:rPr>
            </w:pPr>
          </w:p>
        </w:tc>
      </w:tr>
      <w:tr>
        <w:trPr>
          <w:trHeight w:val="204"/>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128,417</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7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1,154,683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1,175,269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98,804</w:t>
            </w:r>
          </w:p>
        </w:tc>
        <w:tc>
          <w:tcPr>
            <w:tcW w:w="0" w:type="dxa"/>
            <w:vAlign w:val="bottom"/>
          </w:tcPr>
          <w:p>
            <w:pPr>
              <w:spacing w:after="0"/>
              <w:rPr>
                <w:sz w:val="1"/>
                <w:szCs w:val="1"/>
                <w:color w:val="auto"/>
              </w:rPr>
            </w:pPr>
          </w:p>
        </w:tc>
      </w:tr>
      <w:tr>
        <w:trPr>
          <w:trHeight w:val="204"/>
        </w:trPr>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48,510</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Contract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35,193</w:t>
            </w:r>
          </w:p>
        </w:tc>
        <w:tc>
          <w:tcPr>
            <w:tcW w:w="0" w:type="dxa"/>
            <w:vAlign w:val="bottom"/>
          </w:tcPr>
          <w:p>
            <w:pPr>
              <w:spacing w:after="0"/>
              <w:rPr>
                <w:sz w:val="1"/>
                <w:szCs w:val="1"/>
                <w:color w:val="auto"/>
              </w:rPr>
            </w:pPr>
          </w:p>
        </w:tc>
      </w:tr>
      <w:tr>
        <w:trPr>
          <w:trHeight w:val="204"/>
        </w:trPr>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15,290</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CCEEFF"/>
            </w:tcBorders>
          </w:tcPr>
          <w:p>
            <w:pPr>
              <w:spacing w:after="0"/>
              <w:rPr>
                <w:sz w:val="17"/>
                <w:szCs w:val="17"/>
                <w:color w:val="auto"/>
              </w:rPr>
            </w:pPr>
          </w:p>
        </w:tc>
        <w:tc>
          <w:tcPr>
            <w:tcW w:w="71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285,456</w:t>
            </w:r>
          </w:p>
        </w:tc>
        <w:tc>
          <w:tcPr>
            <w:tcW w:w="0" w:type="dxa"/>
            <w:vAlign w:val="bottom"/>
          </w:tcPr>
          <w:p>
            <w:pPr>
              <w:spacing w:after="0"/>
              <w:rPr>
                <w:sz w:val="1"/>
                <w:szCs w:val="1"/>
                <w:color w:val="auto"/>
              </w:rPr>
            </w:pPr>
          </w:p>
        </w:tc>
      </w:tr>
      <w:tr>
        <w:trPr>
          <w:trHeight w:val="197"/>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0" w:type="dxa"/>
            <w:vAlign w:val="bottom"/>
          </w:tcPr>
          <w:p>
            <w:pPr>
              <w:spacing w:after="0"/>
              <w:rPr>
                <w:sz w:val="1"/>
                <w:szCs w:val="1"/>
                <w:color w:val="auto"/>
              </w:rPr>
            </w:pPr>
          </w:p>
        </w:tc>
      </w:tr>
      <w:tr>
        <w:trPr>
          <w:trHeight w:val="204"/>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51,632</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self-insurance reserves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w:t>
            </w:r>
          </w:p>
        </w:tc>
        <w:tc>
          <w:tcPr>
            <w:tcW w:w="0" w:type="dxa"/>
            <w:vAlign w:val="bottom"/>
          </w:tcPr>
          <w:p>
            <w:pPr>
              <w:spacing w:after="0"/>
              <w:rPr>
                <w:sz w:val="1"/>
                <w:szCs w:val="1"/>
                <w:color w:val="auto"/>
              </w:rPr>
            </w:pPr>
          </w:p>
        </w:tc>
      </w:tr>
      <w:tr>
        <w:trPr>
          <w:trHeight w:val="204"/>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34,901</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Junior preferred stock of $1.00 par value; authorized 200,000 shares; zero issued and outstanding</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7640" w:type="dxa"/>
            <w:vAlign w:val="bottom"/>
            <w:gridSpan w:val="3"/>
          </w:tcPr>
          <w:p>
            <w:pPr>
              <w:ind w:left="300"/>
              <w:spacing w:after="0" w:line="156" w:lineRule="exact"/>
              <w:rPr>
                <w:sz w:val="20"/>
                <w:szCs w:val="20"/>
                <w:color w:val="auto"/>
              </w:rPr>
            </w:pPr>
            <w:r>
              <w:rPr>
                <w:rFonts w:ascii="Times New Roman" w:cs="Times New Roman" w:eastAsia="Times New Roman" w:hAnsi="Times New Roman"/>
                <w:sz w:val="16"/>
                <w:szCs w:val="16"/>
                <w:color w:val="auto"/>
              </w:rPr>
              <w:t>Common stock of $0.33-1/3 par value; authorized 50,000,000 shares; issued and outstanding 21,516,390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0" w:type="dxa"/>
            <w:vAlign w:val="bottom"/>
          </w:tcPr>
          <w:p>
            <w:pPr>
              <w:spacing w:after="0"/>
              <w:rPr>
                <w:sz w:val="1"/>
                <w:szCs w:val="1"/>
                <w:color w:val="auto"/>
              </w:rPr>
            </w:pPr>
          </w:p>
        </w:tc>
      </w:tr>
      <w:tr>
        <w:trPr>
          <w:trHeight w:val="204"/>
        </w:trPr>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21,417,631, respectively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156,075</w:t>
            </w:r>
          </w:p>
        </w:tc>
        <w:tc>
          <w:tcPr>
            <w:tcW w:w="0" w:type="dxa"/>
            <w:vAlign w:val="bottom"/>
          </w:tcPr>
          <w:p>
            <w:pPr>
              <w:spacing w:after="0"/>
              <w:rPr>
                <w:sz w:val="1"/>
                <w:szCs w:val="1"/>
                <w:color w:val="auto"/>
              </w:rPr>
            </w:pPr>
          </w:p>
        </w:tc>
      </w:tr>
      <w:tr>
        <w:trPr>
          <w:trHeight w:val="204"/>
        </w:trPr>
        <w:tc>
          <w:tcPr>
            <w:tcW w:w="76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359,976</w:t>
            </w:r>
          </w:p>
        </w:tc>
        <w:tc>
          <w:tcPr>
            <w:tcW w:w="0" w:type="dxa"/>
            <w:vAlign w:val="bottom"/>
          </w:tcPr>
          <w:p>
            <w:pPr>
              <w:spacing w:after="0"/>
              <w:rPr>
                <w:sz w:val="1"/>
                <w:szCs w:val="1"/>
                <w:color w:val="auto"/>
              </w:rPr>
            </w:pPr>
          </w:p>
        </w:tc>
      </w:tr>
      <w:tr>
        <w:trPr>
          <w:trHeight w:val="205"/>
        </w:trPr>
        <w:tc>
          <w:tcPr>
            <w:tcW w:w="7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CCEEFF"/>
            </w:tcBorders>
          </w:tcPr>
          <w:p>
            <w:pPr>
              <w:spacing w:after="0"/>
              <w:rPr>
                <w:sz w:val="17"/>
                <w:szCs w:val="17"/>
                <w:color w:val="auto"/>
              </w:rPr>
            </w:pPr>
          </w:p>
        </w:tc>
        <w:tc>
          <w:tcPr>
            <w:tcW w:w="71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487,898</w:t>
            </w:r>
          </w:p>
        </w:tc>
        <w:tc>
          <w:tcPr>
            <w:tcW w:w="0" w:type="dxa"/>
            <w:vAlign w:val="bottom"/>
          </w:tcPr>
          <w:p>
            <w:pPr>
              <w:spacing w:after="0"/>
              <w:rPr>
                <w:sz w:val="1"/>
                <w:szCs w:val="1"/>
                <w:color w:val="auto"/>
              </w:rPr>
            </w:pPr>
          </w:p>
        </w:tc>
      </w:tr>
      <w:tr>
        <w:trPr>
          <w:trHeight w:val="221"/>
        </w:trPr>
        <w:tc>
          <w:tcPr>
            <w:tcW w:w="540" w:type="dxa"/>
            <w:vAlign w:val="bottom"/>
            <w:tcBorders>
              <w:bottom w:val="single" w:sz="8" w:color="CCEEFF"/>
            </w:tcBorders>
            <w:shd w:val="clear" w:color="auto" w:fill="CCEEFF"/>
          </w:tcPr>
          <w:p>
            <w:pPr>
              <w:spacing w:after="0"/>
              <w:rPr>
                <w:sz w:val="18"/>
                <w:szCs w:val="18"/>
                <w:color w:val="auto"/>
              </w:rPr>
            </w:pPr>
          </w:p>
        </w:tc>
        <w:tc>
          <w:tcPr>
            <w:tcW w:w="7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1,154,683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1,175,269</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40" w:type="dxa"/>
            <w:vAlign w:val="bottom"/>
          </w:tcPr>
          <w:p>
            <w:pPr>
              <w:spacing w:after="0"/>
              <w:rPr>
                <w:sz w:val="16"/>
                <w:szCs w:val="16"/>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August 31, 2024</w:t>
            </w:r>
          </w:p>
        </w:tc>
      </w:tr>
      <w:tr>
        <w:trPr>
          <w:trHeight w:val="197"/>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358,194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342,440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673,956</w:t>
            </w:r>
          </w:p>
        </w:tc>
      </w:tr>
      <w:tr>
        <w:trPr>
          <w:trHeight w:val="204"/>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275,587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245,119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547,084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477,780</w:t>
            </w:r>
          </w:p>
        </w:tc>
      </w:tr>
      <w:tr>
        <w:trPr>
          <w:trHeight w:val="197"/>
        </w:trPr>
        <w:tc>
          <w:tcPr>
            <w:tcW w:w="4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82,607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97,321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196,176</w:t>
            </w:r>
          </w:p>
        </w:tc>
      </w:tr>
      <w:tr>
        <w:trPr>
          <w:trHeight w:val="204"/>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55,719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55,356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112,830</w:t>
            </w:r>
          </w:p>
        </w:tc>
      </w:tr>
      <w:tr>
        <w:trPr>
          <w:trHeight w:val="197"/>
        </w:trPr>
        <w:tc>
          <w:tcPr>
            <w:tcW w:w="4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26,888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41,965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83,346</w:t>
            </w:r>
          </w:p>
        </w:tc>
      </w:tr>
      <w:tr>
        <w:trPr>
          <w:trHeight w:val="20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05"/>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5,140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196"/>
        </w:trPr>
        <w:tc>
          <w:tcPr>
            <w:tcW w:w="4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27,953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41,115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82,189</w:t>
            </w:r>
          </w:p>
        </w:tc>
      </w:tr>
      <w:tr>
        <w:trPr>
          <w:trHeight w:val="205"/>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4,304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10,549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w:t>
            </w:r>
          </w:p>
        </w:tc>
      </w:tr>
      <w:tr>
        <w:trPr>
          <w:trHeight w:val="196"/>
        </w:trPr>
        <w:tc>
          <w:tcPr>
            <w:tcW w:w="4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23,649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30,566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61,577</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0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5"/>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basic shares outstanding</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21,408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21,793</w:t>
            </w:r>
          </w:p>
        </w:tc>
      </w:tr>
      <w:tr>
        <w:trPr>
          <w:trHeight w:val="20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1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21,875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21,985</w:t>
            </w: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EARNINGS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6"/>
                <w:szCs w:val="16"/>
                <w:color w:val="auto"/>
              </w:rPr>
            </w:pP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0" w:type="dxa"/>
            <w:vAlign w:val="bottom"/>
          </w:tcPr>
          <w:p>
            <w:pPr>
              <w:spacing w:after="0"/>
              <w:rPr>
                <w:sz w:val="1"/>
                <w:szCs w:val="1"/>
                <w:color w:val="auto"/>
              </w:rPr>
            </w:pPr>
          </w:p>
        </w:tc>
      </w:tr>
      <w:tr>
        <w:trPr>
          <w:trHeight w:val="197"/>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0" w:type="dxa"/>
            <w:vAlign w:val="bottom"/>
          </w:tcPr>
          <w:p>
            <w:pPr>
              <w:spacing w:after="0"/>
              <w:rPr>
                <w:sz w:val="1"/>
                <w:szCs w:val="1"/>
                <w:color w:val="auto"/>
              </w:rPr>
            </w:pPr>
          </w:p>
        </w:tc>
      </w:tr>
      <w:tr>
        <w:trPr>
          <w:trHeight w:val="20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900" w:type="dxa"/>
            <w:vAlign w:val="bottom"/>
            <w:gridSpan w:val="2"/>
            <w:shd w:val="clear" w:color="auto" w:fill="CCEEFF"/>
          </w:tcPr>
          <w:p>
            <w:pPr>
              <w:ind w:left="300"/>
              <w:spacing w:after="0" w:line="157" w:lineRule="exact"/>
              <w:rPr>
                <w:sz w:val="20"/>
                <w:szCs w:val="20"/>
                <w:color w:val="auto"/>
              </w:rPr>
            </w:pPr>
            <w:r>
              <w:rPr>
                <w:rFonts w:ascii="Times New Roman" w:cs="Times New Roman" w:eastAsia="Times New Roman" w:hAnsi="Times New Roman"/>
                <w:sz w:val="16"/>
                <w:szCs w:val="16"/>
                <w:color w:val="auto"/>
              </w:rPr>
              <w:t>Unrealized (loss) gain on marketable securities, net of $(2), $30, $8,</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4"/>
        </w:trPr>
        <w:tc>
          <w:tcPr>
            <w:tcW w:w="4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and $29 of tax (benefit) expense, respectively</w:t>
            </w: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900" w:type="dxa"/>
            <w:vAlign w:val="bottom"/>
            <w:gridSpan w:val="2"/>
          </w:tcPr>
          <w:p>
            <w:pPr>
              <w:ind w:left="300"/>
              <w:spacing w:after="0" w:line="156" w:lineRule="exact"/>
              <w:rPr>
                <w:sz w:val="20"/>
                <w:szCs w:val="20"/>
                <w:color w:val="auto"/>
              </w:rPr>
            </w:pPr>
            <w:r>
              <w:rPr>
                <w:rFonts w:ascii="Times New Roman" w:cs="Times New Roman" w:eastAsia="Times New Roman" w:hAnsi="Times New Roman"/>
                <w:sz w:val="16"/>
                <w:szCs w:val="16"/>
                <w:color w:val="auto"/>
              </w:rPr>
              <w:t>Unrealized (loss) gain on derivative instruments, net of $(144), $(257)</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4"/>
        </w:trPr>
        <w:tc>
          <w:tcPr>
            <w:tcW w:w="4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$(176) and $107 of tax (benefit) expense, respectively</w:t>
            </w:r>
          </w:p>
        </w:tc>
        <w:tc>
          <w:tcPr>
            <w:tcW w:w="1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6"/>
                <w:szCs w:val="16"/>
                <w:color w:val="auto"/>
              </w:rPr>
            </w:pPr>
          </w:p>
        </w:tc>
        <w:tc>
          <w:tcPr>
            <w:tcW w:w="13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August 31, 2024</w:t>
            </w:r>
          </w:p>
        </w:tc>
      </w:tr>
      <w:tr>
        <w:trPr>
          <w:trHeight w:val="197"/>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0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20,962</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61,577</w:t>
            </w:r>
          </w:p>
        </w:tc>
      </w:tr>
      <w:tr>
        <w:trPr>
          <w:trHeight w:val="20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19,664</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w:t>
            </w: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Impairment on intangible assets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Settlement of New Markets Tax Credit transaction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Non-cash lease expense</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20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(10,509)</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(12,823)</w:t>
            </w: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Contract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6,987</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w:t>
            </w:r>
          </w:p>
        </w:tc>
      </w:tr>
      <w:tr>
        <w:trPr>
          <w:trHeight w:val="204"/>
        </w:trPr>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05"/>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r>
      <w:tr>
        <w:trPr>
          <w:trHeight w:val="196"/>
        </w:trPr>
        <w:tc>
          <w:tcPr>
            <w:tcW w:w="754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64,132</w:t>
            </w:r>
          </w:p>
        </w:tc>
      </w:tr>
      <w:tr>
        <w:trPr>
          <w:trHeight w:val="18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(15,662)</w:t>
            </w:r>
          </w:p>
        </w:tc>
      </w:tr>
      <w:tr>
        <w:trPr>
          <w:trHeight w:val="20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0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r>
      <w:tr>
        <w:trPr>
          <w:trHeight w:val="20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Sales/maturities of marketable securities</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r>
      <w:tr>
        <w:trPr>
          <w:trHeight w:val="196"/>
        </w:trPr>
        <w:tc>
          <w:tcPr>
            <w:tcW w:w="754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(15,450)</w:t>
            </w:r>
          </w:p>
        </w:tc>
      </w:tr>
      <w:tr>
        <w:trPr>
          <w:trHeight w:val="18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95,201</w:t>
            </w:r>
          </w:p>
        </w:tc>
      </w:tr>
      <w:tr>
        <w:trPr>
          <w:trHeight w:val="20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on revolving credit facilities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(95,201)</w:t>
            </w:r>
          </w:p>
        </w:tc>
      </w:tr>
      <w:tr>
        <w:trPr>
          <w:trHeight w:val="20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(15,061)</w:t>
            </w:r>
          </w:p>
        </w:tc>
      </w:tr>
      <w:tr>
        <w:trPr>
          <w:trHeight w:val="20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w:t>
            </w:r>
          </w:p>
        </w:tc>
      </w:tr>
      <w:tr>
        <w:trPr>
          <w:trHeight w:val="20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w:t>
            </w:r>
          </w:p>
        </w:tc>
      </w:tr>
      <w:tr>
        <w:trPr>
          <w:trHeight w:val="20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w:t>
            </w:r>
          </w:p>
        </w:tc>
      </w:tr>
      <w:tr>
        <w:trPr>
          <w:trHeight w:val="196"/>
        </w:trPr>
        <w:tc>
          <w:tcPr>
            <w:tcW w:w="754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(34,633)</w:t>
            </w:r>
          </w:p>
        </w:tc>
      </w:tr>
      <w:tr>
        <w:trPr>
          <w:trHeight w:val="197"/>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196"/>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w:t>
            </w:r>
          </w:p>
        </w:tc>
      </w:tr>
      <w:tr>
        <w:trPr>
          <w:trHeight w:val="205"/>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37,216</w:t>
            </w:r>
          </w:p>
        </w:tc>
      </w:tr>
      <w:tr>
        <w:trPr>
          <w:trHeight w:val="196"/>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51,024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754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Non-cash Activity</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03"/>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(Unaudited)</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6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 at</w:t>
            </w:r>
          </w:p>
        </w:tc>
        <w:tc>
          <w:tcPr>
            <w:tcW w:w="6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0"/>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3"/>
        </w:trPr>
        <w:tc>
          <w:tcPr>
            <w:tcW w:w="3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1, 2025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21,418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7,139</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156,075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359,976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(35,292)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487,898</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0" w:type="dxa"/>
            <w:vAlign w:val="bottom"/>
          </w:tcPr>
          <w:p>
            <w:pPr>
              <w:spacing w:after="0"/>
              <w:rPr>
                <w:sz w:val="14"/>
                <w:szCs w:val="14"/>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(2,688)</w:t>
            </w:r>
          </w:p>
        </w:tc>
        <w:tc>
          <w:tcPr>
            <w:tcW w:w="0" w:type="dxa"/>
            <w:vAlign w:val="bottom"/>
          </w:tcPr>
          <w:p>
            <w:pPr>
              <w:spacing w:after="0"/>
              <w:rPr>
                <w:sz w:val="1"/>
                <w:szCs w:val="1"/>
                <w:color w:val="auto"/>
              </w:rPr>
            </w:pPr>
          </w:p>
        </w:tc>
      </w:tr>
      <w:tr>
        <w:trPr>
          <w:trHeight w:val="17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2,608</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stock, net of cancellations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2,300</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share retirements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(2,815)</w:t>
            </w:r>
          </w:p>
        </w:tc>
        <w:tc>
          <w:tcPr>
            <w:tcW w:w="0" w:type="dxa"/>
            <w:vAlign w:val="bottom"/>
          </w:tcPr>
          <w:p>
            <w:pPr>
              <w:spacing w:after="0"/>
              <w:rPr>
                <w:sz w:val="1"/>
                <w:szCs w:val="1"/>
                <w:color w:val="auto"/>
              </w:rPr>
            </w:pPr>
          </w:p>
        </w:tc>
      </w:tr>
      <w:tr>
        <w:trPr>
          <w:trHeight w:val="17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$0.26 per share</w:t>
            </w:r>
          </w:p>
        </w:tc>
        <w:tc>
          <w:tcPr>
            <w:tcW w:w="8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(5,520)</w:t>
            </w:r>
          </w:p>
        </w:tc>
        <w:tc>
          <w:tcPr>
            <w:tcW w:w="0" w:type="dxa"/>
            <w:vAlign w:val="bottom"/>
          </w:tcPr>
          <w:p>
            <w:pPr>
              <w:spacing w:after="0"/>
              <w:rPr>
                <w:sz w:val="1"/>
                <w:szCs w:val="1"/>
                <w:color w:val="auto"/>
              </w:rPr>
            </w:pPr>
          </w:p>
        </w:tc>
      </w:tr>
      <w:tr>
        <w:trPr>
          <w:trHeight w:val="156"/>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May 31, 2025</w:t>
            </w:r>
          </w:p>
        </w:tc>
        <w:tc>
          <w:tcPr>
            <w:tcW w:w="80" w:type="dxa"/>
            <w:vAlign w:val="bottom"/>
          </w:tcPr>
          <w:p>
            <w:pPr>
              <w:spacing w:after="0"/>
              <w:rPr>
                <w:sz w:val="13"/>
                <w:szCs w:val="13"/>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21,533</w:t>
            </w:r>
          </w:p>
        </w:tc>
        <w:tc>
          <w:tcPr>
            <w:tcW w:w="6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7,178</w:t>
            </w:r>
          </w:p>
        </w:tc>
        <w:tc>
          <w:tcPr>
            <w:tcW w:w="6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157,788</w:t>
            </w:r>
          </w:p>
        </w:tc>
        <w:tc>
          <w:tcPr>
            <w:tcW w:w="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349,501</w:t>
            </w:r>
          </w:p>
        </w:tc>
        <w:tc>
          <w:tcPr>
            <w:tcW w:w="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(32,684)</w:t>
            </w:r>
          </w:p>
        </w:tc>
        <w:tc>
          <w:tcPr>
            <w:tcW w:w="8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481,783</w:t>
            </w:r>
          </w:p>
        </w:tc>
        <w:tc>
          <w:tcPr>
            <w:tcW w:w="0" w:type="dxa"/>
            <w:vAlign w:val="bottom"/>
          </w:tcPr>
          <w:p>
            <w:pPr>
              <w:spacing w:after="0"/>
              <w:rPr>
                <w:sz w:val="1"/>
                <w:szCs w:val="1"/>
                <w:color w:val="auto"/>
              </w:rPr>
            </w:pPr>
          </w:p>
        </w:tc>
      </w:tr>
      <w:tr>
        <w:trPr>
          <w:trHeight w:val="1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23,649</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80" w:type="dxa"/>
            <w:vAlign w:val="bottom"/>
          </w:tcPr>
          <w:p>
            <w:pPr>
              <w:spacing w:after="0"/>
              <w:rPr>
                <w:sz w:val="14"/>
                <w:szCs w:val="14"/>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7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Cancellations of stock, net of issuance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0" w:type="dxa"/>
            <w:vAlign w:val="bottom"/>
          </w:tcPr>
          <w:p>
            <w:pPr>
              <w:spacing w:after="0"/>
              <w:rPr>
                <w:sz w:val="1"/>
                <w:szCs w:val="1"/>
                <w:color w:val="auto"/>
              </w:rPr>
            </w:pPr>
          </w:p>
        </w:tc>
      </w:tr>
      <w:tr>
        <w:trPr>
          <w:trHeight w:val="17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share retirements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dividends, $0.26 per share</w:t>
            </w:r>
          </w:p>
        </w:tc>
        <w:tc>
          <w:tcPr>
            <w:tcW w:w="80" w:type="dxa"/>
            <w:vAlign w:val="bottom"/>
          </w:tcPr>
          <w:p>
            <w:pPr>
              <w:spacing w:after="0"/>
              <w:rPr>
                <w:sz w:val="14"/>
                <w:szCs w:val="14"/>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(5,523)</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(5,523)</w:t>
            </w: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August 30, 2025</w:t>
            </w:r>
          </w:p>
        </w:tc>
        <w:tc>
          <w:tcPr>
            <w:tcW w:w="80" w:type="dxa"/>
            <w:vAlign w:val="bottom"/>
          </w:tcPr>
          <w:p>
            <w:pPr>
              <w:spacing w:after="0"/>
              <w:rPr>
                <w:sz w:val="14"/>
                <w:szCs w:val="14"/>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21,515</w:t>
            </w: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7,172</w:t>
            </w:r>
          </w:p>
        </w:tc>
        <w:tc>
          <w:tcPr>
            <w:tcW w:w="6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158,065</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367,578</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(32,600)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500,215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(Unaudited)</w:t>
      </w:r>
    </w:p>
    <w:tbl>
      <w:tblPr>
        <w:tblLayout w:type="fixed"/>
        <w:tblInd w:w="0" w:type="dxa"/>
        <w:tblCellMar>
          <w:top w:w="0" w:type="dxa"/>
          <w:left w:w="0" w:type="dxa"/>
          <w:bottom w:w="0" w:type="dxa"/>
          <w:right w:w="0" w:type="dxa"/>
        </w:tblCellMar>
      </w:tblP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80" w:type="dxa"/>
            <w:vAlign w:val="bottom"/>
          </w:tcPr>
          <w:p>
            <w:pPr>
              <w:spacing w:after="0"/>
              <w:rPr>
                <w:sz w:val="10"/>
                <w:szCs w:val="10"/>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36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34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16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at Par Value</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Shareholders' Equity</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Balance at March 2, 2024</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22,089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7,363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152,818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340,375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(29,531)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471,025</w:t>
            </w:r>
          </w:p>
        </w:tc>
        <w:tc>
          <w:tcPr>
            <w:tcW w:w="0" w:type="dxa"/>
            <w:vAlign w:val="bottom"/>
          </w:tcPr>
          <w:p>
            <w:pPr>
              <w:spacing w:after="0"/>
              <w:rPr>
                <w:sz w:val="1"/>
                <w:szCs w:val="1"/>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earnings</w:t>
            </w:r>
          </w:p>
        </w:tc>
        <w:tc>
          <w:tcPr>
            <w:tcW w:w="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31,011</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0" w:type="dxa"/>
            <w:vAlign w:val="bottom"/>
          </w:tcPr>
          <w:p>
            <w:pPr>
              <w:spacing w:after="0"/>
              <w:rPr>
                <w:sz w:val="1"/>
                <w:szCs w:val="1"/>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Issuance of stock, net of cancellations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Share-based compensation</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2,704</w:t>
            </w:r>
          </w:p>
        </w:tc>
        <w:tc>
          <w:tcPr>
            <w:tcW w:w="0" w:type="dxa"/>
            <w:vAlign w:val="bottom"/>
          </w:tcPr>
          <w:p>
            <w:pPr>
              <w:spacing w:after="0"/>
              <w:rPr>
                <w:sz w:val="1"/>
                <w:szCs w:val="1"/>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(15,061)</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share retirements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(4,836)</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Declared dividends, $0.25 per share</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(5,409)</w:t>
            </w:r>
          </w:p>
        </w:tc>
        <w:tc>
          <w:tcPr>
            <w:tcW w:w="0" w:type="dxa"/>
            <w:vAlign w:val="bottom"/>
          </w:tcPr>
          <w:p>
            <w:pPr>
              <w:spacing w:after="0"/>
              <w:rPr>
                <w:sz w:val="1"/>
                <w:szCs w:val="1"/>
                <w:color w:val="auto"/>
              </w:rPr>
            </w:pPr>
          </w:p>
        </w:tc>
      </w:tr>
      <w:tr>
        <w:trPr>
          <w:trHeight w:val="166"/>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Balance at June 1, 2024</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21,937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7,312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153,002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348,651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(29,010)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479,955</w:t>
            </w:r>
          </w:p>
        </w:tc>
        <w:tc>
          <w:tcPr>
            <w:tcW w:w="0" w:type="dxa"/>
            <w:vAlign w:val="bottom"/>
          </w:tcPr>
          <w:p>
            <w:pPr>
              <w:spacing w:after="0"/>
              <w:rPr>
                <w:sz w:val="1"/>
                <w:szCs w:val="1"/>
                <w:color w:val="auto"/>
              </w:rPr>
            </w:pPr>
          </w:p>
        </w:tc>
      </w:tr>
      <w:tr>
        <w:trPr>
          <w:trHeight w:val="163"/>
        </w:trPr>
        <w:tc>
          <w:tcPr>
            <w:tcW w:w="3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earnings</w:t>
            </w:r>
          </w:p>
        </w:tc>
        <w:tc>
          <w:tcPr>
            <w:tcW w:w="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30,566</w:t>
            </w:r>
          </w:p>
        </w:tc>
        <w:tc>
          <w:tcPr>
            <w:tcW w:w="0" w:type="dxa"/>
            <w:vAlign w:val="bottom"/>
          </w:tcPr>
          <w:p>
            <w:pPr>
              <w:spacing w:after="0"/>
              <w:rPr>
                <w:sz w:val="1"/>
                <w:szCs w:val="1"/>
                <w:color w:val="auto"/>
              </w:rPr>
            </w:pPr>
          </w:p>
        </w:tc>
      </w:tr>
      <w:tr>
        <w:trPr>
          <w:trHeight w:val="173"/>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0" w:type="dxa"/>
            <w:vAlign w:val="bottom"/>
          </w:tcPr>
          <w:p>
            <w:pPr>
              <w:spacing w:after="0"/>
              <w:rPr>
                <w:sz w:val="1"/>
                <w:szCs w:val="1"/>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Issuance of stock, net of cancellations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Share-based compensation</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2,938</w:t>
            </w:r>
          </w:p>
        </w:tc>
        <w:tc>
          <w:tcPr>
            <w:tcW w:w="0" w:type="dxa"/>
            <w:vAlign w:val="bottom"/>
          </w:tcPr>
          <w:p>
            <w:pPr>
              <w:spacing w:after="0"/>
              <w:rPr>
                <w:sz w:val="1"/>
                <w:szCs w:val="1"/>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share retirements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Cash dividends, $0.25 per share</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(5,412)</w:t>
            </w:r>
          </w:p>
        </w:tc>
        <w:tc>
          <w:tcPr>
            <w:tcW w:w="0" w:type="dxa"/>
            <w:vAlign w:val="bottom"/>
          </w:tcPr>
          <w:p>
            <w:pPr>
              <w:spacing w:after="0"/>
              <w:rPr>
                <w:sz w:val="1"/>
                <w:szCs w:val="1"/>
                <w:color w:val="auto"/>
              </w:rPr>
            </w:pPr>
          </w:p>
        </w:tc>
      </w:tr>
      <w:tr>
        <w:trPr>
          <w:trHeight w:val="191"/>
        </w:trPr>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Balance at August 31, 2024</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21,946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7,315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155,883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373,458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(30,234)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506,422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204" w:lineRule="exact"/>
        <w:rPr>
          <w:sz w:val="20"/>
          <w:szCs w:val="20"/>
          <w:color w:val="auto"/>
        </w:rPr>
      </w:pPr>
    </w:p>
    <w:p>
      <w:pPr>
        <w:ind w:right="7360" w:firstLine="6"/>
        <w:spacing w:after="0" w:line="361" w:lineRule="auto"/>
        <w:tabs>
          <w:tab w:leader="none" w:pos="288"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spacing w:after="0" w:line="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consolidated financial statements of Apogee Enterprises, Inc. (we, us, our or the Company) have been prepared in accordance with accounting principles generally accepted in the United States (U.S. GAAP). The information included in this Form 10-Q should be read in conjunction with the Company’s Form 10 -K for the year ended March 1, 2025. We use the same accounting policies in preparing quarterly and annual financial statements. All adjustments necessary for a fair presentation of quarterly and year to date operating results are reflected herein. The results of operations for the three- and six-month periods ended August 30, 2025, are not necessarily indicative of the results to be expected for the full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of new accounting standards</w:t>
      </w:r>
    </w:p>
    <w:p>
      <w:pPr>
        <w:spacing w:after="0" w:line="9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On November 27, 2023, the Financial Accounting Standards Board (FASB) issued Accounting Standard Update (ASU) 2023-07, Improvements to Reportable Segment Disclosures,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 We adopted this guidance in the fourth quarter of fiscal 2025 for the annual requirements and in the first quarter of fiscal 2026 for the interim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standards not yet adopted</w:t>
      </w:r>
    </w:p>
    <w:p>
      <w:pPr>
        <w:spacing w:after="0" w:line="9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December 14, 2023, the FASB issued ASU 2023-09, Improvements to Income Tax Disclosures. The ASU is effective for our fiscal 2026 annual financial statements and for our interim financial statements beginning fiscal 2027. This guidance expands the existing disclosure requirements for the annual rate reconciliation between the effective tax rate and the statutory federal tax rate by requiring reconciliation items to be disaggregated by defined categories and disclosed as both percentages and amounts. ASU 2023-09 also requires the disaggregation of income taxes paid by jurisdiction for each annual period presented.</w:t>
      </w:r>
    </w:p>
    <w:p>
      <w:pPr>
        <w:spacing w:after="0" w:line="7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In November 2024, the FASB issued ASU 2024 -03, Disaggregation of Income Statement Expenses.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(SG&amp;A)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 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277" w:lineRule="exact"/>
        <w:rPr>
          <w:sz w:val="20"/>
          <w:szCs w:val="20"/>
          <w:color w:val="auto"/>
        </w:rPr>
      </w:pPr>
    </w:p>
    <w:p>
      <w:pPr>
        <w:ind w:right="6480" w:firstLine="6"/>
        <w:spacing w:after="0" w:line="361" w:lineRule="auto"/>
        <w:tabs>
          <w:tab w:leader="none" w:pos="288"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Receivables and Contract Assets and Liabilities Revenue</w:t>
      </w: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disaggregates total revenue by timing of recognition (see Note 12 for disclosure of revenue by segment):</w:t>
      </w:r>
    </w:p>
    <w:p>
      <w:pPr>
        <w:sectPr>
          <w:pgSz w:w="11900" w:h="16840" w:orient="portrait"/>
          <w:cols w:equalWidth="0" w:num="1">
            <w:col w:w="10580"/>
          </w:cols>
          <w:pgMar w:left="660" w:top="557" w:right="660" w:bottom="1440" w:gutter="0" w:footer="0" w:header="0"/>
        </w:sect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Recognized at shipment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Recognized over time (input method)</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Recognized over time (output method)</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0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84"/>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3"/>
        </w:trPr>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August 31, 2024</w:t>
            </w:r>
          </w:p>
        </w:tc>
      </w:tr>
      <w:tr>
        <w:trPr>
          <w:trHeight w:val="198"/>
        </w:trPr>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171,681</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140,518</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329,837</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277,240</w:t>
            </w:r>
          </w:p>
        </w:tc>
      </w:tr>
      <w:tr>
        <w:trPr>
          <w:trHeight w:val="203"/>
        </w:trPr>
        <w:tc>
          <w:tcPr>
            <w:tcW w:w="180" w:type="dxa"/>
            <w:vAlign w:val="bottom"/>
          </w:tcPr>
          <w:p>
            <w:pPr>
              <w:spacing w:after="0"/>
              <w:rPr>
                <w:sz w:val="17"/>
                <w:szCs w:val="17"/>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118,134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235,364</w:t>
            </w:r>
          </w:p>
        </w:tc>
      </w:tr>
      <w:tr>
        <w:trPr>
          <w:trHeight w:val="205"/>
        </w:trPr>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68,379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83,239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161,352</w:t>
            </w:r>
          </w:p>
        </w:tc>
      </w:tr>
      <w:tr>
        <w:trPr>
          <w:trHeight w:val="197"/>
        </w:trPr>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358,194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704,816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673,956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-296545</wp:posOffset>
            </wp:positionV>
            <wp:extent cx="6707505" cy="12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-563245</wp:posOffset>
            </wp:positionV>
            <wp:extent cx="670750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55" w:lineRule="exact"/>
        <w:rPr>
          <w:sz w:val="20"/>
          <w:szCs w:val="20"/>
          <w:color w:val="auto"/>
        </w:rPr>
      </w:pPr>
    </w:p>
    <w:p>
      <w:pPr>
        <w:sectPr>
          <w:pgSz w:w="11900" w:h="16840" w:orient="portrait"/>
          <w:cols w:equalWidth="0" w:num="2">
            <w:col w:w="3840" w:space="720"/>
            <w:col w:w="6020"/>
          </w:cols>
          <w:pgMar w:left="660" w:top="557" w:right="66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Revenue at shipment is recognized at the time products are shipped from our manufacturing facilities, which is when control is transferred to our customer.</w:t>
      </w:r>
    </w:p>
    <w:p>
      <w:pPr>
        <w:spacing w:after="0" w:line="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also recognize revenue over time using both the input method and output method. The contracts for the businesses that recognize revenue following an over-time input method have a single, bundled performance obligation, as these businesses generally provide interrelated products and services and integrate these products and services into a combined output specified</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9" w:name="page10"/>
    <w:bookmarkEnd w:id="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by the customer. The customer obtains control of this combined output, generally integrated window systems or installed window and curtainwall systems, over time. We measure progress on these contracts by comparing total costs incurred to-date to the total estimated costs for the contract at completion,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For revenue recognized following an over-time output method,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Receivables</w:t>
      </w:r>
    </w:p>
    <w:p>
      <w:pPr>
        <w:spacing w:after="0" w:line="9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March 1, 2025</w:t>
            </w:r>
          </w:p>
        </w:tc>
        <w:tc>
          <w:tcPr>
            <w:tcW w:w="0" w:type="dxa"/>
            <w:vAlign w:val="bottom"/>
          </w:tcPr>
          <w:p>
            <w:pPr>
              <w:spacing w:after="0"/>
              <w:rPr>
                <w:sz w:val="1"/>
                <w:szCs w:val="1"/>
                <w:color w:val="auto"/>
              </w:rPr>
            </w:pPr>
          </w:p>
        </w:tc>
      </w:tr>
      <w:tr>
        <w:trPr>
          <w:trHeight w:val="198"/>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120,663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117,533</w:t>
            </w:r>
          </w:p>
        </w:tc>
        <w:tc>
          <w:tcPr>
            <w:tcW w:w="0" w:type="dxa"/>
            <w:vAlign w:val="bottom"/>
          </w:tcPr>
          <w:p>
            <w:pPr>
              <w:spacing w:after="0"/>
              <w:rPr>
                <w:sz w:val="1"/>
                <w:szCs w:val="1"/>
                <w:color w:val="auto"/>
              </w:rPr>
            </w:pPr>
          </w:p>
        </w:tc>
      </w:tr>
      <w:tr>
        <w:trPr>
          <w:trHeight w:val="204"/>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Construction contracts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76,824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70,724</w:t>
            </w:r>
          </w:p>
        </w:tc>
        <w:tc>
          <w:tcPr>
            <w:tcW w:w="0" w:type="dxa"/>
            <w:vAlign w:val="bottom"/>
          </w:tcPr>
          <w:p>
            <w:pPr>
              <w:spacing w:after="0"/>
              <w:rPr>
                <w:sz w:val="1"/>
                <w:szCs w:val="1"/>
                <w:color w:val="auto"/>
              </w:rPr>
            </w:pPr>
          </w:p>
        </w:tc>
      </w:tr>
      <w:tr>
        <w:trPr>
          <w:trHeight w:val="197"/>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receivables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197,487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188,257</w:t>
            </w:r>
          </w:p>
        </w:tc>
        <w:tc>
          <w:tcPr>
            <w:tcW w:w="0" w:type="dxa"/>
            <w:vAlign w:val="bottom"/>
          </w:tcPr>
          <w:p>
            <w:pPr>
              <w:spacing w:after="0"/>
              <w:rPr>
                <w:sz w:val="1"/>
                <w:szCs w:val="1"/>
                <w:color w:val="auto"/>
              </w:rPr>
            </w:pPr>
          </w:p>
        </w:tc>
      </w:tr>
      <w:tr>
        <w:trPr>
          <w:trHeight w:val="204"/>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2,163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0" w:type="dxa"/>
            <w:vAlign w:val="bottom"/>
          </w:tcPr>
          <w:p>
            <w:pPr>
              <w:spacing w:after="0"/>
              <w:rPr>
                <w:sz w:val="1"/>
                <w:szCs w:val="1"/>
                <w:color w:val="auto"/>
              </w:rPr>
            </w:pPr>
          </w:p>
        </w:tc>
      </w:tr>
      <w:tr>
        <w:trPr>
          <w:trHeight w:val="222"/>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net</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195,324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185,590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w w:val="98"/>
              </w:rPr>
              <w:t>The following table summarizes the activity in the allowance for credit losses for the six months ended August 30, 2025: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0" w:type="dxa"/>
            <w:vAlign w:val="bottom"/>
          </w:tcPr>
          <w:p>
            <w:pPr>
              <w:spacing w:after="0"/>
              <w:rPr>
                <w:sz w:val="1"/>
                <w:szCs w:val="1"/>
                <w:color w:val="auto"/>
              </w:rPr>
            </w:pPr>
          </w:p>
        </w:tc>
      </w:tr>
      <w:tr>
        <w:trPr>
          <w:trHeight w:val="198"/>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0" w:type="dxa"/>
            <w:vAlign w:val="bottom"/>
          </w:tcPr>
          <w:p>
            <w:pPr>
              <w:spacing w:after="0"/>
              <w:rPr>
                <w:sz w:val="1"/>
                <w:szCs w:val="1"/>
                <w:color w:val="auto"/>
              </w:rPr>
            </w:pPr>
          </w:p>
        </w:tc>
      </w:tr>
      <w:tr>
        <w:trPr>
          <w:trHeight w:val="20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Credits against costs and expenses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5"/>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from allowance, net of recoveries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04"/>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22"/>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assets and liabilities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 -term projects until the project reaches a level of completion where amounts are released to us from the customer. Contract liabilities consist of billings in excess of costs and earnings and other deferred revenue on contracts.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March 1, 2025</w:t>
            </w:r>
          </w:p>
        </w:tc>
      </w:tr>
      <w:tr>
        <w:trPr>
          <w:trHeight w:val="19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71,842</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35,193</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contract assets and contract liabilities were mainly due to timing of project activity within our businesses that operate under long-term contracts.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contract-related disclosures</w:t>
            </w: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0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86"/>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1"/>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8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0" w:type="dxa"/>
            <w:vAlign w:val="bottom"/>
          </w:tcPr>
          <w:p>
            <w:pPr>
              <w:spacing w:after="0"/>
              <w:rPr>
                <w:sz w:val="1"/>
                <w:szCs w:val="1"/>
                <w:color w:val="auto"/>
              </w:rPr>
            </w:pPr>
          </w:p>
        </w:tc>
      </w:tr>
      <w:tr>
        <w:trPr>
          <w:trHeight w:val="198"/>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recognized related to contract liabilities from prior year-end</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30,361</w:t>
            </w:r>
          </w:p>
        </w:tc>
        <w:tc>
          <w:tcPr>
            <w:tcW w:w="0" w:type="dxa"/>
            <w:vAlign w:val="bottom"/>
          </w:tcPr>
          <w:p>
            <w:pPr>
              <w:spacing w:after="0"/>
              <w:rPr>
                <w:sz w:val="1"/>
                <w:szCs w:val="1"/>
                <w:color w:val="auto"/>
              </w:rPr>
            </w:pPr>
          </w:p>
        </w:tc>
      </w:tr>
      <w:tr>
        <w:trPr>
          <w:trHeight w:val="156"/>
        </w:trPr>
        <w:tc>
          <w:tcPr>
            <w:tcW w:w="45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Revenue recognized related to prior satisfaction of performance</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8,166</w:t>
            </w:r>
          </w:p>
        </w:tc>
        <w:tc>
          <w:tcPr>
            <w:tcW w:w="0" w:type="dxa"/>
            <w:vAlign w:val="bottom"/>
          </w:tcPr>
          <w:p>
            <w:pPr>
              <w:spacing w:after="0"/>
              <w:rPr>
                <w:sz w:val="1"/>
                <w:szCs w:val="1"/>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Some of our contracts have an expected duration of longer than a year, with performance obligations extending over that time frame. Generally, these contracts are found in our businesses that typically operate with long- term contracts, which recognize revenue over time. The transaction prices associated with unsatisfied performance obligations at August 30, 2025, are expected to be satisfied, and the corresponding revenue to be recognized, over the following estimated time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August 30, 2025</w:t>
            </w:r>
          </w:p>
        </w:tc>
      </w:tr>
      <w:tr>
        <w:trPr>
          <w:trHeight w:val="198"/>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Within one year</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547,648</w:t>
            </w:r>
          </w:p>
        </w:tc>
      </w:tr>
      <w:tr>
        <w:trPr>
          <w:trHeight w:val="204"/>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Between one and two years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292,578</w:t>
            </w:r>
          </w:p>
        </w:tc>
      </w:tr>
      <w:tr>
        <w:trPr>
          <w:trHeight w:val="205"/>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Beyond two years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90,646</w:t>
            </w:r>
          </w:p>
        </w:tc>
      </w:tr>
      <w:tr>
        <w:trPr>
          <w:trHeight w:val="196"/>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930,872</w:t>
            </w:r>
          </w:p>
        </w:tc>
      </w:tr>
      <w:tr>
        <w:trPr>
          <w:trHeight w:val="20"/>
        </w:trPr>
        <w:tc>
          <w:tcPr>
            <w:tcW w:w="9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Due to the nature of the work required under these long-term contracts, the estimation of total revenue and costs of sales is subject to many variables and requires significant judgment. We estimate variable consideration at the most likely amount to which we expect to be entitled. Our final cost of sales estimates are based largely on our assessments of anticipated performance and all information (historical, current and forecasted) that is reasonably available to us. Changes in estimated revenue, cost of sales and the related effect on operating income are recognized using a cumulative catch -up adjustment, which recognizes in the current period the cumulative effect of the changes on current and prior periods based on a long-term contracts percentage of completion. When the current estimates of total revenues and costs at completion for a long-term contract indicate a loss, a provision for the entire loss on the long-term contract is recognized.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net cumulative catch-up adjustments on our longer-term contracts for changes in estimates had the following effect on the respective periods shown: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right"/>
              <w:ind w:right="865"/>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222"/>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earnings per share data)</w:t>
            </w:r>
          </w:p>
        </w:tc>
        <w:tc>
          <w:tcPr>
            <w:tcW w:w="180" w:type="dxa"/>
            <w:vAlign w:val="bottom"/>
          </w:tcPr>
          <w:p>
            <w:pPr>
              <w:spacing w:after="0"/>
              <w:rPr>
                <w:sz w:val="19"/>
                <w:szCs w:val="19"/>
                <w:color w:val="auto"/>
              </w:rPr>
            </w:pPr>
          </w:p>
        </w:tc>
        <w:tc>
          <w:tcPr>
            <w:tcW w:w="1260" w:type="dxa"/>
            <w:vAlign w:val="bottom"/>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August 31, 2024</w:t>
            </w:r>
          </w:p>
        </w:tc>
      </w:tr>
      <w:tr>
        <w:trPr>
          <w:trHeight w:val="198"/>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w:t>
            </w:r>
          </w:p>
        </w:tc>
      </w:tr>
      <w:tr>
        <w:trPr>
          <w:trHeight w:val="20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5"/>
        </w:trPr>
        <w:tc>
          <w:tcPr>
            <w:tcW w:w="4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03"/>
        </w:trPr>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587"/>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Inventories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March 1, 2025</w:t>
            </w:r>
          </w:p>
        </w:tc>
      </w:tr>
      <w:tr>
        <w:trPr>
          <w:trHeight w:val="200"/>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44,693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w:t>
            </w:r>
          </w:p>
        </w:tc>
      </w:tr>
      <w:tr>
        <w:trPr>
          <w:trHeight w:val="20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16,723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15,554</w:t>
            </w:r>
          </w:p>
        </w:tc>
      </w:tr>
      <w:tr>
        <w:trPr>
          <w:trHeight w:val="205"/>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41,047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39,947</w:t>
            </w:r>
          </w:p>
        </w:tc>
      </w:tr>
      <w:tr>
        <w:trPr>
          <w:trHeight w:val="19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102,463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92,305</w:t>
            </w:r>
          </w:p>
        </w:tc>
      </w:tr>
      <w:tr>
        <w:trPr>
          <w:trHeight w:val="20"/>
        </w:trPr>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right="8800" w:firstLine="6"/>
        <w:spacing w:after="0" w:line="413" w:lineRule="auto"/>
        <w:tabs>
          <w:tab w:leader="none" w:pos="288"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Instruments Marketable securities</w:t>
      </w: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Through our wholly-owned insurance subsidiary, Prism Assurance, Ltd. (Prism), we hold the following available-for-sale marketable securities, made up of fixed-maturity investments: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78"/>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Gross Unrealized Gains</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Gross Unrealized Losses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9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30, 2025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9,262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9,108</w:t>
            </w:r>
          </w:p>
        </w:tc>
      </w:tr>
      <w:tr>
        <w:trPr>
          <w:trHeight w:val="20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 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10,148</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9,959</w:t>
            </w:r>
          </w:p>
        </w:tc>
      </w:tr>
    </w:tbl>
    <w:p>
      <w:pPr>
        <w:spacing w:after="0" w:line="15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Prism insures a portion of our general liability, workers’ compensation and automobile liability risks using third-party agreements to meet statutory requirements. Our third-party carriers require Prism to maintain fixed-maturity investments for the purpose of providing collateral for Prism’s obligations under these agreements.</w:t>
      </w:r>
    </w:p>
    <w:p>
      <w:pPr>
        <w:spacing w:after="0" w:line="59"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The amortized cost and estimated fair values of these investments at August 30, 2025,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Estimated Fair Value</w:t>
            </w:r>
          </w:p>
        </w:tc>
      </w:tr>
      <w:tr>
        <w:trPr>
          <w:trHeight w:val="19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6,732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6,652</w:t>
            </w:r>
          </w:p>
        </w:tc>
      </w:tr>
      <w:tr>
        <w:trPr>
          <w:trHeight w:val="204"/>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2,456</w:t>
            </w:r>
          </w:p>
        </w:tc>
      </w:tr>
      <w:tr>
        <w:trPr>
          <w:trHeight w:val="221"/>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9,262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9,108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9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We periodically use interest rate swaps, currency put options, forward purchase contracts, or other instruments to manage risks generally associated with foreign exchange rate (primarily related to the Canadian dollar and euro),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In the second quarter of fiscal 2026, we entered into an interest rate swap with a notional value of $50.0 million with an expiration date of August 5, 2027. In fiscal 2025, we entered into an interest rate swap with a notional value of $75.0 million with an expiration date of January 5, 2027. In fiscal 2020, we entered into an interest rate swap with a notional value of $ 30.0 million with an expiration date of February 5, 2026. We entered into these swaps to hedge a portion of our exposure to variability in cash flows from interest payments on our floating-rate revolving credit facility.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August 30, 2025, we had no foreign exchange option contracts with U.S. dollar notional values outstanding.</w:t>
      </w:r>
    </w:p>
    <w:p>
      <w:pPr>
        <w:spacing w:after="0" w:line="9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Derivative instruments that qualify for hedge accounting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earnings.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assets and liabilities measured at fair value on a recurring basis were: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8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Other Observable Inputs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8"/>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Markets (Level 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Total Fair Value</w:t>
            </w:r>
          </w:p>
        </w:tc>
      </w:tr>
      <w:tr>
        <w:trPr>
          <w:trHeight w:val="19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August 30, 2025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28,705</w:t>
            </w:r>
          </w:p>
        </w:tc>
        <w:tc>
          <w:tcPr>
            <w:tcW w:w="3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28,705</w:t>
            </w:r>
          </w:p>
        </w:tc>
      </w:tr>
      <w:tr>
        <w:trPr>
          <w:trHeight w:val="204"/>
        </w:trPr>
        <w:tc>
          <w:tcPr>
            <w:tcW w:w="5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9,108</w:t>
            </w:r>
          </w:p>
        </w:tc>
      </w:tr>
      <w:tr>
        <w:trPr>
          <w:trHeight w:val="205"/>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192"/>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20,758</w:t>
            </w:r>
          </w:p>
        </w:tc>
        <w:tc>
          <w:tcPr>
            <w:tcW w:w="3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w:t>
            </w:r>
          </w:p>
        </w:tc>
      </w:tr>
      <w:tr>
        <w:trPr>
          <w:trHeight w:val="204"/>
        </w:trPr>
        <w:tc>
          <w:tcPr>
            <w:tcW w:w="5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9,959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9,959</w:t>
            </w:r>
          </w:p>
        </w:tc>
      </w:tr>
      <w:tr>
        <w:trPr>
          <w:trHeight w:val="205"/>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currency option contract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4"/>
        </w:trPr>
        <w:tc>
          <w:tcPr>
            <w:tcW w:w="5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0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bl>
    <w:p>
      <w:pPr>
        <w:spacing w:after="0" w:line="382" w:lineRule="exact"/>
        <w:rPr>
          <w:sz w:val="20"/>
          <w:szCs w:val="20"/>
          <w:color w:val="auto"/>
        </w:rPr>
      </w:pPr>
    </w:p>
    <w:p>
      <w:pPr>
        <w:ind w:left="300" w:hanging="294"/>
        <w:spacing w:after="0"/>
        <w:tabs>
          <w:tab w:leader="none" w:pos="30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 -year revolving credit facility and a committed $250.0 million delayed draw term loan facility. Borrowings under the revolving credit facility can be in Canadian dollars (CAD) limited to $ 25.0 million USD. The term loan facility may be utilized in up to two draw downs, which are available to be made within one year after the closing date. The senior credit facility has a term of five years with a maturity date of July 19, 2029.</w:t>
      </w:r>
    </w:p>
    <w:p>
      <w:pPr>
        <w:spacing w:after="0" w:line="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Credit Agreement replaced the previous revolving credit facility with Wells Fargo Bank, N.A., as administrative agent, and other lenders, with maximum borrowings up to $385.0 million, and the two Canadian credit facilities with Bank of Montreal totaling $25.0 million USD.</w:t>
      </w:r>
    </w:p>
    <w:p>
      <w:pPr>
        <w:spacing w:after="0" w:line="5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As a result of the execution of the Credit Agreement, in the second quarter of fiscal 2025, we recognized a loss on extinguishment of debt within interest expense of $0.5 million for the write- off of unamortized financing fees related to the previous revolving credit facility. Additionally, we capitalized $ 3.0 million of lender fees and $0.8 million of third -party fees incurred in connection with the Credit Agreement, which were recorded as other non-current assets and are being amortized over the term of the credit facility as interest expense.</w:t>
      </w:r>
    </w:p>
    <w:p>
      <w:pPr>
        <w:spacing w:after="0" w:line="71"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August 30, 2025, we were in compliance with all covenants as defined under the terms of the Credit Agreement.</w:t>
      </w:r>
    </w:p>
    <w:p>
      <w:pPr>
        <w:spacing w:after="0" w:line="68"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The Credit Agreement also contains an acquisition “holiday”. In the event we make an acquisition for which the purchase price is greater than $75.0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71"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Borrowings under the Credit Agreement bear floating interest at either the Base Rate or Term Secured Overnight Financing Rate (SOFR), or, for CAD borrowings, Canadian Overnight Repo Rate Average (CORRA) plus, in each a margin based on the</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5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On November 4, 2024, as part of the acquisition of UW Interco, LLC (UW Solutions), and for working capital and general corporate purposes, we executed a drawdown against the delayed draw term loan facility for $250.0 million. Outstanding borrowings under the term loan facility were $215.0 million as of August 30, 2025. Outstanding borrowings under the revolving credit facility were $55.0 million as of August 30, 2025.</w:t>
      </w:r>
    </w:p>
    <w:p>
      <w:pPr>
        <w:spacing w:after="0" w:line="6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At August 30, 2025, we had a total of $2.6 million of ongoing letters of credit related to the senior credit facility, construction contracts and insurance collateral that expire in fiscal year 2026 and reduce borrowing capacity under the revolving credit facility. As of August 30, 2025, the amount available for revolving borrowings was $392.4 million.</w:t>
      </w:r>
    </w:p>
    <w:p>
      <w:pPr>
        <w:spacing w:after="0" w:line="6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fair value of our senior credit facility approximated carrying value at August 30, 2025, and would be classified as Level 2 within the fair value hierarchy described in Note 4, due to the variable interest rates on these instruments.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82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884"/>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August 31, 2024</w:t>
            </w:r>
          </w:p>
        </w:tc>
      </w:tr>
      <w:tr>
        <w:trPr>
          <w:trHeight w:val="19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9,094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r>
      <w:tr>
        <w:trPr>
          <w:trHeight w:val="20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 gain</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05"/>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04"/>
        </w:trPr>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22"/>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7,920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Interest payments under the credit facilities were $9.0 million and $2.6 million for the six months ended August 30, 2025 and August 31, 2024, respectively. The weighted average interest rates on borrowings outstanding, inclusive of the impact of our interest rate swap as of August 30, 2025, and March 1, 2025, were 3.88% and 4.32%, respectively.</w:t>
      </w:r>
    </w:p>
    <w:p>
      <w:pPr>
        <w:spacing w:after="0" w:line="294" w:lineRule="exact"/>
        <w:rPr>
          <w:sz w:val="20"/>
          <w:szCs w:val="20"/>
          <w:color w:val="auto"/>
        </w:rPr>
      </w:pPr>
    </w:p>
    <w:p>
      <w:pPr>
        <w:ind w:right="7560" w:firstLine="6"/>
        <w:spacing w:after="0" w:line="361" w:lineRule="auto"/>
        <w:tabs>
          <w:tab w:leader="none" w:pos="288"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Contingent Liabilities Bond commitments</w:t>
      </w:r>
    </w:p>
    <w:p>
      <w:pPr>
        <w:spacing w:after="0" w:line="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In the ordinary course of business, predominantly in our Architectural Services Segment, we are required to provide surety or performance bonds that commit payments to our customers for non-performance against our contracts. At August 30, 2025, $ 1.2 billion of these types of bonds were outstanding, of which $293.7 million is in our backlog. These bonds have expiration dates that align with the completion of these contracts. We have never been required to make payments under surety or performance bonds with respect to our existing businesses.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Warranty and project-related contingencies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changes in manufacturing quality, changes in product mix, and any significant changes in sales volume.</w:t>
      </w:r>
    </w:p>
    <w:p>
      <w:pPr>
        <w:sectPr>
          <w:pgSz w:w="11900" w:h="16840" w:orient="portrait"/>
          <w:cols w:equalWidth="0" w:num="1">
            <w:col w:w="10580"/>
          </w:cols>
          <w:pgMar w:left="660" w:top="557" w:right="660" w:bottom="1440" w:gutter="0" w:footer="0" w:header="0"/>
        </w:sect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Beginning balance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Additional accruals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Claims paid</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Ending balance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31"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20320</wp:posOffset>
            </wp:positionV>
            <wp:extent cx="669226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2265" cy="137160"/>
                    </a:xfrm>
                    <a:prstGeom prst="rect">
                      <a:avLst/>
                    </a:prstGeom>
                    <a:noFill/>
                  </pic:spPr>
                </pic:pic>
              </a:graphicData>
            </a:graphic>
          </wp:anchor>
        </w:drawing>
      </w:r>
    </w:p>
    <w:p>
      <w:pPr>
        <w:spacing w:after="0" w:line="23" w:lineRule="exact"/>
        <w:rPr>
          <w:sz w:val="20"/>
          <w:szCs w:val="20"/>
          <w:color w:val="auto"/>
        </w:rPr>
      </w:pPr>
    </w:p>
    <w:p>
      <w:pPr>
        <w:ind w:left="943" w:hanging="943"/>
        <w:spacing w:after="0"/>
        <w:tabs>
          <w:tab w:leader="none" w:pos="94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18,461</w:t>
      </w:r>
    </w:p>
    <w:p>
      <w:pPr>
        <w:spacing w:after="0" w:line="20" w:lineRule="exact"/>
        <w:rPr>
          <w:rFonts w:ascii="Times New Roman" w:cs="Times New Roman" w:eastAsia="Times New Roman" w:hAnsi="Times New Roman"/>
          <w:sz w:val="16"/>
          <w:szCs w:val="16"/>
          <w:color w:val="auto"/>
        </w:rPr>
      </w:pPr>
    </w:p>
    <w:p>
      <w:pPr>
        <w:ind w:left="100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3,052</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-115570</wp:posOffset>
            </wp:positionV>
            <wp:extent cx="669226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92265" cy="137160"/>
                    </a:xfrm>
                    <a:prstGeom prst="rect">
                      <a:avLst/>
                    </a:prstGeom>
                    <a:noFill/>
                  </pic:spPr>
                </pic:pic>
              </a:graphicData>
            </a:graphic>
          </wp:anchor>
        </w:drawing>
      </w:r>
    </w:p>
    <w:p>
      <w:pPr>
        <w:spacing w:after="0" w:line="12" w:lineRule="exact"/>
        <w:rPr>
          <w:sz w:val="20"/>
          <w:szCs w:val="20"/>
          <w:color w:val="auto"/>
        </w:rPr>
      </w:pPr>
    </w:p>
    <w:p>
      <w:pPr>
        <w:ind w:left="943" w:hanging="943"/>
        <w:spacing w:after="0"/>
        <w:tabs>
          <w:tab w:leader="none" w:pos="94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144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44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36195</wp:posOffset>
            </wp:positionV>
            <wp:extent cx="9144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4400" cy="762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8397" w:space="720"/>
            <w:col w:w="1463"/>
          </w:cols>
          <w:pgMar w:left="660" w:top="557" w:right="660" w:bottom="1440" w:gutter="0" w:footer="0" w:header="0"/>
          <w:type w:val="continuous"/>
        </w:sectPr>
      </w:pPr>
    </w:p>
    <w:p>
      <w:pPr>
        <w:spacing w:after="0" w:line="2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Additionally, we are subject to project management and installation-related contingencies as a result of our fixed- price material supply and installation service contracts, primarily in our Architectural Services Segment and in certain parts of our Architectural Metals Segment. We manage the risk of these exposures through contract negotiations, proactive project management and insurance coverages.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14" w:name="page15"/>
    <w:bookmarkEnd w:id="1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Letters of credit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August 30, 2025, we had $2.6 million of ongoing letters of credit as discussed in Note 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obligations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 obligations for raw material commitments and capital expenditures totaled $15.5 million as of August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Markets Tax Credit (NMTC) transactions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At August 30, 2025, we had one outstanding NMTC arrangement to support operational expansion. Proceeds received from investors on this transaction are included within other current liabilities in our consolidated balance sheets. The NMTC arrangement is subject to 100 percent tax credit recapture for a period of seven years from the date of transaction. Upon the termination, proceeds will be recognized in earnings in exchange for the transfer of tax credits. The direct and incremental costs incurred in structuring this arrangement have been deferred and are included in other current assets in our consolidated balance sheets. These costs will be recognized in conjunction with the recognition of the related proceeds. During the construction phase or for working capital purposes, we are required to hold cash dedicated to fund the project, which is classified as restricted cash in our consolidated balance sheet. As a result of the structure of this transaction, a variable-interest entity was created. As the other investors in this program do not have a material interest in the entity's underlying economics, we include 100% of the results of the variable-interest entity in our consolidated financial statements.</w:t>
      </w:r>
    </w:p>
    <w:p>
      <w:pPr>
        <w:spacing w:after="0" w:line="7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During the second quarter ended August 30, 2025, one NMTC transaction was settled as expected and, as a result, a $4.6 million benefit was recorded in other (income) expense, net. We expect the last outstanding NMTC transaction to be settled during the third quarter of fiscal 2026.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provides a summary of estimated benefits related to our outstanding NMTC transaction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8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Deferred benefit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Deferred 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Net benefit</w:t>
            </w: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2018</w:t>
            </w:r>
          </w:p>
        </w:tc>
        <w:tc>
          <w:tcPr>
            <w:tcW w:w="80" w:type="dxa"/>
            <w:vAlign w:val="bottom"/>
            <w:shd w:val="clear" w:color="auto" w:fill="CCEEFF"/>
          </w:tcPr>
          <w:p>
            <w:pPr>
              <w:spacing w:after="0"/>
              <w:rPr>
                <w:sz w:val="17"/>
                <w:szCs w:val="17"/>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2025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9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 December 2022, the claimant in an arbitration of one such claim was awarded $20.0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and the Company paid the final arbitration award, including accrued post- judgment interest, in the amount of $24.7 million, on April 7, 2025. As a result of the judgment, in the fourth quarter of fiscal 2025, we recorded expense of $9.4 million, which represented the impact of the award amount net of existing reserves and insurance proceeds of $11.0 million.</w:t>
      </w:r>
    </w:p>
    <w:p>
      <w:pPr>
        <w:spacing w:after="0" w:line="7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94" w:lineRule="exact"/>
        <w:rPr>
          <w:sz w:val="20"/>
          <w:szCs w:val="20"/>
          <w:color w:val="auto"/>
        </w:rPr>
      </w:pPr>
    </w:p>
    <w:p>
      <w:pPr>
        <w:ind w:left="300" w:hanging="294"/>
        <w:spacing w:after="0"/>
        <w:tabs>
          <w:tab w:leader="none" w:pos="3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Supplier Finance Program Obligations</w:t>
      </w:r>
    </w:p>
    <w:p>
      <w:pPr>
        <w:spacing w:after="0" w:line="9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have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net cash provided by operating activities in our consolidated statements of cash flows when settled.</w:t>
      </w:r>
    </w:p>
    <w:p>
      <w:pPr>
        <w:spacing w:after="0" w:line="73"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obligation activity and outstanding balance for the six months ended August 30, 2025, that we have confirmed as valid to the administrators of our program:</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August 30, 2025</w:t>
            </w: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w:t>
            </w:r>
          </w:p>
        </w:tc>
      </w:tr>
      <w:tr>
        <w:trPr>
          <w:trHeight w:val="204"/>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added to the program</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27,142</w:t>
            </w: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settled</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(26,035)</w:t>
            </w:r>
          </w:p>
        </w:tc>
      </w:tr>
      <w:tr>
        <w:trPr>
          <w:trHeight w:val="196"/>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7,953</w:t>
            </w:r>
          </w:p>
        </w:tc>
      </w:tr>
      <w:tr>
        <w:trPr>
          <w:trHeight w:val="20"/>
        </w:trPr>
        <w:tc>
          <w:tcPr>
            <w:tcW w:w="8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300" w:hanging="294"/>
        <w:spacing w:after="0"/>
        <w:tabs>
          <w:tab w:leader="none" w:pos="3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Shareholders' Equity</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paid dividends totaling $11.0 million ($0.52 per share) in the first six months of fiscal 2026, compared to dividends paid of $10.8 million ($0.50 per share) in the comparable prior year period.</w:t>
      </w:r>
    </w:p>
    <w:p>
      <w:pPr>
        <w:spacing w:after="0" w:line="5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During fiscal 2004, the Board of Directors authorized a share repurchase program allowing us to repurchase shares of our outstanding common stock, with subsequent increases in authorization. During the six months ended August 30, 2025, we did not repurchase shares under the program. During the six months ended August 31, 2024, we repurchased 241,573 shares under the program, for a total cost of $15.1 million. We have repurchased a total of 12,063,207 shares, at a total cost of $438.5 million, since the inception of this program in fiscal 2004. We have remaining authority to repurchase 2,186,793 shares under this program, which has no expiration date. We may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7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Additionally, shares withheld from the vesting of restricted awards, or the settlement of performance-based awards, are treated as purchases and retirements, and are included within other, net in the financing activities section in the consolidated statement of cash flows.</w:t>
      </w:r>
    </w:p>
    <w:p>
      <w:pPr>
        <w:spacing w:after="0" w:line="285" w:lineRule="exact"/>
        <w:rPr>
          <w:sz w:val="20"/>
          <w:szCs w:val="20"/>
          <w:color w:val="auto"/>
        </w:rPr>
      </w:pPr>
    </w:p>
    <w:p>
      <w:pPr>
        <w:ind w:left="300" w:hanging="294"/>
        <w:spacing w:after="0"/>
        <w:tabs>
          <w:tab w:leader="none" w:pos="3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w:t>
      </w:r>
    </w:p>
    <w:p>
      <w:pPr>
        <w:spacing w:after="0" w:line="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As part of our compensation structure, we grant stock-based compensation awards to certain employees and non-employee directors during the fiscal year. These awards may be in the form of incentive stock options (to employees only), restricted stock awards and restricted stock units, and performance share unit awards, all of which are granted at a price or with an exercise price equal to the fair market value of the Company’s stock at the date of award, unless the date of the award is on a day the Nasdaq Stock Market is not open for trading. In that case, the exercise price shall equal the fair market value on the most recent preceding date when such market is open.</w:t>
      </w:r>
    </w:p>
    <w:p>
      <w:pPr>
        <w:spacing w:after="0" w:line="4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table below sets forth the number of stock-based compensation awards granted during the six-months ended August 30, 2025, along with the weighted average grant date fair value: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186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Weighted Average Grant</w:t>
            </w:r>
          </w:p>
        </w:tc>
        <w:tc>
          <w:tcPr>
            <w:tcW w:w="0" w:type="dxa"/>
            <w:vAlign w:val="bottom"/>
          </w:tcPr>
          <w:p>
            <w:pPr>
              <w:spacing w:after="0"/>
              <w:rPr>
                <w:sz w:val="1"/>
                <w:szCs w:val="1"/>
                <w:color w:val="auto"/>
              </w:rPr>
            </w:pPr>
          </w:p>
        </w:tc>
      </w:tr>
      <w:tr>
        <w:trPr>
          <w:trHeight w:val="178"/>
        </w:trPr>
        <w:tc>
          <w:tcPr>
            <w:tcW w:w="6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198"/>
        </w:trPr>
        <w:tc>
          <w:tcPr>
            <w:tcW w:w="6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Restricted stock awards and restricted stock units</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44.54</w:t>
            </w:r>
          </w:p>
        </w:tc>
        <w:tc>
          <w:tcPr>
            <w:tcW w:w="0" w:type="dxa"/>
            <w:vAlign w:val="bottom"/>
          </w:tcPr>
          <w:p>
            <w:pPr>
              <w:spacing w:after="0"/>
              <w:rPr>
                <w:sz w:val="1"/>
                <w:szCs w:val="1"/>
                <w:color w:val="auto"/>
              </w:rPr>
            </w:pPr>
          </w:p>
        </w:tc>
      </w:tr>
      <w:tr>
        <w:trPr>
          <w:trHeight w:val="285"/>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Performance share units </w:t>
            </w:r>
            <w:r>
              <w:rPr>
                <w:rFonts w:ascii="Times New Roman" w:cs="Times New Roman" w:eastAsia="Times New Roman" w:hAnsi="Times New Roman"/>
                <w:sz w:val="21"/>
                <w:szCs w:val="21"/>
                <w:color w:val="auto"/>
                <w:vertAlign w:val="superscript"/>
              </w:rPr>
              <w:t>(2)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45.65</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40" w:hanging="354"/>
        <w:spacing w:after="0"/>
        <w:tabs>
          <w:tab w:leader="none" w:pos="5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 service condition awards which generally vest over a two- or three-year period.</w:t>
      </w:r>
    </w:p>
    <w:p>
      <w:pPr>
        <w:spacing w:after="0" w:line="30" w:lineRule="exact"/>
        <w:rPr>
          <w:rFonts w:ascii="Times New Roman" w:cs="Times New Roman" w:eastAsia="Times New Roman" w:hAnsi="Times New Roman"/>
          <w:sz w:val="13"/>
          <w:szCs w:val="13"/>
          <w:color w:val="auto"/>
        </w:rPr>
      </w:pPr>
    </w:p>
    <w:p>
      <w:pPr>
        <w:jc w:val="both"/>
        <w:ind w:left="540" w:right="20" w:hanging="354"/>
        <w:spacing w:after="0" w:line="233" w:lineRule="auto"/>
        <w:tabs>
          <w:tab w:leader="none" w:pos="5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adjusted return on invested capital and cumulative adjusted earnings per share.</w:t>
      </w:r>
    </w:p>
    <w:p>
      <w:pPr>
        <w:spacing w:after="0" w:line="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Total share-based compensation expense included in the results of operations was $0.5 million and $2.9 million for the three months ended August 30, 2025, and August 31, 2024, respectively and $2.8 million and $5.6 million for the six months ended August 30, 2025, and August 31, 2024, respectively.</w:t>
      </w:r>
    </w:p>
    <w:p>
      <w:pPr>
        <w:spacing w:after="0" w:line="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At August 30, 2025, there was $14.1 million of total unrecognized compensation cost related to nonvested share and nonvested share unit awards, which is expected to be recognized over a weighted average period of approximately 26 months. The total fair value of shares vested during the six months ended August 30, 2025, was $7.8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file income tax returns in the U.S. federal jurisdiction, various U.S. state and local jurisdictions, Canada, Brazil, and other international jurisdictions. In September 2025, the Company was notified that the Internal Revenue Service will conduct a U.S.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examination for fiscal year 2023. There is very limited audit activity of our income tax returns in U.S. state jurisdictions or international jurisdictions.</w:t>
      </w:r>
    </w:p>
    <w:p>
      <w:pPr>
        <w:spacing w:after="0" w:line="9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For interim periods, our income tax expense and resulting effective tax rate are based upon an estimated annual effective tax rate adjusted for the effects of items required to be treated as discrete to the period, including changes in tax laws, changes in estimated exposures for uncertain tax positions and other items. For the three months ended August 30, 2025, income tax expense as a percentage of earnings before income tax was 15.4%, compared to 25.7% for the same period last year. The change in the effective tax rate was primarily due to a decrease in tax expense on discrete items. For the six months ended August 30, 2025, income tax expense as a percentage of earnings before income tax was 30.9% compared to 25.1% for the same period last year. The increase in the effective tax rate was primarily driven by lower net earnings before income tax.</w:t>
      </w:r>
    </w:p>
    <w:p>
      <w:pPr>
        <w:spacing w:after="0" w:line="7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total liability for unrecognized tax benefits was $6.2 million at August 30, 2025, compared to $6.0 million at March 1, 2025. Penalties and interest related to unrecognized tax benefits are recorded in income tax expense.</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On July 4, 2025, the One Big Beautiful Bill Act (OBBBA) was signed into law in the United States, introducing a wide array of tax reform measures. These include extensions and modifications to certain provisions originally enacted under the Tax Cuts and Jobs Act. Key changes include the immediate expensing of domestic research and development costs, the reinstatement of 100% bonus depreciation, and a new interest expense limitation based on EBITDA. These provisions did not have a material effect on the Company’s financial statements for the six-month period ended August 30, 2025.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reconciliation of the share amounts used in the computation of basic and diluted earnings per share (diluted EPS):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40" w:type="dxa"/>
            <w:vAlign w:val="bottom"/>
          </w:tcPr>
          <w:p>
            <w:pPr>
              <w:spacing w:after="0"/>
              <w:rPr>
                <w:sz w:val="15"/>
                <w:szCs w:val="15"/>
                <w:color w:val="auto"/>
              </w:rPr>
            </w:pPr>
          </w:p>
        </w:tc>
        <w:tc>
          <w:tcPr>
            <w:tcW w:w="114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0" w:type="dxa"/>
            <w:vAlign w:val="bottom"/>
          </w:tcPr>
          <w:p>
            <w:pPr>
              <w:spacing w:after="0"/>
              <w:rPr>
                <w:sz w:val="1"/>
                <w:szCs w:val="1"/>
                <w:color w:val="auto"/>
              </w:rPr>
            </w:pPr>
          </w:p>
        </w:tc>
      </w:tr>
      <w:tr>
        <w:trPr>
          <w:trHeight w:val="198"/>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0" w:type="dxa"/>
            <w:vAlign w:val="bottom"/>
          </w:tcPr>
          <w:p>
            <w:pPr>
              <w:spacing w:after="0"/>
              <w:rPr>
                <w:sz w:val="1"/>
                <w:szCs w:val="1"/>
                <w:color w:val="auto"/>
              </w:rPr>
            </w:pPr>
          </w:p>
        </w:tc>
      </w:tr>
      <w:tr>
        <w:trPr>
          <w:trHeight w:val="240"/>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 weighted average common shares outstanding</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21,793</w:t>
            </w:r>
          </w:p>
        </w:tc>
        <w:tc>
          <w:tcPr>
            <w:tcW w:w="0" w:type="dxa"/>
            <w:vAlign w:val="bottom"/>
          </w:tcPr>
          <w:p>
            <w:pPr>
              <w:spacing w:after="0"/>
              <w:rPr>
                <w:sz w:val="1"/>
                <w:szCs w:val="1"/>
                <w:color w:val="auto"/>
              </w:rPr>
            </w:pPr>
          </w:p>
        </w:tc>
      </w:tr>
      <w:tr>
        <w:trPr>
          <w:trHeight w:val="156"/>
        </w:trPr>
        <w:tc>
          <w:tcPr>
            <w:tcW w:w="51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Weighted average effect of nonvested share grants and assumed exercise of</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4"/>
        </w:trPr>
        <w:tc>
          <w:tcPr>
            <w:tcW w:w="51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stock options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12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Diluted earnings per share – weighted average common shares and potential</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21,985</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CCEEFF"/>
            </w:tcBorders>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common shares outstanding</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gridSpan w:val="2"/>
            <w:vMerge w:val="restart"/>
          </w:tcPr>
          <w:p>
            <w:pPr>
              <w:ind w:left="20"/>
              <w:spacing w:after="0" w:line="140" w:lineRule="exact"/>
              <w:rPr>
                <w:sz w:val="20"/>
                <w:szCs w:val="20"/>
                <w:color w:val="auto"/>
              </w:rPr>
            </w:pPr>
            <w:r>
              <w:rPr>
                <w:rFonts w:ascii="Times New Roman" w:cs="Times New Roman" w:eastAsia="Times New Roman" w:hAnsi="Times New Roman"/>
                <w:sz w:val="16"/>
                <w:szCs w:val="16"/>
                <w:color w:val="auto"/>
              </w:rPr>
              <w:t>Stock awards excluded from the calculation of earnings per share because the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512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6"/>
                <w:szCs w:val="16"/>
                <w:color w:val="auto"/>
              </w:rPr>
              <w:t>effect was anti-dilutive (award price greater than average market price of the</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4"/>
        </w:trPr>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Business Segment Data</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have four operating segments which are also reportable segments. Each of our four segments has distinct economic characteristics, including products and services provided, production processes and varying ranges in performance and results:</w:t>
      </w:r>
    </w:p>
    <w:p>
      <w:pPr>
        <w:spacing w:after="0" w:line="57" w:lineRule="exact"/>
        <w:rPr>
          <w:sz w:val="20"/>
          <w:szCs w:val="20"/>
          <w:color w:val="auto"/>
        </w:rPr>
      </w:pPr>
    </w:p>
    <w:p>
      <w:pPr>
        <w:ind w:left="400" w:right="20" w:hanging="286"/>
        <w:spacing w:after="0" w:line="262" w:lineRule="auto"/>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Architectural Metals Segment</w:t>
      </w:r>
      <w:r>
        <w:rPr>
          <w:rFonts w:ascii="Times New Roman" w:cs="Times New Roman" w:eastAsia="Times New Roman" w:hAnsi="Times New Roman"/>
          <w:sz w:val="16"/>
          <w:szCs w:val="16"/>
          <w:color w:val="auto"/>
        </w:rPr>
        <w:t xml:space="preserve"> designs, engineers, fabricates and finishes aluminum window, curtainwall, storefront and entrance systems used primarily in non-residential construction.</w:t>
      </w:r>
    </w:p>
    <w:p>
      <w:pPr>
        <w:spacing w:after="0" w:line="54" w:lineRule="exact"/>
        <w:rPr>
          <w:rFonts w:ascii="Times New Roman" w:cs="Times New Roman" w:eastAsia="Times New Roman" w:hAnsi="Times New Roman"/>
          <w:sz w:val="16"/>
          <w:szCs w:val="16"/>
          <w:color w:val="auto"/>
        </w:rPr>
      </w:pPr>
    </w:p>
    <w:p>
      <w:pPr>
        <w:ind w:left="400" w:right="20" w:hanging="286"/>
        <w:spacing w:after="0" w:line="262" w:lineRule="auto"/>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Architectural Services Segment</w:t>
      </w:r>
      <w:r>
        <w:rPr>
          <w:rFonts w:ascii="Times New Roman" w:cs="Times New Roman" w:eastAsia="Times New Roman" w:hAnsi="Times New Roman"/>
          <w:sz w:val="16"/>
          <w:szCs w:val="16"/>
          <w:color w:val="auto"/>
        </w:rPr>
        <w:t xml:space="preserve"> integrates technical services, project management, and field installation services to design, engineer, fabricate, and install architectural curtainwall and other façade-related systems primarily in non-residential construction.</w:t>
      </w:r>
    </w:p>
    <w:p>
      <w:pPr>
        <w:spacing w:after="0" w:line="54" w:lineRule="exact"/>
        <w:rPr>
          <w:rFonts w:ascii="Times New Roman" w:cs="Times New Roman" w:eastAsia="Times New Roman" w:hAnsi="Times New Roman"/>
          <w:sz w:val="16"/>
          <w:szCs w:val="16"/>
          <w:color w:val="auto"/>
        </w:rPr>
      </w:pPr>
    </w:p>
    <w:p>
      <w:pPr>
        <w:ind w:left="400" w:right="20" w:hanging="286"/>
        <w:spacing w:after="0" w:line="262" w:lineRule="auto"/>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Architectural Glass Segment</w:t>
      </w:r>
      <w:r>
        <w:rPr>
          <w:rFonts w:ascii="Times New Roman" w:cs="Times New Roman" w:eastAsia="Times New Roman" w:hAnsi="Times New Roman"/>
          <w:sz w:val="16"/>
          <w:szCs w:val="16"/>
          <w:color w:val="auto"/>
        </w:rPr>
        <w:t xml:space="preserve"> cuts, treats, coats and fabricates high-performance glass used in custom window and wall systems primarily for non-residential buildings.</w:t>
      </w:r>
    </w:p>
    <w:p>
      <w:pPr>
        <w:spacing w:after="0" w:line="54" w:lineRule="exact"/>
        <w:rPr>
          <w:rFonts w:ascii="Times New Roman" w:cs="Times New Roman" w:eastAsia="Times New Roman" w:hAnsi="Times New Roman"/>
          <w:sz w:val="16"/>
          <w:szCs w:val="16"/>
          <w:color w:val="auto"/>
        </w:rPr>
      </w:pPr>
    </w:p>
    <w:p>
      <w:pPr>
        <w:ind w:left="400" w:right="20" w:hanging="286"/>
        <w:spacing w:after="0" w:line="262" w:lineRule="auto"/>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Performance Surfaces Segment</w:t>
      </w:r>
      <w:r>
        <w:rPr>
          <w:rFonts w:ascii="Times New Roman" w:cs="Times New Roman" w:eastAsia="Times New Roman" w:hAnsi="Times New Roman"/>
          <w:sz w:val="16"/>
          <w:szCs w:val="16"/>
          <w:color w:val="auto"/>
        </w:rPr>
        <w:t xml:space="preserve"> develops and manufactures high-performance coated materials for a variety of applications, including wall decor, museums, graphic design, digital displays, architectural interiors, and industrial flooring.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Company’s CEO is the chief operating decision maker (CODM)</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The CODM utilizes net sales and adjusted earnings before interest, taxes, depreciation and amortization (EBITDA) to assess segment performance and make decisions about the allocation of operating and capital resources by analyzing recent results, trends, and variances of each segment in relation to forecasts and historical performance.</w:t>
      </w:r>
    </w:p>
    <w:p>
      <w:pPr>
        <w:spacing w:after="0" w:line="7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Net sales, adjusted cost of sales, adjusted SG&amp;A, adjusted other income (expense), depreciation and amortization and the resulting adjusted EBITDA for each of the Company’s four reportable segments are presented below. Segment net sales is defined as net sales for a certain segment and includes revenue related to intersegment transactions. We report net sales intersegment eliminations separately to exclude these sales from our consolidated total. Segment adjusted EBITDA includes intersegment sales transactions and excludes certain corporate costs that are not allocated at a segment level. We report these unallocated corporate costs in Corporate and Other.</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9"/>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Three Months Ended August 30, 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38"/>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84"/>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1"/>
        </w:trPr>
        <w:tc>
          <w:tcPr>
            <w:tcW w:w="414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140,922</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100,490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358,194</w:t>
            </w:r>
          </w:p>
        </w:tc>
      </w:tr>
      <w:tr>
        <w:trPr>
          <w:trHeight w:val="204"/>
        </w:trPr>
        <w:tc>
          <w:tcPr>
            <w:tcW w:w="41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Intersegment net sales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r>
      <w:tr>
        <w:trPr>
          <w:trHeight w:val="197"/>
        </w:trPr>
        <w:tc>
          <w:tcPr>
            <w:tcW w:w="41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segment net sales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140,935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100,490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361,996</w:t>
            </w:r>
          </w:p>
        </w:tc>
      </w:tr>
      <w:tr>
        <w:trPr>
          <w:trHeight w:val="204"/>
        </w:trPr>
        <w:tc>
          <w:tcPr>
            <w:tcW w:w="414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cost of sales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(100,178)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(271,300)</w:t>
            </w:r>
          </w:p>
        </w:tc>
      </w:tr>
      <w:tr>
        <w:trPr>
          <w:trHeight w:val="204"/>
        </w:trPr>
        <w:tc>
          <w:tcPr>
            <w:tcW w:w="4140" w:type="dxa"/>
            <w:vAlign w:val="bottom"/>
            <w:gridSpan w:val="5"/>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SG&amp;A </w:t>
            </w:r>
            <w:r>
              <w:rPr>
                <w:rFonts w:ascii="Times New Roman" w:cs="Times New Roman" w:eastAsia="Times New Roman" w:hAnsi="Times New Roman"/>
                <w:sz w:val="21"/>
                <w:szCs w:val="21"/>
                <w:color w:val="auto"/>
                <w:vertAlign w:val="superscript"/>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(53,751)</w:t>
            </w:r>
          </w:p>
        </w:tc>
      </w:tr>
      <w:tr>
        <w:trPr>
          <w:trHeight w:val="204"/>
        </w:trPr>
        <w:tc>
          <w:tcPr>
            <w:tcW w:w="414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other expense, net </w:t>
            </w:r>
            <w:r>
              <w:rPr>
                <w:rFonts w:ascii="Times New Roman" w:cs="Times New Roman" w:eastAsia="Times New Roman" w:hAnsi="Times New Roman"/>
                <w:sz w:val="21"/>
                <w:szCs w:val="21"/>
                <w:color w:val="auto"/>
                <w:vertAlign w:val="superscript"/>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4"/>
        </w:trPr>
        <w:tc>
          <w:tcPr>
            <w:tcW w:w="41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3,752</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w:t>
            </w:r>
          </w:p>
        </w:tc>
      </w:tr>
      <w:tr>
        <w:trPr>
          <w:trHeight w:val="196"/>
        </w:trPr>
        <w:tc>
          <w:tcPr>
            <w:tcW w:w="41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20,828</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48,712</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4"/>
        </w:trPr>
        <w:tc>
          <w:tcPr>
            <w:tcW w:w="4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9"/>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Three Months Ended August 31, 2024</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38"/>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84"/>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1"/>
        </w:trPr>
        <w:tc>
          <w:tcPr>
            <w:tcW w:w="414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Metals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141,340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98,018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342,440</w:t>
            </w:r>
          </w:p>
        </w:tc>
      </w:tr>
      <w:tr>
        <w:trPr>
          <w:trHeight w:val="204"/>
        </w:trPr>
        <w:tc>
          <w:tcPr>
            <w:tcW w:w="41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Intersegment net sales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w:t>
            </w:r>
          </w:p>
        </w:tc>
      </w:tr>
      <w:tr>
        <w:trPr>
          <w:trHeight w:val="197"/>
        </w:trPr>
        <w:tc>
          <w:tcPr>
            <w:tcW w:w="4120" w:type="dxa"/>
            <w:vAlign w:val="bottom"/>
            <w:tcBorders>
              <w:top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segment net sales</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141,350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98,018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349,301</w:t>
            </w:r>
          </w:p>
        </w:tc>
      </w:tr>
      <w:tr>
        <w:trPr>
          <w:trHeight w:val="204"/>
        </w:trPr>
        <w:tc>
          <w:tcPr>
            <w:tcW w:w="414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cost of sales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(250,353)</w:t>
            </w:r>
          </w:p>
        </w:tc>
      </w:tr>
      <w:tr>
        <w:trPr>
          <w:trHeight w:val="204"/>
        </w:trPr>
        <w:tc>
          <w:tcPr>
            <w:tcW w:w="4140" w:type="dxa"/>
            <w:vAlign w:val="bottom"/>
            <w:gridSpan w:val="5"/>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SG&amp;A </w:t>
            </w:r>
            <w:r>
              <w:rPr>
                <w:rFonts w:ascii="Times New Roman" w:cs="Times New Roman" w:eastAsia="Times New Roman" w:hAnsi="Times New Roman"/>
                <w:sz w:val="21"/>
                <w:szCs w:val="21"/>
                <w:color w:val="auto"/>
                <w:vertAlign w:val="superscript"/>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(49,642)</w:t>
            </w:r>
          </w:p>
        </w:tc>
      </w:tr>
      <w:tr>
        <w:trPr>
          <w:trHeight w:val="204"/>
        </w:trPr>
        <w:tc>
          <w:tcPr>
            <w:tcW w:w="414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other expense, net </w:t>
            </w:r>
            <w:r>
              <w:rPr>
                <w:rFonts w:ascii="Times New Roman" w:cs="Times New Roman" w:eastAsia="Times New Roman" w:hAnsi="Times New Roman"/>
                <w:sz w:val="21"/>
                <w:szCs w:val="21"/>
                <w:color w:val="auto"/>
                <w:vertAlign w:val="superscript"/>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4"/>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4,172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8,997</w:t>
            </w:r>
          </w:p>
        </w:tc>
      </w:tr>
      <w:tr>
        <w:trPr>
          <w:trHeight w:val="196"/>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22,229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7,344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4,584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58,297</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90"/>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Six Months Ended August 30, 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38"/>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4"/>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1"/>
        </w:trPr>
        <w:tc>
          <w:tcPr>
            <w:tcW w:w="4140" w:type="dxa"/>
            <w:vAlign w:val="bottom"/>
            <w:gridSpan w:val="5"/>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0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269,519</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206,995</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137,662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90,640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704,816</w:t>
            </w:r>
          </w:p>
        </w:tc>
      </w:tr>
      <w:tr>
        <w:trPr>
          <w:trHeight w:val="204"/>
        </w:trPr>
        <w:tc>
          <w:tcPr>
            <w:tcW w:w="41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Intersegment net sales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w:t>
            </w:r>
          </w:p>
        </w:tc>
      </w:tr>
      <w:tr>
        <w:trPr>
          <w:trHeight w:val="197"/>
        </w:trPr>
        <w:tc>
          <w:tcPr>
            <w:tcW w:w="41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segment net sales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269,559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206,995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145,454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712,648</w:t>
            </w:r>
          </w:p>
        </w:tc>
      </w:tr>
      <w:tr>
        <w:trPr>
          <w:trHeight w:val="204"/>
        </w:trPr>
        <w:tc>
          <w:tcPr>
            <w:tcW w:w="414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cost of sales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(539,542)</w:t>
            </w:r>
          </w:p>
        </w:tc>
      </w:tr>
      <w:tr>
        <w:trPr>
          <w:trHeight w:val="204"/>
        </w:trPr>
        <w:tc>
          <w:tcPr>
            <w:tcW w:w="4140" w:type="dxa"/>
            <w:vAlign w:val="bottom"/>
            <w:gridSpan w:val="5"/>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SG&amp;A </w:t>
            </w:r>
            <w:r>
              <w:rPr>
                <w:rFonts w:ascii="Times New Roman" w:cs="Times New Roman" w:eastAsia="Times New Roman" w:hAnsi="Times New Roman"/>
                <w:sz w:val="21"/>
                <w:szCs w:val="21"/>
                <w:color w:val="auto"/>
                <w:vertAlign w:val="superscript"/>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(110,998)</w:t>
            </w:r>
          </w:p>
        </w:tc>
      </w:tr>
      <w:tr>
        <w:trPr>
          <w:trHeight w:val="204"/>
        </w:trPr>
        <w:tc>
          <w:tcPr>
            <w:tcW w:w="414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other expense, net </w:t>
            </w:r>
            <w:r>
              <w:rPr>
                <w:rFonts w:ascii="Times New Roman" w:cs="Times New Roman" w:eastAsia="Times New Roman" w:hAnsi="Times New Roman"/>
                <w:sz w:val="21"/>
                <w:szCs w:val="21"/>
                <w:color w:val="auto"/>
                <w:vertAlign w:val="superscript"/>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4"/>
        </w:trPr>
        <w:tc>
          <w:tcPr>
            <w:tcW w:w="41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1,983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6,593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7,338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23,480</w:t>
            </w:r>
          </w:p>
        </w:tc>
      </w:tr>
      <w:tr>
        <w:trPr>
          <w:trHeight w:val="196"/>
        </w:trPr>
        <w:tc>
          <w:tcPr>
            <w:tcW w:w="41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30,195</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11,084</w:t>
            </w:r>
          </w:p>
        </w:tc>
        <w:tc>
          <w:tcPr>
            <w:tcW w:w="2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85,522</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4"/>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8"/>
        </w:trPr>
        <w:tc>
          <w:tcPr>
            <w:tcW w:w="40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90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Six Months Ended August 31, 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38"/>
        </w:trPr>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23"/>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04"/>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43"/>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40" w:type="dxa"/>
            <w:vAlign w:val="bottom"/>
          </w:tcPr>
          <w:p>
            <w:pPr>
              <w:spacing w:after="0"/>
              <w:rPr>
                <w:sz w:val="16"/>
                <w:szCs w:val="16"/>
                <w:color w:val="auto"/>
              </w:rPr>
            </w:pPr>
          </w:p>
        </w:tc>
        <w:tc>
          <w:tcPr>
            <w:tcW w:w="10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274,449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197,045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161,426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673,956</w:t>
            </w:r>
          </w:p>
        </w:tc>
      </w:tr>
      <w:tr>
        <w:trPr>
          <w:trHeight w:val="204"/>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Intersegment net sales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15,451</w:t>
            </w:r>
          </w:p>
        </w:tc>
      </w:tr>
      <w:tr>
        <w:trPr>
          <w:trHeight w:val="197"/>
        </w:trPr>
        <w:tc>
          <w:tcPr>
            <w:tcW w:w="4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segment net sales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274,522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197,045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176,804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689,407</w:t>
            </w:r>
          </w:p>
        </w:tc>
      </w:tr>
      <w:tr>
        <w:trPr>
          <w:trHeight w:val="204"/>
        </w:trPr>
        <w:tc>
          <w:tcPr>
            <w:tcW w:w="41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cost of sales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(491,526)</w:t>
            </w:r>
          </w:p>
        </w:tc>
      </w:tr>
      <w:tr>
        <w:trPr>
          <w:trHeight w:val="204"/>
        </w:trPr>
        <w:tc>
          <w:tcPr>
            <w:tcW w:w="41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SG&amp;A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(101,679)</w:t>
            </w:r>
          </w:p>
        </w:tc>
      </w:tr>
      <w:tr>
        <w:trPr>
          <w:trHeight w:val="204"/>
        </w:trPr>
        <w:tc>
          <w:tcPr>
            <w:tcW w:w="41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other income, net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4"/>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8,679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w:t>
            </w:r>
          </w:p>
        </w:tc>
      </w:tr>
      <w:tr>
        <w:trPr>
          <w:trHeight w:val="19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46,070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0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44,371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114,583</w:t>
            </w:r>
          </w:p>
        </w:tc>
      </w:tr>
      <w:tr>
        <w:trPr>
          <w:trHeight w:val="20"/>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540" w:right="40" w:hanging="354"/>
        <w:spacing w:after="0" w:line="227" w:lineRule="auto"/>
        <w:tabs>
          <w:tab w:leader="none" w:pos="5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cost of sales excludes $0.3 million and $3.0 million of adjustments related to acquisition and restructuring expense, respectively, for the three months ended August 30, 2025, and excludes $0.4 million and $9.9 million of adjustments related to acquisition and restructuring expense, respectively, for the six months ended August 30, 2025. Adjusted cost of sales excludes $0.9 million and $1.4 million of adjustments related restructuring expense for the three and six months ended August 31, 2024, respectively. These adjustments are described in greater detail in the reconciliation below.</w:t>
      </w:r>
    </w:p>
    <w:p>
      <w:pPr>
        <w:spacing w:after="0" w:line="10" w:lineRule="exact"/>
        <w:rPr>
          <w:rFonts w:ascii="Times New Roman" w:cs="Times New Roman" w:eastAsia="Times New Roman" w:hAnsi="Times New Roman"/>
          <w:sz w:val="13"/>
          <w:szCs w:val="13"/>
          <w:color w:val="auto"/>
        </w:rPr>
      </w:pPr>
    </w:p>
    <w:p>
      <w:pPr>
        <w:jc w:val="both"/>
        <w:ind w:left="540" w:right="40" w:hanging="354"/>
        <w:spacing w:after="0" w:line="227" w:lineRule="auto"/>
        <w:tabs>
          <w:tab w:leader="none" w:pos="5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SG&amp;A expense excludes $0.9 million and $0.1 million of adjustments related to acquisition and restructuring expense, respectively, for the three months ended August 30, 2025, and excludes $1.1 million and $5.9 million of adjustments related to acquisition and restructuring expense, respectively, for the six months ended August 30, 2025. Adjusted SG&amp;A expense excludes $0.3 million and $0.7 million of adjustments related restructuring expense for the three and six months ended August 31, 2024, respectively These adjustments are described in greater detail in the reconciliation below.</w:t>
      </w:r>
    </w:p>
    <w:p>
      <w:pPr>
        <w:spacing w:after="0" w:line="10" w:lineRule="exact"/>
        <w:rPr>
          <w:rFonts w:ascii="Times New Roman" w:cs="Times New Roman" w:eastAsia="Times New Roman" w:hAnsi="Times New Roman"/>
          <w:sz w:val="13"/>
          <w:szCs w:val="13"/>
          <w:color w:val="auto"/>
        </w:rPr>
      </w:pPr>
    </w:p>
    <w:p>
      <w:pPr>
        <w:ind w:left="540" w:hanging="354"/>
        <w:spacing w:after="0"/>
        <w:tabs>
          <w:tab w:leader="none" w:pos="5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other income, net excludes $4.6 million of NMTC gain recognized for the three and six months ended August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reconciliation of adjusted EBITDA to net earnings, the nearest measurement under U.S. GAAP:</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6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20" w:type="dxa"/>
            <w:vAlign w:val="bottom"/>
          </w:tcPr>
          <w:p>
            <w:pPr>
              <w:spacing w:after="0"/>
              <w:rPr>
                <w:sz w:val="16"/>
                <w:szCs w:val="16"/>
                <w:color w:val="auto"/>
              </w:rPr>
            </w:pPr>
          </w:p>
        </w:tc>
        <w:tc>
          <w:tcPr>
            <w:tcW w:w="14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August 31, 2024</w:t>
            </w:r>
          </w:p>
        </w:tc>
      </w:tr>
      <w:tr>
        <w:trPr>
          <w:trHeight w:val="197"/>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58,297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85,522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114,583</w:t>
            </w:r>
          </w:p>
        </w:tc>
      </w:tr>
      <w:tr>
        <w:trPr>
          <w:trHeight w:val="20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and Other Expenses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(8,839)</w:t>
            </w:r>
          </w:p>
        </w:tc>
      </w:tr>
      <w:tr>
        <w:trPr>
          <w:trHeight w:val="205"/>
        </w:trPr>
        <w:tc>
          <w:tcPr>
            <w:tcW w:w="362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Segment acquisition-related costs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62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Segment restructuring costs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04"/>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(19,664)</w:t>
            </w:r>
          </w:p>
        </w:tc>
      </w:tr>
      <w:tr>
        <w:trPr>
          <w:trHeight w:val="204"/>
        </w:trPr>
        <w:tc>
          <w:tcPr>
            <w:tcW w:w="362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income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04"/>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(20,612)</w:t>
            </w:r>
          </w:p>
        </w:tc>
      </w:tr>
      <w:tr>
        <w:trPr>
          <w:trHeight w:val="222"/>
        </w:trPr>
        <w:tc>
          <w:tcPr>
            <w:tcW w:w="3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30,566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354"/>
        <w:spacing w:after="0"/>
        <w:tabs>
          <w:tab w:leader="none" w:pos="54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Acquisition-related costs include costs related to one-time expenses incurred to integrate the UW Solutions acquisition.</w:t>
      </w:r>
    </w:p>
    <w:p>
      <w:pPr>
        <w:spacing w:after="0" w:line="30" w:lineRule="exact"/>
        <w:rPr>
          <w:rFonts w:ascii="Times New Roman" w:cs="Times New Roman" w:eastAsia="Times New Roman" w:hAnsi="Times New Roman"/>
          <w:sz w:val="13"/>
          <w:szCs w:val="13"/>
          <w:color w:val="auto"/>
        </w:rPr>
      </w:pPr>
    </w:p>
    <w:p>
      <w:pPr>
        <w:ind w:left="540" w:hanging="354"/>
        <w:spacing w:after="0"/>
        <w:tabs>
          <w:tab w:leader="none" w:pos="54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restructuring charges related to Project Fortify.</w:t>
      </w:r>
    </w:p>
    <w:p>
      <w:pPr>
        <w:spacing w:after="0" w:line="30" w:lineRule="exact"/>
        <w:rPr>
          <w:rFonts w:ascii="Times New Roman" w:cs="Times New Roman" w:eastAsia="Times New Roman" w:hAnsi="Times New Roman"/>
          <w:sz w:val="13"/>
          <w:szCs w:val="13"/>
          <w:color w:val="auto"/>
        </w:rPr>
      </w:pPr>
    </w:p>
    <w:p>
      <w:pPr>
        <w:ind w:left="540" w:hanging="354"/>
        <w:spacing w:after="0"/>
        <w:tabs>
          <w:tab w:leader="none" w:pos="54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income, net includes $4.6 million of NMTC gain recognized for the three and six months ended August 30, 2025.</w:t>
      </w:r>
    </w:p>
    <w:p>
      <w:pPr>
        <w:spacing w:after="0" w:line="200" w:lineRule="exact"/>
        <w:rPr>
          <w:rFonts w:ascii="Times New Roman" w:cs="Times New Roman" w:eastAsia="Times New Roman" w:hAnsi="Times New Roman"/>
          <w:sz w:val="13"/>
          <w:szCs w:val="13"/>
          <w:color w:val="auto"/>
        </w:rPr>
      </w:pPr>
    </w:p>
    <w:p>
      <w:pPr>
        <w:spacing w:after="0" w:line="211"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November 4, 2024, we completed the acquisition of UW Solutions for $240.9 million in cash. UW Solutions is a U.S. based, vertically integrated manufacturer of high-performance coated substrates with a portfolio of well-known brands, including ResinDEK®, ChromaLuxe®, RDC Coatings™, and Unisub®, each known as a leader in its specified applications. The UW Solutions business activity is included in our Performance Surfaces Segment.</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total purchase consideration was $232.2 million in cash, net of a favorable net working capital adjustment of $0.9 million and cash acquired of $8.7 million. The acquisition was funded with cash on hand and borrowings under our existing credit agreement. During fiscal 2025, we incurred total pre-tax acquisition-related expenses of $10.3 million associated with the acquisition. During the three -month period ended August 30, 2025, we incurred integration costs associated with the acquisition of $1.3 million, of which $0.3 million and $1.0 million are included in cost of sales and SG&amp;A, respectively, within our consolidated results of operations. During the six-month period ended August 30, 2025, we incurred integration costs associated with the acquisition of $1.6 million, of which $0.4 million and $1.2 million are included in cost of sales and SG&amp;A, respectively, within our consolidated results of operations.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accounted for the acquisition as a purchase of a business and recorded the excess of the purchase price over the estimated fair value of the assets acquired and liabilities assumed as goodwill of $107.8 million. The goodwill recognized is attributable primarily to expected synergies by integrating UW Solutions into our Performance Surfaces Segment and by creating a scalable growth platform in the specialty coatings and materials market. The goodwill is expected to be amortized and deductible for income tax purposes. We have provisionally determined the appropriate fair values of the acquired intangible assets and completed our analysis of the economic lives of the assets acquired.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estimated fair values of assets acquired and liabilities assumed at the acquisition date: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8,703</w:t>
            </w:r>
          </w:p>
        </w:tc>
      </w:tr>
      <w:tr>
        <w:trPr>
          <w:trHeight w:val="205"/>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Receivables, net</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12,427</w:t>
            </w:r>
          </w:p>
        </w:tc>
      </w:tr>
      <w:tr>
        <w:trPr>
          <w:trHeight w:val="204"/>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17,903</w:t>
            </w:r>
          </w:p>
        </w:tc>
      </w:tr>
      <w:tr>
        <w:trPr>
          <w:trHeight w:val="205"/>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04"/>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26,563</w:t>
            </w:r>
          </w:p>
        </w:tc>
      </w:tr>
      <w:tr>
        <w:trPr>
          <w:trHeight w:val="205"/>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14,189</w:t>
            </w:r>
          </w:p>
        </w:tc>
      </w:tr>
      <w:tr>
        <w:trPr>
          <w:trHeight w:val="204"/>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107,826</w:t>
            </w:r>
          </w:p>
        </w:tc>
      </w:tr>
      <w:tr>
        <w:trPr>
          <w:trHeight w:val="205"/>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79,679</w:t>
            </w:r>
          </w:p>
        </w:tc>
      </w:tr>
      <w:tr>
        <w:trPr>
          <w:trHeight w:val="204"/>
        </w:trPr>
        <w:tc>
          <w:tcPr>
            <w:tcW w:w="9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197"/>
        </w:trPr>
        <w:tc>
          <w:tcPr>
            <w:tcW w:w="9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268,578</w:t>
            </w:r>
          </w:p>
        </w:tc>
      </w:tr>
      <w:tr>
        <w:trPr>
          <w:trHeight w:val="204"/>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w:t>
            </w:r>
          </w:p>
        </w:tc>
      </w:tr>
      <w:tr>
        <w:trPr>
          <w:trHeight w:val="204"/>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w:t>
            </w:r>
          </w:p>
        </w:tc>
      </w:tr>
      <w:tr>
        <w:trPr>
          <w:trHeight w:val="205"/>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04"/>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05"/>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12,930</w:t>
            </w:r>
          </w:p>
        </w:tc>
      </w:tr>
      <w:tr>
        <w:trPr>
          <w:trHeight w:val="196"/>
        </w:trPr>
        <w:tc>
          <w:tcPr>
            <w:tcW w:w="9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27,705</w:t>
            </w:r>
          </w:p>
        </w:tc>
      </w:tr>
      <w:tr>
        <w:trPr>
          <w:trHeight w:val="22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recorded</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240,873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impact of the acquisition of UW Solutions on our consolidated results of operations for the three-month period ended on August 30, 2025, was $24.9 million of net sales and $0.8 million of net loss, and for the six-month period ended on August 30, 2025, was $46.9 million of net sales and $2.2 million of net loss.</w:t>
      </w:r>
    </w:p>
    <w:p>
      <w:pPr>
        <w:spacing w:after="0" w:line="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following supplemental unaudited pro forma information presents our financial results as if the acquisition of UW Solutions had occurred on March 3, 2024. This supplemental pro forma information has been prepared for comparative purposes and would not necessarily indicate what may have occurred if the acquisition had been completed on March 3, 2024, and this information is not intended to be indicative of future results.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earnings per share data)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56"/>
        </w:trPr>
        <w:tc>
          <w:tcPr>
            <w:tcW w:w="73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vMerge w:val="restart"/>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vMerge w:val="restart"/>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0" w:type="dxa"/>
            <w:vAlign w:val="bottom"/>
          </w:tcPr>
          <w:p>
            <w:pPr>
              <w:spacing w:after="0"/>
              <w:rPr>
                <w:sz w:val="1"/>
                <w:szCs w:val="1"/>
                <w:color w:val="auto"/>
              </w:rPr>
            </w:pPr>
          </w:p>
        </w:tc>
      </w:tr>
      <w:tr>
        <w:trPr>
          <w:trHeight w:val="143"/>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(Unaudited)</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363,410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718,037</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27,466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51,693</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Nonrecurring charges of $4.4 million of transaction costs, $2.1 million of integration costs, $2.3 million of amortization of acquired backlog, and $1.5 million of inventory step-up expense incurred in the third and fourth quarters of fiscal 2025 are reflected as if those charges were incurred in the first and second quarters of the fiscal 2025 supplemental pro forma earnings. Nonrecurring charges of $0.2 million of integration costs incurred in the first quarter of fiscal 2026 are reflected as if those charges were incurred in the first and second quarter of fiscal 2025 supplemental pro forma earnings.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These amounts have been calculated after applying our accounting policies and adjusting the results of UW Solutions to reflect the effect of definite-lived intangible assets recognized as part of the business combination on amortization expense as if the acquisition had occurred on March 3,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Restructuring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fourth quarter of fiscal 2024, we announced strategic actions to streamline our business operations, enable a more efficient cost model, and better position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for profitable growth (referred to as “Project Fortify”). Project Fortify primarily impacted the Architectural Metals Segment and included:</w:t>
      </w:r>
    </w:p>
    <w:p>
      <w:pPr>
        <w:spacing w:after="0" w:line="74" w:lineRule="exact"/>
        <w:rPr>
          <w:sz w:val="20"/>
          <w:szCs w:val="20"/>
          <w:color w:val="auto"/>
        </w:rPr>
      </w:pPr>
    </w:p>
    <w:p>
      <w:pPr>
        <w:ind w:left="580" w:hanging="286"/>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Eliminating certain lower-margin product and service offerings, enabling consolidation into a single operating entity.</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Transferring production operations from the Company’s facility in Walker, Michigan, to the Company’s facilities in Monett, Missouri and Wausau, Wisconsin.</w:t>
      </w:r>
    </w:p>
    <w:p>
      <w:pPr>
        <w:spacing w:after="0" w:line="115" w:lineRule="exact"/>
        <w:rPr>
          <w:rFonts w:ascii="Times New Roman" w:cs="Times New Roman" w:eastAsia="Times New Roman" w:hAnsi="Times New Roman"/>
          <w:sz w:val="14"/>
          <w:szCs w:val="14"/>
          <w:color w:val="auto"/>
        </w:rPr>
      </w:pPr>
    </w:p>
    <w:p>
      <w:pPr>
        <w:ind w:left="580" w:right="40" w:hanging="286"/>
        <w:spacing w:after="0" w:line="259"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Simplifying the segment’s brand portfolio and commercial model to improve flexibility, better leverage the Company’s capabilities, and enhance customer service.</w:t>
      </w:r>
    </w:p>
    <w:p>
      <w:pPr>
        <w:spacing w:after="0" w:line="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Additionally, the Company implemented actions to optimize processes and streamline resources in its Architectural Services Segment and Corporate and Other. The Company completed Project Fortify during the fourth quarter of fiscal 2025 and incurred a total of $16.7 million of restructuring charges, which led to an annualized pre-tax cost savings of approximately $14 million.</w:t>
      </w:r>
    </w:p>
    <w:p>
      <w:pPr>
        <w:spacing w:after="0" w:line="6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April 23, 2025, we announced a second phase of Project Fortify (referred to as "Project Fortify Phase 2" or "Phase 2") to drive further cost efficiencies, primarily in the Architectural Metals and Architectural Services Segments. Phase 2 focuses on further optimizing our operating footprint and aligning resources to enable a more effective operating model. We expect to incur approximately $24 million to $26 million of pre-tax charges associated with Phase 2. The total charges are expected to include the following:</w:t>
      </w:r>
    </w:p>
    <w:p>
      <w:pPr>
        <w:spacing w:after="0" w:line="71" w:lineRule="exact"/>
        <w:rPr>
          <w:sz w:val="20"/>
          <w:szCs w:val="20"/>
          <w:color w:val="auto"/>
        </w:rPr>
      </w:pPr>
    </w:p>
    <w:p>
      <w:pPr>
        <w:ind w:left="580" w:hanging="286"/>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 million to $10 million of severance and employee related costs;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million to $6 million of contract termination costs; and</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 million to $10 million of other expenses.</w:t>
      </w:r>
    </w:p>
    <w:p>
      <w:pPr>
        <w:spacing w:after="0" w:line="9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expect the actions associated with Phase 2 to be substantially completed by the end of the fourth quarter of fiscal 2026 and expect them to deliver annualized pre-tax cost savings of approximately $13 million to $15 million.</w:t>
      </w:r>
    </w:p>
    <w:p>
      <w:pPr>
        <w:spacing w:after="0" w:line="5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4"/>
          <w:szCs w:val="14"/>
          <w:color w:val="auto"/>
        </w:rPr>
        <w:t>During the second quarter of fiscal 2026, we incurred $3.1 million of pre-tax costs associated with Phase 2, of which $ 3.0 million is included in cost of sales and $0.1 million is included within SG&amp;A. During the first six months of fiscal 2026, we incurred $18.5 million of pre-tax costs associated with Phase 2, of which, $9.9 million is included in cost of sales and $8.6 million is included within SG&amp;A. For the six months ended August 30, 2025, SG&amp;A charges include a $5.0 million non-cash intangible asset impairment charge in the Architectural Services segment and a $2.6 million non-cash asset write-off and other charges in Corporate and Other.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reflects the pretax impact of Project Fortify for the quarters ended August 30, 2025, and August 31, 2024,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August 30, 2025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 benefits</w:t>
            </w:r>
          </w:p>
        </w:tc>
        <w:tc>
          <w:tcPr>
            <w:tcW w:w="640" w:type="dxa"/>
            <w:vAlign w:val="bottom"/>
            <w:gridSpan w:val="2"/>
          </w:tcPr>
          <w:p>
            <w:pPr>
              <w:jc w:val="center"/>
              <w:ind w:right="30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restructuring charges</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restructuring charges</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right="38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Termination benefits</w:t>
            </w:r>
          </w:p>
        </w:tc>
        <w:tc>
          <w:tcPr>
            <w:tcW w:w="640" w:type="dxa"/>
            <w:vAlign w:val="bottom"/>
            <w:gridSpan w:val="2"/>
            <w:shd w:val="clear" w:color="auto" w:fill="CCEEFF"/>
          </w:tcPr>
          <w:p>
            <w:pPr>
              <w:jc w:val="center"/>
              <w:ind w:right="30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271</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0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charges</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restructuring charges</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center"/>
              <w:ind w:right="38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160" w:type="dxa"/>
            <w:vAlign w:val="bottom"/>
          </w:tcPr>
          <w:p>
            <w:pPr>
              <w:spacing w:after="0"/>
              <w:rPr>
                <w:sz w:val="24"/>
                <w:szCs w:val="24"/>
                <w:color w:val="auto"/>
              </w:rPr>
            </w:pPr>
          </w:p>
        </w:tc>
        <w:tc>
          <w:tcPr>
            <w:tcW w:w="640" w:type="dxa"/>
            <w:vAlign w:val="bottom"/>
            <w:gridSpan w:val="2"/>
          </w:tcPr>
          <w:p>
            <w:pPr>
              <w:jc w:val="center"/>
              <w:ind w:right="324"/>
              <w:spacing w:after="0"/>
              <w:rPr>
                <w:sz w:val="20"/>
                <w:szCs w:val="20"/>
                <w:color w:val="auto"/>
              </w:rPr>
            </w:pPr>
            <w:r>
              <w:rPr>
                <w:rFonts w:ascii="Times New Roman" w:cs="Times New Roman" w:eastAsia="Times New Roman" w:hAnsi="Times New Roman"/>
                <w:sz w:val="16"/>
                <w:szCs w:val="16"/>
                <w:color w:val="auto"/>
                <w:w w:val="99"/>
              </w:rPr>
              <w:t>21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1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560" w:type="dxa"/>
            <w:vAlign w:val="bottom"/>
            <w:tcBorders>
              <w:bottom w:val="single" w:sz="8" w:color="EEEEEE"/>
            </w:tcBorders>
          </w:tcPr>
          <w:p>
            <w:pPr>
              <w:spacing w:after="0"/>
              <w:rPr>
                <w:sz w:val="8"/>
                <w:szCs w:val="8"/>
                <w:color w:val="auto"/>
              </w:rPr>
            </w:pPr>
          </w:p>
        </w:tc>
        <w:tc>
          <w:tcPr>
            <w:tcW w:w="7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1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90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reflects the pretax impact of Project Fortify for the six months ended August 30, 2025, and August 31, 2024,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August 30, 2025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 benefits</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0" w:type="dxa"/>
            <w:vAlign w:val="bottom"/>
          </w:tcPr>
          <w:p>
            <w:pPr>
              <w:spacing w:after="0"/>
              <w:rPr>
                <w:sz w:val="1"/>
                <w:szCs w:val="1"/>
                <w:color w:val="auto"/>
              </w:rPr>
            </w:pPr>
          </w:p>
        </w:tc>
      </w:tr>
      <w:tr>
        <w:trPr>
          <w:trHeight w:val="204"/>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restructuring charges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0" w:type="dxa"/>
            <w:vAlign w:val="bottom"/>
          </w:tcPr>
          <w:p>
            <w:pPr>
              <w:spacing w:after="0"/>
              <w:rPr>
                <w:sz w:val="1"/>
                <w:szCs w:val="1"/>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restructuring charges</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Termination benefits</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termination costs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charges</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restructuring charges</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2026.</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1"/>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1, 2025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6"/>
                <w:szCs w:val="16"/>
                <w:color w:val="auto"/>
                <w:w w:val="99"/>
              </w:rPr>
              <w:t>2,447</w:t>
            </w:r>
          </w:p>
        </w:tc>
      </w:tr>
      <w:tr>
        <w:trPr>
          <w:trHeight w:val="20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6,050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w w:val="99"/>
              </w:rPr>
              <w:t>7,627</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w w:val="98"/>
              </w:rPr>
              <w:t>(4,166)</w:t>
            </w:r>
          </w:p>
        </w:tc>
      </w:tr>
      <w:tr>
        <w:trPr>
          <w:trHeight w:val="19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August 30, 2025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3,828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6"/>
                <w:szCs w:val="16"/>
                <w:color w:val="auto"/>
                <w:w w:val="99"/>
              </w:rPr>
              <w:t>5,908</w:t>
            </w:r>
          </w:p>
        </w:tc>
      </w:tr>
      <w:tr>
        <w:trPr>
          <w:trHeight w:val="20"/>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charges presented in the roll forward of our restructuring accruals do not include items charged directly to expense as incurred, as those items are not reflected in accrued payroll and related benefits and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ind w:right="3940"/>
        <w:spacing w:after="0" w:line="361"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7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March 1, 2025, and in subsequent filings with the U.S. Securities and Exchange Commission, including this Quarterly Report on Form 10-Q.</w:t>
      </w:r>
    </w:p>
    <w:p>
      <w:pPr>
        <w:spacing w:after="0" w:line="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Measures</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have included in this report measures of financial performance that are not defined by U.S. GAAP. We believe that these measures provide useful information and include these measures in other communications to investors. For each of these non- GAAP financial measures, we provide a reconciliation of the differences between the non-GAAP measure and the most directly comparable U.S. GAAP measure (see “Reconciliation of Non-GAAP Financial Measures” in this Item 2 below), and an explanation of why we believe the non-GAAP measure provides useful information to management and investors. These non-GAAP measures should be viewed in addition to, and not in lieu of, the comparable U.S. GAAP measure.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We are a leading provider of architectural products and services for enclosing buildings, and high-performance coating products used in applications for preservation, protection and enhanced viewing. Our four reporting segments are: Architectural Metals, Architectural Services, Architectural Glass, and Performance Surfaces.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enterprise strategy is based on the following three key elements:</w:t>
      </w:r>
    </w:p>
    <w:p>
      <w:pPr>
        <w:spacing w:after="0" w:line="90" w:lineRule="exact"/>
        <w:rPr>
          <w:sz w:val="20"/>
          <w:szCs w:val="20"/>
          <w:color w:val="auto"/>
        </w:rPr>
      </w:pPr>
    </w:p>
    <w:p>
      <w:pPr>
        <w:jc w:val="both"/>
        <w:ind w:left="580" w:right="20" w:hanging="286"/>
        <w:spacing w:after="0" w:line="301" w:lineRule="auto"/>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Become the economic leader in our target markets. </w:t>
      </w:r>
      <w:r>
        <w:rPr>
          <w:rFonts w:ascii="Times New Roman" w:cs="Times New Roman" w:eastAsia="Times New Roman" w:hAnsi="Times New Roman"/>
          <w:sz w:val="14"/>
          <w:szCs w:val="14"/>
          <w:color w:val="auto"/>
        </w:rPr>
        <w:t>We have developed a deep understanding of our target markets and aligned our businesses 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30" w:lineRule="exact"/>
        <w:rPr>
          <w:rFonts w:ascii="Times New Roman" w:cs="Times New Roman" w:eastAsia="Times New Roman" w:hAnsi="Times New Roman"/>
          <w:sz w:val="14"/>
          <w:szCs w:val="14"/>
          <w:color w:val="auto"/>
        </w:rPr>
      </w:pPr>
    </w:p>
    <w:p>
      <w:pPr>
        <w:jc w:val="both"/>
        <w:ind w:left="580" w:hanging="286"/>
        <w:spacing w:after="0" w:line="284" w:lineRule="auto"/>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Actively manage our portfolio to drive higher margins and returns .</w:t>
      </w:r>
      <w:r>
        <w:rPr>
          <w:rFonts w:ascii="Times New Roman" w:cs="Times New Roman" w:eastAsia="Times New Roman" w:hAnsi="Times New Roman"/>
          <w:sz w:val="14"/>
          <w:szCs w:val="14"/>
          <w:color w:val="auto"/>
        </w:rPr>
        <w:t>We are shifting our business mix toward higher operating margin offerings in order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improve our return on invested capital performance. We accomplish this by allocating resources to grow our top performing businesses, actively addressing underperforming businesses, and investing to add new differentiated product and service offerings to accelerate our growth and increase margins. We continually analyze our current portfolio of products, services, and capabilities to identify the best areas for future profitable growth. We also evaluate inorganic opportunities where we can deploy capital to acquire businesses that will be accretive to our long-term growth rate and operating margins.</w:t>
      </w:r>
    </w:p>
    <w:p>
      <w:pPr>
        <w:spacing w:after="0" w:line="43" w:lineRule="exact"/>
        <w:rPr>
          <w:rFonts w:ascii="Times New Roman" w:cs="Times New Roman" w:eastAsia="Times New Roman" w:hAnsi="Times New Roman"/>
          <w:sz w:val="14"/>
          <w:szCs w:val="14"/>
          <w:color w:val="auto"/>
        </w:rPr>
      </w:pPr>
    </w:p>
    <w:p>
      <w:pPr>
        <w:jc w:val="both"/>
        <w:ind w:left="580" w:right="20" w:hanging="286"/>
        <w:spacing w:after="0" w:line="301" w:lineRule="auto"/>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Strengthen our core capabilities. </w:t>
      </w:r>
      <w:r>
        <w:rPr>
          <w:rFonts w:ascii="Times New Roman" w:cs="Times New Roman" w:eastAsia="Times New Roman" w:hAnsi="Times New Roman"/>
          <w:sz w:val="14"/>
          <w:szCs w:val="14"/>
          <w:color w:val="auto"/>
        </w:rPr>
        <w:t>We are shifting from our historical, decentralized operating model to one with center-led functional expertise that enables 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leverage the scale of the enterprise to better support the needs of the business. We have established a Company-wide operating system with common tools and processes based on the foundation of Lean and Continuous Improvement, which we call the “Apogee Management System.” Our strategy is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ind w:right="720" w:firstLine="576"/>
        <w:spacing w:after="0" w:line="360" w:lineRule="auto"/>
        <w:rPr>
          <w:sz w:val="20"/>
          <w:szCs w:val="20"/>
          <w:color w:val="auto"/>
        </w:rPr>
      </w:pPr>
      <w:r>
        <w:rPr>
          <w:rFonts w:ascii="Times New Roman" w:cs="Times New Roman" w:eastAsia="Times New Roman" w:hAnsi="Times New Roman"/>
          <w:sz w:val="16"/>
          <w:szCs w:val="16"/>
          <w:color w:val="auto"/>
        </w:rPr>
        <w:t xml:space="preserve">supported by a robust talent management program and a commitment to strong governance to ensure compliance and drive sustainable performance. </w:t>
      </w:r>
      <w:r>
        <w:rPr>
          <w:rFonts w:ascii="Times New Roman" w:cs="Times New Roman" w:eastAsia="Times New Roman" w:hAnsi="Times New Roman"/>
          <w:sz w:val="16"/>
          <w:szCs w:val="16"/>
          <w:b w:val="1"/>
          <w:bCs w:val="1"/>
          <w:color w:val="auto"/>
        </w:rPr>
        <w:t>Recent Developments</w:t>
      </w: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On April 23, 2025, we announced an extension of Project Fortify ("Project Fortify Phase 2" or "Phase 2") to drive further cost efficiencies, primarily in the Architectural Metals and Architectural Services Segments. Phase 2 focuses on further optimizing our operating footprint and aligning resources to enable a more effective operating model. We expect the actions of Phase 2 to incur approximately $24.0 million to $26.0 million of pre- tax charges. Phase 2 is expected to deliver annualized pre-tax cost savings of approximately $13.0 million to $15.0 million. We expect the actions associated with Phase 2 to be substantially completed by the end of the fourth quarter of fiscal 2026. See Note 14 for additional information.</w:t>
      </w:r>
    </w:p>
    <w:p>
      <w:pPr>
        <w:spacing w:after="0" w:line="7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following selected financial data should be read in conjunction with the Company’s Form 10-K for the year ended March 1, 2025, and the consolidated financial statements, including the notes to consolidated financial statements, included therein.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provide various components of operations as year over year U.S. dollar and percentage change, as well as a percentage of net sales.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2780" w:type="dxa"/>
            <w:vAlign w:val="bottom"/>
            <w:tcBorders>
              <w:bottom w:val="single" w:sz="8" w:color="auto"/>
            </w:tcBorders>
            <w:gridSpan w:val="3"/>
          </w:tcPr>
          <w:p>
            <w:pPr>
              <w:jc w:val="right"/>
              <w:ind w:right="904"/>
              <w:spacing w:after="0"/>
              <w:rPr>
                <w:sz w:val="20"/>
                <w:szCs w:val="20"/>
                <w:color w:val="auto"/>
              </w:rPr>
            </w:pPr>
            <w:r>
              <w:rPr>
                <w:rFonts w:ascii="Times New Roman" w:cs="Times New Roman" w:eastAsia="Times New Roman" w:hAnsi="Times New Roman"/>
                <w:sz w:val="13"/>
                <w:szCs w:val="13"/>
                <w:b w:val="1"/>
                <w:bCs w:val="1"/>
                <w:color w:val="auto"/>
              </w:rPr>
              <w:t>% of Net Sales</w:t>
            </w:r>
          </w:p>
        </w:tc>
      </w:tr>
      <w:tr>
        <w:trPr>
          <w:trHeight w:val="17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1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9"/>
              </w:rPr>
              <w:t>August 30,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80" w:type="dxa"/>
            <w:vAlign w:val="bottom"/>
          </w:tcPr>
          <w:p>
            <w:pPr>
              <w:spacing w:after="0"/>
              <w:rPr>
                <w:sz w:val="15"/>
                <w:szCs w:val="15"/>
                <w:color w:val="auto"/>
              </w:rPr>
            </w:pPr>
          </w:p>
        </w:tc>
        <w:tc>
          <w:tcPr>
            <w:tcW w:w="134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August 31, 2024</w:t>
            </w:r>
          </w:p>
        </w:tc>
      </w:tr>
      <w:tr>
        <w:trPr>
          <w:trHeight w:val="198"/>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342,440</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76.9 %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71.6 %</w:t>
            </w:r>
          </w:p>
        </w:tc>
      </w:tr>
      <w:tr>
        <w:trPr>
          <w:trHeight w:val="197"/>
        </w:trPr>
        <w:tc>
          <w:tcPr>
            <w:tcW w:w="526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97,321</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197"/>
        </w:trPr>
        <w:tc>
          <w:tcPr>
            <w:tcW w:w="526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41,965</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05"/>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96"/>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41,115</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05"/>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196"/>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r>
      <w:tr>
        <w:trPr>
          <w:trHeight w:val="368"/>
        </w:trPr>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8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904"/>
              <w:spacing w:after="0"/>
              <w:rPr>
                <w:sz w:val="20"/>
                <w:szCs w:val="20"/>
                <w:color w:val="auto"/>
              </w:rPr>
            </w:pPr>
            <w:r>
              <w:rPr>
                <w:rFonts w:ascii="Times New Roman" w:cs="Times New Roman" w:eastAsia="Times New Roman" w:hAnsi="Times New Roman"/>
                <w:sz w:val="13"/>
                <w:szCs w:val="13"/>
                <w:b w:val="1"/>
                <w:bCs w:val="1"/>
                <w:color w:val="auto"/>
              </w:rPr>
              <w:t>% of Net Sales</w:t>
            </w:r>
          </w:p>
        </w:tc>
      </w:tr>
      <w:tr>
        <w:trPr>
          <w:trHeight w:val="17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1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9"/>
              </w:rPr>
              <w:t>August 30,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80" w:type="dxa"/>
            <w:vAlign w:val="bottom"/>
          </w:tcPr>
          <w:p>
            <w:pPr>
              <w:spacing w:after="0"/>
              <w:rPr>
                <w:sz w:val="15"/>
                <w:szCs w:val="15"/>
                <w:color w:val="auto"/>
              </w:rPr>
            </w:pPr>
          </w:p>
        </w:tc>
        <w:tc>
          <w:tcPr>
            <w:tcW w:w="134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August 31, 2024</w:t>
            </w:r>
          </w:p>
        </w:tc>
      </w:tr>
      <w:tr>
        <w:trPr>
          <w:trHeight w:val="198"/>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673,956</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70.9 %</w:t>
            </w:r>
          </w:p>
        </w:tc>
      </w:tr>
      <w:tr>
        <w:trPr>
          <w:trHeight w:val="197"/>
        </w:trPr>
        <w:tc>
          <w:tcPr>
            <w:tcW w:w="526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196,176</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29.1 %</w:t>
            </w: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197"/>
        </w:trPr>
        <w:tc>
          <w:tcPr>
            <w:tcW w:w="526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83,346</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5"/>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96"/>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82,189</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05"/>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196"/>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25.1 %</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Second Quarter Fiscal 2026 to Second Quarter Fiscal 2025</w:t>
      </w:r>
    </w:p>
    <w:p>
      <w:pPr>
        <w:spacing w:after="0" w:line="94" w:lineRule="exact"/>
        <w:rPr>
          <w:sz w:val="20"/>
          <w:szCs w:val="20"/>
          <w:color w:val="auto"/>
        </w:rPr>
      </w:pPr>
    </w:p>
    <w:p>
      <w:pPr>
        <w:jc w:val="both"/>
        <w:ind w:left="580" w:hanging="286"/>
        <w:spacing w:after="0" w:line="247"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net sales increased 4.6%, to $358.2 million, driven by $24.9 million of inorganic sales contribution from the acquisition of UW Solutions and higher volume in Architectural Services. This was partially offset by lower volume and price in Architectural Glass and unfavorable product mix in Architectural Metals.</w:t>
      </w:r>
    </w:p>
    <w:p>
      <w:pPr>
        <w:spacing w:after="0" w:line="6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decreased to 23.1%, compared to 28.4%, primarily due to lower price and volume, unfavorable mix, and higher material, tariff, and health insurance costs, partially offset by lower incentive compensation expense.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ind w:left="580" w:right="20" w:hanging="286"/>
        <w:spacing w:after="0" w:line="259"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SG&amp;A expense as a percent of net sales decreased to 15.6%, compared to 16.2%. The decrease was primarily due to lower incentive compensation expense, partially offset by higher amortization expense and integration costs related to the UW Solutions acquisition.</w:t>
      </w:r>
    </w:p>
    <w:p>
      <w:pPr>
        <w:spacing w:after="0" w:line="5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declined to $26.9 million from $42.0 million, and operating margin decreased 480 basis points to 7.5%.</w:t>
      </w:r>
    </w:p>
    <w:p>
      <w:pPr>
        <w:spacing w:after="0" w:line="92"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decreased to $44.4 million compared to $53.1 million and adjusted EBITDA margin decreased to 12.4% compared to 15.5%. The decrease in adjusted EBITDA margin was primarily driven by lower price and volume, unfavorable mix and higher material, tariff, and health insurance costs, partially offset by lower incentive compensation expense.</w:t>
      </w:r>
    </w:p>
    <w:p>
      <w:pPr>
        <w:spacing w:after="0" w:line="6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increased to $4.1 million, primarily due to higher debt resulting from the acquisition of UW Solutions.</w:t>
      </w:r>
    </w:p>
    <w:p>
      <w:pPr>
        <w:spacing w:after="0" w:line="92"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was $5.1 million compared to $0.3 million. The change was due to a $4.6 million gain related to a New Market Tax Credit recognized in the current period.</w:t>
      </w:r>
    </w:p>
    <w:p>
      <w:pPr>
        <w:spacing w:after="0" w:line="59"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expense as a percentage of earnings before income tax was 15.4%, compared to 25.7%. The decrease in the effective tax rate was primarily due to a decrease in tax expense for discrete items.</w:t>
      </w:r>
    </w:p>
    <w:p>
      <w:pPr>
        <w:spacing w:after="0" w:line="5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earnings were $23.6 million compared to $30.6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First Six Months Fiscal 2026 to First Six Months Fiscal 2025</w:t>
      </w:r>
    </w:p>
    <w:p>
      <w:pPr>
        <w:spacing w:after="0" w:line="94" w:lineRule="exact"/>
        <w:rPr>
          <w:sz w:val="20"/>
          <w:szCs w:val="20"/>
          <w:color w:val="auto"/>
        </w:rPr>
      </w:pPr>
    </w:p>
    <w:p>
      <w:pPr>
        <w:jc w:val="both"/>
        <w:ind w:left="580" w:right="20" w:hanging="286"/>
        <w:spacing w:after="0" w:line="247"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net sales increased 4.6%, to $704.8 million, primarily driven by $46.6 million of inorganic sales contribution from the acquisition of UW Solutions and higher volume in Architectural Services. This was partially offset by lower price in Architectural Glass and a less favorable product mix in Architectural Metals.</w:t>
      </w:r>
    </w:p>
    <w:p>
      <w:pPr>
        <w:spacing w:after="0" w:line="6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decreased to 22.4%, compared to 29.1%, primarily due to lower price and volume, unfavorable mix, and higher material, tariff, health insurance costs, and restructuring charges, partially offset by lower incentive compensation expenses.</w:t>
      </w:r>
    </w:p>
    <w:p>
      <w:pPr>
        <w:spacing w:after="0" w:line="59"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SG&amp;A expenses as a percent of net sales increased to 17.6%, compared to 16.7%. The increase was primarily due to increased restructuring charges and increased amortization expense associated with the UW Solutions transaction, partially offset by lower incentive compensation expense.</w:t>
      </w:r>
    </w:p>
    <w:p>
      <w:pPr>
        <w:spacing w:after="0" w:line="5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declined to $33.8 million from $83.3 million, and operating margin decreased 760 basis points to 4.8%.</w:t>
      </w:r>
    </w:p>
    <w:p>
      <w:pPr>
        <w:spacing w:after="0" w:line="92"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decreased to $78.8 million compared to $105.7 million and adjusted EBITDA margin decreased to 11.2% compared to 15.7%. The decrease in adjusted EBITDA margin was primarily driven by lower price and volume, a less favorable mix and higher material, tariff and health insurance costs, partially offset by lower incentive compensation expense.</w:t>
      </w:r>
    </w:p>
    <w:p>
      <w:pPr>
        <w:spacing w:after="0" w:line="6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net increased to $7.9 million, primarily due to increased debt resulting from the acquisition of UW Solutions.</w:t>
      </w:r>
    </w:p>
    <w:p>
      <w:pPr>
        <w:spacing w:after="0" w:line="92"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was $4.5 million compared to $0.4 million. The change was driven by a $4.6 million gain from a New Market Tax Credit recognized in the current period.</w:t>
      </w:r>
    </w:p>
    <w:p>
      <w:pPr>
        <w:spacing w:after="0" w:line="59"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expense as a percentage of earnings before income tax was 30.9%, compared to 25.1% for the same period last year. The increase in the effective tax rate was primarily due to lower earnings before income taxes, partially offset by a decrease in tax expense for discrete items.</w:t>
      </w:r>
    </w:p>
    <w:p>
      <w:pPr>
        <w:spacing w:after="0" w:line="5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earnings was $21.0 million compared to $61.6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Analysis</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have four operating segments which are also reportable segments. Each of our four segments have distinct economic characteristics, including products and services provided, production processes and varying ranges in performance and results.</w:t>
      </w:r>
    </w:p>
    <w:p>
      <w:pPr>
        <w:spacing w:after="0" w:line="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evaluate the performance of our segments based on segment net sales and adjusted earnings before interest, taxes, depreciation and amortization (EBITDA). Our CEO is our chief operating decision maker (CODM). The CODM uses these measurements to assess segment performance and make decisions about the allocation of operating and capital resources by analyzing recent results, trends, and variances of each segment in relation to forecasts and historical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segment measurements provided to, and evaluated by, the CODM are described in Note 12 of our unaudited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net sales, adjusted EBITDA and adjusted EBITDA margin by segment and the consolidated total.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w w:val="99"/>
              </w:rPr>
              <w:t>Six Months Ended</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160" w:type="dxa"/>
            <w:vAlign w:val="bottom"/>
          </w:tcPr>
          <w:p>
            <w:pPr>
              <w:spacing w:after="0"/>
              <w:rPr>
                <w:sz w:val="15"/>
                <w:szCs w:val="15"/>
                <w:color w:val="auto"/>
              </w:rPr>
            </w:pPr>
          </w:p>
        </w:tc>
        <w:tc>
          <w:tcPr>
            <w:tcW w:w="1220" w:type="dxa"/>
            <w:vAlign w:val="bottom"/>
            <w:gridSpan w:val="2"/>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100" w:type="dxa"/>
            <w:vAlign w:val="bottom"/>
          </w:tcPr>
          <w:p>
            <w:pPr>
              <w:spacing w:after="0"/>
              <w:rPr>
                <w:sz w:val="15"/>
                <w:szCs w:val="15"/>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August 31, 2024</w:t>
            </w:r>
          </w:p>
        </w:tc>
        <w:tc>
          <w:tcPr>
            <w:tcW w:w="80" w:type="dxa"/>
            <w:vAlign w:val="bottom"/>
          </w:tcPr>
          <w:p>
            <w:pPr>
              <w:spacing w:after="0"/>
              <w:rPr>
                <w:sz w:val="15"/>
                <w:szCs w:val="15"/>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98"/>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net sales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140,935</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141,350</w:t>
            </w:r>
          </w:p>
        </w:tc>
        <w:tc>
          <w:tcPr>
            <w:tcW w:w="100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(0.3)%</w:t>
            </w:r>
          </w:p>
        </w:tc>
        <w:tc>
          <w:tcPr>
            <w:tcW w:w="3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269,559</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274,522</w:t>
            </w:r>
          </w:p>
        </w:tc>
        <w:tc>
          <w:tcPr>
            <w:tcW w:w="9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0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100,490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98,018</w:t>
            </w:r>
          </w:p>
        </w:tc>
        <w:tc>
          <w:tcPr>
            <w:tcW w:w="100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5"/>
              </w:rPr>
              <w:t>2.5%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206,995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197,045</w:t>
            </w:r>
          </w:p>
        </w:tc>
        <w:tc>
          <w:tcPr>
            <w:tcW w:w="9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5"/>
              </w:rPr>
              <w:t>5.0%</w:t>
            </w:r>
          </w:p>
        </w:tc>
        <w:tc>
          <w:tcPr>
            <w:tcW w:w="0" w:type="dxa"/>
            <w:vAlign w:val="bottom"/>
          </w:tcPr>
          <w:p>
            <w:pPr>
              <w:spacing w:after="0"/>
              <w:rPr>
                <w:sz w:val="1"/>
                <w:szCs w:val="1"/>
                <w:color w:val="auto"/>
              </w:rPr>
            </w:pPr>
          </w:p>
        </w:tc>
      </w:tr>
      <w:tr>
        <w:trPr>
          <w:trHeight w:val="2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72,181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90,101</w:t>
            </w:r>
          </w:p>
        </w:tc>
        <w:tc>
          <w:tcPr>
            <w:tcW w:w="10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(19.9)%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145,454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176,804</w:t>
            </w:r>
          </w:p>
        </w:tc>
        <w:tc>
          <w:tcPr>
            <w:tcW w:w="9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(17.7)%</w:t>
            </w:r>
          </w:p>
        </w:tc>
        <w:tc>
          <w:tcPr>
            <w:tcW w:w="0" w:type="dxa"/>
            <w:vAlign w:val="bottom"/>
          </w:tcPr>
          <w:p>
            <w:pPr>
              <w:spacing w:after="0"/>
              <w:rPr>
                <w:sz w:val="1"/>
                <w:szCs w:val="1"/>
                <w:color w:val="auto"/>
              </w:rPr>
            </w:pPr>
          </w:p>
        </w:tc>
      </w:tr>
      <w:tr>
        <w:trPr>
          <w:trHeight w:val="20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48,390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19,832</w:t>
            </w:r>
          </w:p>
        </w:tc>
        <w:tc>
          <w:tcPr>
            <w:tcW w:w="100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7"/>
              </w:rPr>
              <w:t>144.0%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90,640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41,036</w:t>
            </w:r>
          </w:p>
        </w:tc>
        <w:tc>
          <w:tcPr>
            <w:tcW w:w="9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7"/>
              </w:rPr>
              <w:t>120.9%</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segment sales</w:t>
            </w:r>
          </w:p>
        </w:tc>
        <w:tc>
          <w:tcPr>
            <w:tcW w:w="160" w:type="dxa"/>
            <w:vAlign w:val="bottom"/>
          </w:tcPr>
          <w:p>
            <w:pPr>
              <w:spacing w:after="0"/>
              <w:rPr>
                <w:sz w:val="17"/>
                <w:szCs w:val="17"/>
                <w:color w:val="auto"/>
              </w:rPr>
            </w:pPr>
          </w:p>
        </w:tc>
        <w:tc>
          <w:tcPr>
            <w:tcW w:w="12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361,996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349,301</w:t>
            </w:r>
          </w:p>
        </w:tc>
        <w:tc>
          <w:tcPr>
            <w:tcW w:w="100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5"/>
              </w:rPr>
              <w:t>3.6%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712,648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689,407</w:t>
            </w:r>
          </w:p>
        </w:tc>
        <w:tc>
          <w:tcPr>
            <w:tcW w:w="9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5"/>
              </w:rPr>
              <w:t>3.4%</w:t>
            </w:r>
          </w:p>
        </w:tc>
        <w:tc>
          <w:tcPr>
            <w:tcW w:w="0" w:type="dxa"/>
            <w:vAlign w:val="bottom"/>
          </w:tcPr>
          <w:p>
            <w:pPr>
              <w:spacing w:after="0"/>
              <w:rPr>
                <w:sz w:val="1"/>
                <w:szCs w:val="1"/>
                <w:color w:val="auto"/>
              </w:rPr>
            </w:pPr>
          </w:p>
        </w:tc>
      </w:tr>
      <w:tr>
        <w:trPr>
          <w:trHeight w:val="205"/>
        </w:trPr>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4"/>
              </w:rPr>
              <w:t>(3,802)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8"/>
              </w:rPr>
              <w:t>(6,861)</w:t>
            </w:r>
          </w:p>
        </w:tc>
        <w:tc>
          <w:tcPr>
            <w:tcW w:w="100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(44.6)%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8"/>
              </w:rPr>
              <w:t>(7,832)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(15,451)</w:t>
            </w:r>
          </w:p>
        </w:tc>
        <w:tc>
          <w:tcPr>
            <w:tcW w:w="9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(49.3)%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358,194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342,440</w:t>
            </w:r>
          </w:p>
        </w:tc>
        <w:tc>
          <w:tcPr>
            <w:tcW w:w="100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5"/>
              </w:rPr>
              <w:t>4.6%</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704,816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673,956</w:t>
            </w:r>
          </w:p>
        </w:tc>
        <w:tc>
          <w:tcPr>
            <w:tcW w:w="9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5"/>
              </w:rPr>
              <w:t>4.6%</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68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spacing w:after="0"/>
              <w:rPr>
                <w:sz w:val="17"/>
                <w:szCs w:val="17"/>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20,828</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22,229</w:t>
            </w:r>
          </w:p>
        </w:tc>
        <w:tc>
          <w:tcPr>
            <w:tcW w:w="100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(6.3)%</w:t>
            </w:r>
          </w:p>
        </w:tc>
        <w:tc>
          <w:tcPr>
            <w:tcW w:w="3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30,195</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46,070</w:t>
            </w:r>
          </w:p>
        </w:tc>
        <w:tc>
          <w:tcPr>
            <w:tcW w:w="9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(34.5)%</w:t>
            </w:r>
          </w:p>
        </w:tc>
        <w:tc>
          <w:tcPr>
            <w:tcW w:w="0" w:type="dxa"/>
            <w:vAlign w:val="bottom"/>
          </w:tcPr>
          <w:p>
            <w:pPr>
              <w:spacing w:after="0"/>
              <w:rPr>
                <w:sz w:val="1"/>
                <w:szCs w:val="1"/>
                <w:color w:val="auto"/>
              </w:rPr>
            </w:pPr>
          </w:p>
        </w:tc>
      </w:tr>
      <w:tr>
        <w:trPr>
          <w:trHeight w:val="20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7,344</w:t>
            </w:r>
          </w:p>
        </w:tc>
        <w:tc>
          <w:tcPr>
            <w:tcW w:w="100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(31.7)%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11,084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13,917</w:t>
            </w:r>
          </w:p>
        </w:tc>
        <w:tc>
          <w:tcPr>
            <w:tcW w:w="9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(20.4)%</w:t>
            </w:r>
          </w:p>
        </w:tc>
        <w:tc>
          <w:tcPr>
            <w:tcW w:w="0" w:type="dxa"/>
            <w:vAlign w:val="bottom"/>
          </w:tcPr>
          <w:p>
            <w:pPr>
              <w:spacing w:after="0"/>
              <w:rPr>
                <w:sz w:val="1"/>
                <w:szCs w:val="1"/>
                <w:color w:val="auto"/>
              </w:rPr>
            </w:pPr>
          </w:p>
        </w:tc>
      </w:tr>
      <w:tr>
        <w:trPr>
          <w:trHeight w:val="2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11,647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24,140</w:t>
            </w:r>
          </w:p>
        </w:tc>
        <w:tc>
          <w:tcPr>
            <w:tcW w:w="10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(51.8)%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25,064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44,371</w:t>
            </w:r>
          </w:p>
        </w:tc>
        <w:tc>
          <w:tcPr>
            <w:tcW w:w="9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(43.5)%</w:t>
            </w:r>
          </w:p>
        </w:tc>
        <w:tc>
          <w:tcPr>
            <w:tcW w:w="0" w:type="dxa"/>
            <w:vAlign w:val="bottom"/>
          </w:tcPr>
          <w:p>
            <w:pPr>
              <w:spacing w:after="0"/>
              <w:rPr>
                <w:sz w:val="1"/>
                <w:szCs w:val="1"/>
                <w:color w:val="auto"/>
              </w:rPr>
            </w:pPr>
          </w:p>
        </w:tc>
      </w:tr>
      <w:tr>
        <w:trPr>
          <w:trHeight w:val="20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11,221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4,584</w:t>
            </w:r>
          </w:p>
        </w:tc>
        <w:tc>
          <w:tcPr>
            <w:tcW w:w="100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7"/>
              </w:rPr>
              <w:t>144.8%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19,179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10,225</w:t>
            </w:r>
          </w:p>
        </w:tc>
        <w:tc>
          <w:tcPr>
            <w:tcW w:w="9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87.6%</w:t>
            </w:r>
          </w:p>
        </w:tc>
        <w:tc>
          <w:tcPr>
            <w:tcW w:w="0" w:type="dxa"/>
            <w:vAlign w:val="bottom"/>
          </w:tcPr>
          <w:p>
            <w:pPr>
              <w:spacing w:after="0"/>
              <w:rPr>
                <w:sz w:val="1"/>
                <w:szCs w:val="1"/>
                <w:color w:val="auto"/>
              </w:rPr>
            </w:pPr>
          </w:p>
        </w:tc>
      </w:tr>
      <w:tr>
        <w:trPr>
          <w:trHeight w:val="204"/>
        </w:trPr>
        <w:tc>
          <w:tcPr>
            <w:tcW w:w="26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Corporate and Other</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4"/>
              </w:rPr>
              <w:t>(4,344)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8"/>
              </w:rPr>
              <w:t>(5,175)</w:t>
            </w:r>
          </w:p>
        </w:tc>
        <w:tc>
          <w:tcPr>
            <w:tcW w:w="1000" w:type="dxa"/>
            <w:vAlign w:val="bottom"/>
            <w:tcBorders>
              <w:bottom w:val="single" w:sz="8" w:color="CCEEFF"/>
            </w:tcBorders>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(16.1)%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8"/>
              </w:rPr>
              <w:t>(6,770)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4"/>
              </w:rPr>
              <w:t>(8,839)</w:t>
            </w:r>
          </w:p>
        </w:tc>
        <w:tc>
          <w:tcPr>
            <w:tcW w:w="980" w:type="dxa"/>
            <w:vAlign w:val="bottom"/>
            <w:tcBorders>
              <w:bottom w:val="single" w:sz="8" w:color="CCEEFF"/>
            </w:tcBorders>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(23.4)%</w:t>
            </w:r>
          </w:p>
        </w:tc>
        <w:tc>
          <w:tcPr>
            <w:tcW w:w="0" w:type="dxa"/>
            <w:vAlign w:val="bottom"/>
          </w:tcPr>
          <w:p>
            <w:pPr>
              <w:spacing w:after="0"/>
              <w:rPr>
                <w:sz w:val="1"/>
                <w:szCs w:val="1"/>
                <w:color w:val="auto"/>
              </w:rPr>
            </w:pPr>
          </w:p>
        </w:tc>
      </w:tr>
      <w:tr>
        <w:trPr>
          <w:trHeight w:val="222"/>
        </w:trPr>
        <w:tc>
          <w:tcPr>
            <w:tcW w:w="2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44,368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53,122</w:t>
            </w:r>
          </w:p>
        </w:tc>
        <w:tc>
          <w:tcPr>
            <w:tcW w:w="100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(16.5)%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78,752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105,744</w:t>
            </w:r>
          </w:p>
        </w:tc>
        <w:tc>
          <w:tcPr>
            <w:tcW w:w="98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(25.5)%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 margins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Metals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Architectural Services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Architectural Glass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Performance Surfaces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Adjusted EBITDA margin</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N/M Indicates calculation not meaningful.</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impact that different items had on our net sales for the second quarter fiscal 2026. All net sales for the second quarter of fiscal 2025 were organic.</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August 30, 2025</w:t>
            </w: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3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23"/>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43"/>
              <w:spacing w:after="0" w:line="13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1"/>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Borders>
              <w:bottom w:val="single" w:sz="8" w:color="auto"/>
            </w:tcBorders>
          </w:tcPr>
          <w:p>
            <w:pPr>
              <w:spacing w:after="0"/>
              <w:rPr>
                <w:sz w:val="16"/>
                <w:szCs w:val="16"/>
                <w:color w:val="auto"/>
              </w:rPr>
            </w:pPr>
          </w:p>
        </w:tc>
      </w:tr>
      <w:tr>
        <w:trPr>
          <w:trHeight w:val="197"/>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141,350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90,101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(6,861)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342,440</w:t>
            </w:r>
          </w:p>
        </w:tc>
        <w:tc>
          <w:tcPr>
            <w:tcW w:w="140" w:type="dxa"/>
            <w:vAlign w:val="bottom"/>
            <w:shd w:val="clear" w:color="auto" w:fill="CCEEFF"/>
          </w:tcPr>
          <w:p>
            <w:pPr>
              <w:spacing w:after="0"/>
              <w:rPr>
                <w:sz w:val="17"/>
                <w:szCs w:val="17"/>
                <w:color w:val="auto"/>
              </w:rPr>
            </w:pPr>
          </w:p>
        </w:tc>
      </w:tr>
      <w:tr>
        <w:trPr>
          <w:trHeight w:val="204"/>
        </w:trPr>
        <w:tc>
          <w:tcPr>
            <w:tcW w:w="2660" w:type="dxa"/>
            <w:vAlign w:val="bottom"/>
            <w:gridSpan w:val="2"/>
          </w:tcPr>
          <w:p>
            <w:pPr>
              <w:ind w:left="220"/>
              <w:spacing w:after="0" w:line="204" w:lineRule="exact"/>
              <w:rPr>
                <w:sz w:val="20"/>
                <w:szCs w:val="20"/>
                <w:color w:val="auto"/>
              </w:rPr>
            </w:pPr>
            <w:r>
              <w:rPr>
                <w:rFonts w:ascii="Times New Roman" w:cs="Times New Roman" w:eastAsia="Times New Roman" w:hAnsi="Times New Roman"/>
                <w:sz w:val="14"/>
                <w:szCs w:val="14"/>
                <w:color w:val="auto"/>
              </w:rPr>
              <w:t xml:space="preserve">Organic business </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(17,920)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3,059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140" w:type="dxa"/>
            <w:vAlign w:val="bottom"/>
          </w:tcPr>
          <w:p>
            <w:pPr>
              <w:spacing w:after="0"/>
              <w:rPr>
                <w:sz w:val="17"/>
                <w:szCs w:val="17"/>
                <w:color w:val="auto"/>
              </w:rPr>
            </w:pPr>
          </w:p>
        </w:tc>
      </w:tr>
      <w:tr>
        <w:trPr>
          <w:trHeight w:val="204"/>
        </w:trPr>
        <w:tc>
          <w:tcPr>
            <w:tcW w:w="2660" w:type="dxa"/>
            <w:vAlign w:val="bottom"/>
            <w:gridSpan w:val="2"/>
            <w:shd w:val="clear" w:color="auto" w:fill="CCEEFF"/>
          </w:tcPr>
          <w:p>
            <w:pPr>
              <w:ind w:left="220"/>
              <w:spacing w:after="0" w:line="204" w:lineRule="exact"/>
              <w:rPr>
                <w:sz w:val="20"/>
                <w:szCs w:val="20"/>
                <w:color w:val="auto"/>
              </w:rPr>
            </w:pPr>
            <w:r>
              <w:rPr>
                <w:rFonts w:ascii="Times New Roman" w:cs="Times New Roman" w:eastAsia="Times New Roman" w:hAnsi="Times New Roman"/>
                <w:sz w:val="14"/>
                <w:szCs w:val="14"/>
                <w:color w:val="auto"/>
              </w:rPr>
              <w:t xml:space="preserve">Acquisition </w:t>
            </w:r>
            <w:r>
              <w:rPr>
                <w:rFonts w:ascii="Times New Roman" w:cs="Times New Roman" w:eastAsia="Times New Roman" w:hAnsi="Times New Roman"/>
                <w:sz w:val="19"/>
                <w:szCs w:val="19"/>
                <w:color w:val="auto"/>
                <w:vertAlign w:val="superscript"/>
              </w:rPr>
              <w:t>(2)</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24,876</w:t>
            </w: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24,876</w:t>
            </w:r>
          </w:p>
        </w:tc>
        <w:tc>
          <w:tcPr>
            <w:tcW w:w="140" w:type="dxa"/>
            <w:vAlign w:val="bottom"/>
            <w:tcBorders>
              <w:bottom w:val="single" w:sz="8" w:color="auto"/>
            </w:tcBorders>
            <w:shd w:val="clear" w:color="auto" w:fill="CCEEFF"/>
          </w:tcPr>
          <w:p>
            <w:pPr>
              <w:spacing w:after="0"/>
              <w:rPr>
                <w:sz w:val="17"/>
                <w:szCs w:val="17"/>
                <w:color w:val="auto"/>
              </w:rPr>
            </w:pPr>
          </w:p>
        </w:tc>
      </w:tr>
      <w:tr>
        <w:trPr>
          <w:trHeight w:val="19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2026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140,935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72,181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48,390</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(3,802)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358,194</w:t>
            </w:r>
          </w:p>
        </w:tc>
        <w:tc>
          <w:tcPr>
            <w:tcW w:w="140" w:type="dxa"/>
            <w:vAlign w:val="bottom"/>
            <w:tcBorders>
              <w:bottom w:val="single" w:sz="8" w:color="auto"/>
            </w:tcBorders>
          </w:tcPr>
          <w:p>
            <w:pPr>
              <w:spacing w:after="0"/>
              <w:rPr>
                <w:sz w:val="17"/>
                <w:szCs w:val="17"/>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6"/>
        </w:trPr>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0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net sales growth (decline)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144.0 %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5"/>
        </w:trPr>
        <w:tc>
          <w:tcPr>
            <w:tcW w:w="2660" w:type="dxa"/>
            <w:vAlign w:val="bottom"/>
            <w:gridSpan w:val="2"/>
            <w:shd w:val="clear" w:color="auto" w:fill="CCEEFF"/>
          </w:tcPr>
          <w:p>
            <w:pPr>
              <w:ind w:left="220"/>
              <w:spacing w:after="0" w:line="204" w:lineRule="exact"/>
              <w:rPr>
                <w:sz w:val="20"/>
                <w:szCs w:val="20"/>
                <w:color w:val="auto"/>
              </w:rPr>
            </w:pPr>
            <w:r>
              <w:rPr>
                <w:rFonts w:ascii="Times New Roman" w:cs="Times New Roman" w:eastAsia="Times New Roman" w:hAnsi="Times New Roman"/>
                <w:sz w:val="14"/>
                <w:szCs w:val="14"/>
                <w:color w:val="auto"/>
              </w:rPr>
              <w:t xml:space="preserve">Organic business </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64"/>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xml:space="preserve">Acquisition </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22"/>
                <w:szCs w:val="22"/>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125.4 %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706"/>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8"/>
        </w:trPr>
        <w:tc>
          <w:tcPr>
            <w:tcW w:w="25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1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Six Months Ended August 30, 2025</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38"/>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23"/>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23"/>
              <w:spacing w:after="0" w:line="13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1"/>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Borders>
              <w:bottom w:val="single" w:sz="8" w:color="auto"/>
            </w:tcBorders>
          </w:tcPr>
          <w:p>
            <w:pPr>
              <w:spacing w:after="0"/>
              <w:rPr>
                <w:sz w:val="16"/>
                <w:szCs w:val="16"/>
                <w:color w:val="auto"/>
              </w:rPr>
            </w:pPr>
          </w:p>
        </w:tc>
      </w:tr>
      <w:tr>
        <w:trPr>
          <w:trHeight w:val="197"/>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274,522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197,045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176,804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41,036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(15,451)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673,956</w:t>
            </w:r>
          </w:p>
        </w:tc>
        <w:tc>
          <w:tcPr>
            <w:tcW w:w="140" w:type="dxa"/>
            <w:vAlign w:val="bottom"/>
            <w:shd w:val="clear" w:color="auto" w:fill="CCEEFF"/>
          </w:tcPr>
          <w:p>
            <w:pPr>
              <w:spacing w:after="0"/>
              <w:rPr>
                <w:sz w:val="17"/>
                <w:szCs w:val="17"/>
                <w:color w:val="auto"/>
              </w:rPr>
            </w:pPr>
          </w:p>
        </w:tc>
      </w:tr>
      <w:tr>
        <w:trPr>
          <w:trHeight w:val="204"/>
        </w:trPr>
        <w:tc>
          <w:tcPr>
            <w:tcW w:w="2680" w:type="dxa"/>
            <w:vAlign w:val="bottom"/>
            <w:gridSpan w:val="2"/>
          </w:tcPr>
          <w:p>
            <w:pPr>
              <w:ind w:left="220"/>
              <w:spacing w:after="0" w:line="204" w:lineRule="exact"/>
              <w:rPr>
                <w:sz w:val="20"/>
                <w:szCs w:val="20"/>
                <w:color w:val="auto"/>
              </w:rPr>
            </w:pPr>
            <w:r>
              <w:rPr>
                <w:rFonts w:ascii="Times New Roman" w:cs="Times New Roman" w:eastAsia="Times New Roman" w:hAnsi="Times New Roman"/>
                <w:sz w:val="14"/>
                <w:szCs w:val="14"/>
                <w:color w:val="auto"/>
              </w:rPr>
              <w:t xml:space="preserve">Organic business </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7"/>
                <w:szCs w:val="17"/>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(4,963)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(31,350)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7,619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(16,043)</w:t>
            </w:r>
          </w:p>
        </w:tc>
        <w:tc>
          <w:tcPr>
            <w:tcW w:w="140" w:type="dxa"/>
            <w:vAlign w:val="bottom"/>
          </w:tcPr>
          <w:p>
            <w:pPr>
              <w:spacing w:after="0"/>
              <w:rPr>
                <w:sz w:val="17"/>
                <w:szCs w:val="17"/>
                <w:color w:val="auto"/>
              </w:rPr>
            </w:pPr>
          </w:p>
        </w:tc>
      </w:tr>
      <w:tr>
        <w:trPr>
          <w:trHeight w:val="204"/>
        </w:trPr>
        <w:tc>
          <w:tcPr>
            <w:tcW w:w="2680" w:type="dxa"/>
            <w:vAlign w:val="bottom"/>
            <w:gridSpan w:val="2"/>
            <w:shd w:val="clear" w:color="auto" w:fill="CCEEFF"/>
          </w:tcPr>
          <w:p>
            <w:pPr>
              <w:ind w:left="220"/>
              <w:spacing w:after="0" w:line="204" w:lineRule="exact"/>
              <w:rPr>
                <w:sz w:val="20"/>
                <w:szCs w:val="20"/>
                <w:color w:val="auto"/>
              </w:rPr>
            </w:pPr>
            <w:r>
              <w:rPr>
                <w:rFonts w:ascii="Times New Roman" w:cs="Times New Roman" w:eastAsia="Times New Roman" w:hAnsi="Times New Roman"/>
                <w:sz w:val="14"/>
                <w:szCs w:val="14"/>
                <w:color w:val="auto"/>
              </w:rPr>
              <w:t xml:space="preserve">Acquisition </w:t>
            </w:r>
            <w:r>
              <w:rPr>
                <w:rFonts w:ascii="Times New Roman" w:cs="Times New Roman" w:eastAsia="Times New Roman" w:hAnsi="Times New Roman"/>
                <w:sz w:val="19"/>
                <w:szCs w:val="19"/>
                <w:color w:val="auto"/>
                <w:vertAlign w:val="superscript"/>
              </w:rPr>
              <w:t>(2)</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46,903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46,903</w:t>
            </w:r>
          </w:p>
        </w:tc>
        <w:tc>
          <w:tcPr>
            <w:tcW w:w="140" w:type="dxa"/>
            <w:vAlign w:val="bottom"/>
            <w:tcBorders>
              <w:bottom w:val="single" w:sz="8" w:color="auto"/>
            </w:tcBorders>
            <w:shd w:val="clear" w:color="auto" w:fill="CCEEFF"/>
          </w:tcPr>
          <w:p>
            <w:pPr>
              <w:spacing w:after="0"/>
              <w:rPr>
                <w:sz w:val="17"/>
                <w:szCs w:val="17"/>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2026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269,559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206,995</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145,454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90,640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(7,832)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704,816</w:t>
            </w:r>
          </w:p>
        </w:tc>
        <w:tc>
          <w:tcPr>
            <w:tcW w:w="140" w:type="dxa"/>
            <w:vAlign w:val="bottom"/>
            <w:tcBorders>
              <w:bottom w:val="single" w:sz="8" w:color="auto"/>
            </w:tcBorders>
          </w:tcPr>
          <w:p>
            <w:pPr>
              <w:spacing w:after="0"/>
              <w:rPr>
                <w:sz w:val="17"/>
                <w:szCs w:val="17"/>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6"/>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net sales growth (decline)</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5"/>
        </w:trPr>
        <w:tc>
          <w:tcPr>
            <w:tcW w:w="2680" w:type="dxa"/>
            <w:vAlign w:val="bottom"/>
            <w:gridSpan w:val="2"/>
            <w:shd w:val="clear" w:color="auto" w:fill="CCEEFF"/>
          </w:tcPr>
          <w:p>
            <w:pPr>
              <w:ind w:left="220"/>
              <w:spacing w:after="0" w:line="204" w:lineRule="exact"/>
              <w:rPr>
                <w:sz w:val="20"/>
                <w:szCs w:val="20"/>
                <w:color w:val="auto"/>
              </w:rPr>
            </w:pPr>
            <w:r>
              <w:rPr>
                <w:rFonts w:ascii="Times New Roman" w:cs="Times New Roman" w:eastAsia="Times New Roman" w:hAnsi="Times New Roman"/>
                <w:sz w:val="14"/>
                <w:szCs w:val="14"/>
                <w:color w:val="auto"/>
              </w:rPr>
              <w:t xml:space="preserve">Organic business </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64"/>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xml:space="preserve">Acquisition </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r>
    </w:tbl>
    <w:p>
      <w:pPr>
        <w:spacing w:after="0" w:line="132" w:lineRule="exact"/>
        <w:rPr>
          <w:sz w:val="20"/>
          <w:szCs w:val="20"/>
          <w:color w:val="auto"/>
        </w:rPr>
      </w:pPr>
    </w:p>
    <w:p>
      <w:pPr>
        <w:ind w:left="520" w:hanging="340"/>
        <w:spacing w:after="0" w:line="247" w:lineRule="auto"/>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Organic business includes net sales associated with acquired product lines or businesses that occur after the first twelve months from the date the product line or business is acquired and net sales from internally developed product lines or businesses.</w:t>
      </w:r>
    </w:p>
    <w:p>
      <w:pPr>
        <w:spacing w:after="0" w:line="4" w:lineRule="exact"/>
        <w:rPr>
          <w:rFonts w:ascii="Times New Roman" w:cs="Times New Roman" w:eastAsia="Times New Roman" w:hAnsi="Times New Roman"/>
          <w:sz w:val="13"/>
          <w:szCs w:val="13"/>
          <w:color w:val="auto"/>
        </w:rPr>
      </w:pPr>
    </w:p>
    <w:p>
      <w:pPr>
        <w:ind w:left="520" w:hanging="340"/>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4, 2024, we completed the acquisition of UW Solutions. For additional information, see Note 13 to the accompanying consolidated financial statements.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Architectural Metals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Second Quarter Fiscal 2026 to Second Quarter Fiscal 2025</w:t>
      </w:r>
    </w:p>
    <w:p>
      <w:pPr>
        <w:spacing w:after="0" w:line="94" w:lineRule="exact"/>
        <w:rPr>
          <w:sz w:val="20"/>
          <w:szCs w:val="20"/>
          <w:color w:val="auto"/>
        </w:rPr>
      </w:pPr>
    </w:p>
    <w:p>
      <w:pPr>
        <w:ind w:left="580" w:hanging="286"/>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$140.9 million, compared to $141.4 million, primarily reflecting a less favorable mix, partially offset by higher volume and price.</w:t>
      </w:r>
    </w:p>
    <w:p>
      <w:pPr>
        <w:spacing w:after="0" w:line="92"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$20.8 million, or 14.8% of net sales, compared to $22.2 million, or 15.7% of net sales. The decline in adjusted EBITDA margin was primarily driven by unfavorable mix, and higher material and tariff costs, partially offset by lower incentive compensation expense.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First Six Months of Fiscal 2026 to First Six Months of Fiscal 2025</w:t>
      </w:r>
    </w:p>
    <w:p>
      <w:pPr>
        <w:spacing w:after="0" w:line="94" w:lineRule="exact"/>
        <w:rPr>
          <w:sz w:val="20"/>
          <w:szCs w:val="20"/>
          <w:color w:val="auto"/>
        </w:rPr>
      </w:pPr>
    </w:p>
    <w:p>
      <w:pPr>
        <w:ind w:left="580" w:hanging="286"/>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$269.6 million, compared to $274.5 million, primarily reflecting a less favorable mix and lower price, partially offset by increased volume.</w:t>
      </w:r>
    </w:p>
    <w:p>
      <w:pPr>
        <w:spacing w:after="0" w:line="92" w:lineRule="exact"/>
        <w:rPr>
          <w:rFonts w:ascii="Times New Roman" w:cs="Times New Roman" w:eastAsia="Times New Roman" w:hAnsi="Times New Roman"/>
          <w:sz w:val="16"/>
          <w:szCs w:val="16"/>
          <w:color w:val="auto"/>
        </w:rPr>
      </w:pPr>
    </w:p>
    <w:p>
      <w:pPr>
        <w:ind w:left="580" w:right="20" w:hanging="286"/>
        <w:spacing w:after="0" w:line="331" w:lineRule="auto"/>
        <w:tabs>
          <w:tab w:leader="none" w:pos="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$30.2 million, or 11.2% of net sales, compared to $46.1 million, or 16.8% of net sales. The decline in adjusted EBITDA margin was primarily driven by higher material and tariff costs as well as lower price and a less favorable mix, partially offset by lower incentive compensation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Architectural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Second Quarter Fiscal 2026 to Second Quarter Fiscal 2025</w:t>
      </w:r>
    </w:p>
    <w:p>
      <w:pPr>
        <w:spacing w:after="0" w:line="94" w:lineRule="exact"/>
        <w:rPr>
          <w:sz w:val="20"/>
          <w:szCs w:val="20"/>
          <w:color w:val="auto"/>
        </w:rPr>
      </w:pPr>
    </w:p>
    <w:p>
      <w:pPr>
        <w:ind w:left="580" w:hanging="286"/>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$100.5 million, compared to $98.0 million, primarily due to increased volume.</w:t>
      </w:r>
    </w:p>
    <w:p>
      <w:pPr>
        <w:spacing w:after="0" w:line="92"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decreased to $5.0 million, or 5.0% of net sales, compared to $7.3 million, or 7.5% of net sales. The decrease in adjusted EBITDA margin was primarily driven by project mix, partially offset by lower short-term incentive compensation costs.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First Six Months of Fiscal 2026 to First Six Months of Fiscal 2025</w:t>
      </w:r>
    </w:p>
    <w:p>
      <w:pPr>
        <w:spacing w:after="0" w:line="94" w:lineRule="exact"/>
        <w:rPr>
          <w:sz w:val="20"/>
          <w:szCs w:val="20"/>
          <w:color w:val="auto"/>
        </w:rPr>
      </w:pPr>
    </w:p>
    <w:p>
      <w:pPr>
        <w:ind w:left="580" w:hanging="286"/>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$207.0 million, compared to $197.0 million, primarily due to increased volume, partially offset by an unfavorable project mix.</w:t>
      </w:r>
    </w:p>
    <w:p>
      <w:pPr>
        <w:spacing w:after="0" w:line="92"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decreased to $11.1 million, or 5.4% of net sales, compared to $13.9 million, or 7.1% of net sales. The decrease in adjusted EBITDA margin was primarily driven by the impact of higher tariff costs and unfavorable project mix, partially offset by lower incentive compensation costs.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Cumulative catch-up adjustments on our longer-term contracts for changes in estimates were as follows: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2"/>
        </w:trPr>
        <w:tc>
          <w:tcPr>
            <w:tcW w:w="58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7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w w:val="99"/>
              </w:rPr>
              <w:t>August 31, 2024</w:t>
            </w:r>
          </w:p>
        </w:tc>
      </w:tr>
      <w:tr>
        <w:trPr>
          <w:trHeight w:val="198"/>
        </w:trPr>
        <w:tc>
          <w:tcPr>
            <w:tcW w:w="5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Gross favorable adjustments</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w:t>
            </w:r>
          </w:p>
        </w:tc>
      </w:tr>
      <w:tr>
        <w:trPr>
          <w:trHeight w:val="204"/>
        </w:trPr>
        <w:tc>
          <w:tcPr>
            <w:tcW w:w="58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6"/>
                <w:szCs w:val="16"/>
                <w:color w:val="auto"/>
              </w:rPr>
              <w:t>Gross unfavorable adjustments</w:t>
            </w: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r>
      <w:tr>
        <w:trPr>
          <w:trHeight w:val="197"/>
        </w:trPr>
        <w:tc>
          <w:tcPr>
            <w:tcW w:w="5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adjustments</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w:t>
            </w:r>
          </w:p>
        </w:tc>
      </w:tr>
      <w:tr>
        <w:trPr>
          <w:trHeight w:val="382"/>
        </w:trPr>
        <w:tc>
          <w:tcPr>
            <w:tcW w:w="5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Borders>
              <w:bottom w:val="single" w:sz="8" w:color="auto"/>
            </w:tcBorders>
          </w:tcPr>
          <w:p>
            <w:pPr>
              <w:spacing w:after="0"/>
              <w:rPr>
                <w:sz w:val="24"/>
                <w:szCs w:val="24"/>
                <w:color w:val="auto"/>
              </w:rPr>
            </w:pPr>
          </w:p>
        </w:tc>
      </w:tr>
      <w:tr>
        <w:trPr>
          <w:trHeight w:val="172"/>
        </w:trPr>
        <w:tc>
          <w:tcPr>
            <w:tcW w:w="5800" w:type="dxa"/>
            <w:vAlign w:val="bottom"/>
            <w:gridSpan w:val="2"/>
          </w:tcPr>
          <w:p>
            <w:pPr>
              <w:ind w:left="60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740" w:type="dxa"/>
            <w:vAlign w:val="bottom"/>
          </w:tcPr>
          <w:p>
            <w:pPr>
              <w:spacing w:after="0"/>
              <w:rPr>
                <w:sz w:val="14"/>
                <w:szCs w:val="14"/>
                <w:color w:val="auto"/>
              </w:rPr>
            </w:pPr>
          </w:p>
        </w:tc>
        <w:tc>
          <w:tcPr>
            <w:tcW w:w="122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August 30, 2025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w w:val="99"/>
              </w:rPr>
              <w:t>August 31, 2024</w:t>
            </w:r>
          </w:p>
        </w:tc>
      </w:tr>
      <w:tr>
        <w:trPr>
          <w:trHeight w:val="198"/>
        </w:trPr>
        <w:tc>
          <w:tcPr>
            <w:tcW w:w="578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Gross favorable adjustments</w:t>
            </w: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14,747</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10,373</w:t>
            </w:r>
          </w:p>
        </w:tc>
      </w:tr>
      <w:tr>
        <w:trPr>
          <w:trHeight w:val="204"/>
        </w:trPr>
        <w:tc>
          <w:tcPr>
            <w:tcW w:w="58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Gross unfavorable adjustments</w:t>
            </w: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r>
      <w:tr>
        <w:trPr>
          <w:trHeight w:val="197"/>
        </w:trPr>
        <w:tc>
          <w:tcPr>
            <w:tcW w:w="578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adjustments</w:t>
            </w: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Architectural Glass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Second Quarter Fiscal 2026 to Second Quarter Fiscal 2025</w:t>
      </w:r>
    </w:p>
    <w:p>
      <w:pPr>
        <w:spacing w:after="0" w:line="94" w:lineRule="exact"/>
        <w:rPr>
          <w:sz w:val="20"/>
          <w:szCs w:val="20"/>
          <w:color w:val="auto"/>
        </w:rPr>
      </w:pPr>
    </w:p>
    <w:p>
      <w:pPr>
        <w:ind w:left="580" w:hanging="28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$72.2 million, compared to $90.1 million, primarily reflecting lower volume and price due to lower end-market demand.</w:t>
      </w:r>
    </w:p>
    <w:p>
      <w:pPr>
        <w:spacing w:after="0" w:line="92"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decreased to $11.6 million, or 16.1% of net sales, compared to $24.1 million, or 26.8% of net sales. The decline in adjusted EBITDA margin was primarily driven by lower price and volume, partially offset by lower short-term incentive compensation expense.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First Six Months of Fiscal 2026 to First Six Months of Fiscal 2025</w:t>
      </w:r>
    </w:p>
    <w:p>
      <w:pPr>
        <w:spacing w:after="0" w:line="94" w:lineRule="exact"/>
        <w:rPr>
          <w:sz w:val="20"/>
          <w:szCs w:val="20"/>
          <w:color w:val="auto"/>
        </w:rPr>
      </w:pPr>
    </w:p>
    <w:p>
      <w:pPr>
        <w:ind w:left="580" w:hanging="286"/>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$145.5 million compared to $176.8 million, primarily reflecting lower volume due to lower end-market demand.</w:t>
      </w:r>
    </w:p>
    <w:p>
      <w:pPr>
        <w:spacing w:after="0" w:line="92"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decreased to $25.1 million, or 17.2% of net sales, compared to $44.4 million, or 25.1% of net sales. The decline in adjusted EBITDA margin was primarily driven by lower volume and price, partially offset by lower incentive compensation expense.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Surfaces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Second Quarter Fiscal 2026 to Second Quarter Fiscal 2025</w:t>
      </w:r>
    </w:p>
    <w:p>
      <w:pPr>
        <w:spacing w:after="0" w:line="94" w:lineRule="exact"/>
        <w:rPr>
          <w:sz w:val="20"/>
          <w:szCs w:val="20"/>
          <w:color w:val="auto"/>
        </w:rPr>
      </w:pPr>
    </w:p>
    <w:p>
      <w:pPr>
        <w:ind w:left="580" w:hanging="286"/>
        <w:spacing w:after="0" w:line="259"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$48.4 million, compared to $19.8 million, which included $24.9 million of inorganic sales contribution from the acquisition of UW Solutions and organic growth of 18.6%.</w:t>
      </w:r>
    </w:p>
    <w:p>
      <w:pPr>
        <w:spacing w:after="0" w:line="59"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$11.2 million, or 23.2% of net sales, compared to $4.6 million, or 23.1% of net sales. The increase in adjusted EBITDA margin was primarily driven by favorable price and volume.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First Six Months of Fiscal 2026 to First Six Months of Fiscal 2025</w:t>
      </w:r>
    </w:p>
    <w:p>
      <w:pPr>
        <w:spacing w:after="0" w:line="94" w:lineRule="exact"/>
        <w:rPr>
          <w:sz w:val="20"/>
          <w:szCs w:val="20"/>
          <w:color w:val="auto"/>
        </w:rPr>
      </w:pPr>
    </w:p>
    <w:p>
      <w:pPr>
        <w:ind w:left="580" w:hanging="286"/>
        <w:spacing w:after="0" w:line="259"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were $90.6 million, compared to $41.0 million, which included $46.9 million of inorganic sales contribution from the acquisition of UW Solutions and organic growth of 6.6%.</w:t>
      </w:r>
    </w:p>
    <w:p>
      <w:pPr>
        <w:spacing w:after="0" w:line="59"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$19.2 million, or 21.2% of net sales, compared to $10.2 million, or 24.9% of net sales. The decrease in adjusted EBITDA margin was primarily driven by the dilutive effect of lower adjusted EBITDA margin from the UW Solutions acquisition, partially offset by favorable pricing.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and 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Second Quarter Fiscal 2026 to Second Quarter Fiscal 2025</w:t>
      </w:r>
    </w:p>
    <w:p>
      <w:pPr>
        <w:spacing w:after="0" w:line="94" w:lineRule="exact"/>
        <w:rPr>
          <w:sz w:val="20"/>
          <w:szCs w:val="20"/>
          <w:color w:val="auto"/>
        </w:rPr>
      </w:pPr>
    </w:p>
    <w:p>
      <w:pPr>
        <w:ind w:left="580" w:hanging="286"/>
        <w:spacing w:after="0" w:line="259"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 adjusted EBITDA expense was $4.3 million, compared to $5.2 million, primarily driven by lower incentive compensation expense, partially offset by higher health insurance costs.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First Six Months of Fiscal 2026 to First Six Months of Fiscal 2025</w:t>
      </w:r>
    </w:p>
    <w:p>
      <w:pPr>
        <w:spacing w:after="0" w:line="94" w:lineRule="exact"/>
        <w:rPr>
          <w:sz w:val="20"/>
          <w:szCs w:val="20"/>
          <w:color w:val="auto"/>
        </w:rPr>
      </w:pPr>
    </w:p>
    <w:p>
      <w:pPr>
        <w:ind w:left="580" w:right="20" w:hanging="286"/>
        <w:spacing w:after="0" w:line="259" w:lineRule="auto"/>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 adjusted EBITDA expense was $6.8 million, compared to $8.8 million, primarily driven by lower incentive compensation expense, partially offset by higher health insurance expenses.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9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4"/>
          <w:szCs w:val="14"/>
          <w:color w:val="auto"/>
        </w:rPr>
        <w:t>Backlog represents the dollar amount of signed contracts or firm orders, generally as a result of a competitive bidding process, which may be expected to be recognized as revenue in the future. Backlog is most meaningful for Architectural Services due to the longer-term nature of their projects.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Architectural Services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August 30, 2025, segment backlog was approximately $792.3 million, compared to approximately $792.1 million at the end of the second quarter of fiscal 2025.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Adjusted net earnings, adjusted diluted earnings per share (adjusted diluted EPS), adjusted net earnings before interest, taxes, depreciation and amortization (adjusted EBITDA), and adjusted EBITDA margin are supplemental non -GAAP financial measures provided by the Company to assess performance on a more comparable basis from period-to-period by excluding amounts that management does not consider part of core operating results. Management uses these non-GAAP measures as noted below:</w:t>
      </w:r>
    </w:p>
    <w:p>
      <w:pPr>
        <w:spacing w:after="0" w:line="71" w:lineRule="exact"/>
        <w:rPr>
          <w:sz w:val="20"/>
          <w:szCs w:val="20"/>
          <w:color w:val="auto"/>
        </w:rPr>
      </w:pPr>
    </w:p>
    <w:p>
      <w:pPr>
        <w:ind w:left="580" w:right="20" w:hanging="286"/>
        <w:spacing w:after="0" w:line="259"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adjusted net earnings, and adjusted diluted EPS to provide meaningful supplemental information about our operating performance by excluding amounts that we do not consider to be part of core operating results to enhance comparability of results from period to period.</w:t>
      </w:r>
    </w:p>
    <w:p>
      <w:pPr>
        <w:spacing w:after="0" w:line="59" w:lineRule="exact"/>
        <w:rPr>
          <w:rFonts w:ascii="Times New Roman" w:cs="Times New Roman" w:eastAsia="Times New Roman" w:hAnsi="Times New Roman"/>
          <w:sz w:val="16"/>
          <w:szCs w:val="16"/>
          <w:color w:val="auto"/>
        </w:rPr>
      </w:pPr>
    </w:p>
    <w:p>
      <w:pPr>
        <w:jc w:val="both"/>
        <w:ind w:left="580" w:right="60" w:hanging="286"/>
        <w:spacing w:after="0" w:line="299" w:lineRule="auto"/>
        <w:tabs>
          <w:tab w:leader="none" w:pos="580" w:val="left"/>
        </w:tabs>
        <w:numPr>
          <w:ilvl w:val="0"/>
          <w:numId w:val="35"/>
        </w:numPr>
        <w:rPr>
          <w:rFonts w:ascii="Arial" w:cs="Arial" w:eastAsia="Arial" w:hAnsi="Arial"/>
          <w:sz w:val="14"/>
          <w:szCs w:val="14"/>
          <w:color w:val="auto"/>
        </w:rPr>
      </w:pPr>
      <w:r>
        <w:rPr>
          <w:rFonts w:ascii="Times New Roman" w:cs="Times New Roman" w:eastAsia="Times New Roman" w:hAnsi="Times New Roman"/>
          <w:sz w:val="14"/>
          <w:szCs w:val="14"/>
          <w:color w:val="auto"/>
        </w:rPr>
        <w:t>Adjusted EBITDA represents adjusted net earnings before interest, taxes, depreciation, and amortization, and adjusted EBITDA margin is adjusted EBITDA as a percentage of net sales. We use adjusted EBITDA and adjusted EBITDA margin to assess segment performance and make decisions about the allocation of operating and capital resources by analyzing recent results, trends, and variances of each segment in relation to forecasts and historical performance.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non-GAAP measures should be viewed in addition to, and not as an alternative to, the reported financial results of the Company prepared in accordance with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Other companies may calculate these measures differently, thereby limiting the usefulness of the measures for comparison with other companies.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rPr>
              <w:t>Apogee Enterprises, Inc.</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16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20" w:type="dxa"/>
            <w:vAlign w:val="bottom"/>
            <w:gridSpan w:val="12"/>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Adjusted EBITDA and Adjusted EBITDA Margin</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tcPr>
          <w:p>
            <w:pPr>
              <w:jc w:val="center"/>
              <w:ind w:left="252"/>
              <w:spacing w:after="0"/>
              <w:rPr>
                <w:sz w:val="20"/>
                <w:szCs w:val="20"/>
                <w:color w:val="auto"/>
              </w:rPr>
            </w:pPr>
            <w:r>
              <w:rPr>
                <w:rFonts w:ascii="Times New Roman" w:cs="Times New Roman" w:eastAsia="Times New Roman" w:hAnsi="Times New Roman"/>
                <w:sz w:val="14"/>
                <w:szCs w:val="14"/>
                <w:color w:val="auto"/>
              </w:rPr>
              <w:t>(Unaudited)</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August 30, 2025</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38"/>
        </w:trPr>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2"/>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1"/>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Borders>
              <w:bottom w:val="single" w:sz="8" w:color="auto"/>
            </w:tcBorders>
          </w:tcPr>
          <w:p>
            <w:pPr>
              <w:spacing w:after="0"/>
              <w:rPr>
                <w:sz w:val="16"/>
                <w:szCs w:val="16"/>
                <w:color w:val="auto"/>
              </w:rPr>
            </w:pPr>
          </w:p>
        </w:tc>
      </w:tr>
      <w:tr>
        <w:trPr>
          <w:trHeight w:val="18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20,874</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8,429</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23,649</w:t>
            </w:r>
          </w:p>
        </w:tc>
        <w:tc>
          <w:tcPr>
            <w:tcW w:w="140" w:type="dxa"/>
            <w:vAlign w:val="bottom"/>
            <w:shd w:val="clear" w:color="auto" w:fill="CCEEFF"/>
          </w:tcPr>
          <w:p>
            <w:pPr>
              <w:spacing w:after="0"/>
              <w:rPr>
                <w:sz w:val="16"/>
                <w:szCs w:val="16"/>
                <w:color w:val="auto"/>
              </w:rPr>
            </w:pPr>
          </w:p>
        </w:tc>
      </w:tr>
      <w:tr>
        <w:trPr>
          <w:trHeight w:val="19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3,848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4,075</w:t>
            </w:r>
          </w:p>
        </w:tc>
        <w:tc>
          <w:tcPr>
            <w:tcW w:w="140" w:type="dxa"/>
            <w:vAlign w:val="bottom"/>
          </w:tcPr>
          <w:p>
            <w:pPr>
              <w:spacing w:after="0"/>
              <w:rPr>
                <w:sz w:val="16"/>
                <w:szCs w:val="16"/>
                <w:color w:val="auto"/>
              </w:rPr>
            </w:pPr>
          </w:p>
        </w:tc>
      </w:tr>
      <w:tr>
        <w:trPr>
          <w:trHeight w:val="194"/>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4,278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40" w:type="dxa"/>
            <w:vAlign w:val="bottom"/>
            <w:shd w:val="clear" w:color="auto" w:fill="CCEEFF"/>
          </w:tcPr>
          <w:p>
            <w:pPr>
              <w:spacing w:after="0"/>
              <w:rPr>
                <w:sz w:val="16"/>
                <w:szCs w:val="16"/>
                <w:color w:val="auto"/>
              </w:rPr>
            </w:pPr>
          </w:p>
        </w:tc>
      </w:tr>
      <w:tr>
        <w:trPr>
          <w:trHeight w:val="190"/>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3,323</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3,789</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12,507</w:t>
            </w:r>
          </w:p>
        </w:tc>
        <w:tc>
          <w:tcPr>
            <w:tcW w:w="140" w:type="dxa"/>
            <w:vAlign w:val="bottom"/>
            <w:tcBorders>
              <w:bottom w:val="single" w:sz="8" w:color="auto"/>
            </w:tcBorders>
          </w:tcPr>
          <w:p>
            <w:pPr>
              <w:spacing w:after="0"/>
              <w:rPr>
                <w:sz w:val="16"/>
                <w:szCs w:val="16"/>
                <w:color w:val="auto"/>
              </w:rPr>
            </w:pPr>
          </w:p>
        </w:tc>
      </w:tr>
      <w:tr>
        <w:trPr>
          <w:trHeight w:val="174"/>
        </w:trPr>
        <w:tc>
          <w:tcPr>
            <w:tcW w:w="2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44,535</w:t>
            </w:r>
          </w:p>
        </w:tc>
        <w:tc>
          <w:tcPr>
            <w:tcW w:w="140" w:type="dxa"/>
            <w:vAlign w:val="bottom"/>
            <w:shd w:val="clear" w:color="auto" w:fill="CCEEFF"/>
          </w:tcPr>
          <w:p>
            <w:pPr>
              <w:spacing w:after="0"/>
              <w:rPr>
                <w:sz w:val="15"/>
                <w:szCs w:val="15"/>
                <w:color w:val="auto"/>
              </w:rPr>
            </w:pPr>
          </w:p>
        </w:tc>
      </w:tr>
      <w:tr>
        <w:trPr>
          <w:trHeight w:val="192"/>
        </w:trPr>
        <w:tc>
          <w:tcPr>
            <w:tcW w:w="264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140" w:type="dxa"/>
            <w:vAlign w:val="bottom"/>
          </w:tcPr>
          <w:p>
            <w:pPr>
              <w:spacing w:after="0"/>
              <w:rPr>
                <w:sz w:val="16"/>
                <w:szCs w:val="16"/>
                <w:color w:val="auto"/>
              </w:rPr>
            </w:pPr>
          </w:p>
        </w:tc>
      </w:tr>
      <w:tr>
        <w:trPr>
          <w:trHeight w:val="192"/>
        </w:trPr>
        <w:tc>
          <w:tcPr>
            <w:tcW w:w="264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9"/>
                <w:szCs w:val="19"/>
                <w:color w:val="auto"/>
                <w:vertAlign w:val="superscript"/>
              </w:rPr>
              <w:t>(2)</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3,123</w:t>
            </w:r>
          </w:p>
        </w:tc>
        <w:tc>
          <w:tcPr>
            <w:tcW w:w="140" w:type="dxa"/>
            <w:vAlign w:val="bottom"/>
            <w:shd w:val="clear" w:color="auto" w:fill="CCEEFF"/>
          </w:tcPr>
          <w:p>
            <w:pPr>
              <w:spacing w:after="0"/>
              <w:rPr>
                <w:sz w:val="16"/>
                <w:szCs w:val="16"/>
                <w:color w:val="auto"/>
              </w:rPr>
            </w:pPr>
          </w:p>
        </w:tc>
      </w:tr>
      <w:tr>
        <w:trPr>
          <w:trHeight w:val="192"/>
        </w:trPr>
        <w:tc>
          <w:tcPr>
            <w:tcW w:w="2640" w:type="dxa"/>
            <w:vAlign w:val="bottom"/>
            <w:tcBorders>
              <w:bottom w:val="single" w:sz="8" w:color="CCEEFF"/>
            </w:tcBorders>
            <w:gridSpan w:val="2"/>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NMTC settlement gain </w:t>
            </w:r>
            <w:r>
              <w:rPr>
                <w:rFonts w:ascii="Times New Roman" w:cs="Times New Roman" w:eastAsia="Times New Roman" w:hAnsi="Times New Roman"/>
                <w:sz w:val="19"/>
                <w:szCs w:val="19"/>
                <w:color w:val="auto"/>
                <w:vertAlign w:val="superscript"/>
              </w:rPr>
              <w:t>(3)</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(4,597)</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(4,597)</w:t>
            </w:r>
          </w:p>
        </w:tc>
        <w:tc>
          <w:tcPr>
            <w:tcW w:w="140" w:type="dxa"/>
            <w:vAlign w:val="bottom"/>
            <w:tcBorders>
              <w:bottom w:val="single" w:sz="8" w:color="auto"/>
            </w:tcBorders>
          </w:tcPr>
          <w:p>
            <w:pPr>
              <w:spacing w:after="0"/>
              <w:rPr>
                <w:sz w:val="16"/>
                <w:szCs w:val="16"/>
                <w:color w:val="auto"/>
              </w:rPr>
            </w:pPr>
          </w:p>
        </w:tc>
      </w:tr>
      <w:tr>
        <w:trPr>
          <w:trHeight w:val="192"/>
        </w:trPr>
        <w:tc>
          <w:tcPr>
            <w:tcW w:w="2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Adjusted EBITDA</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5,016</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11,647</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11,221</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44,368</w:t>
            </w:r>
          </w:p>
        </w:tc>
        <w:tc>
          <w:tcPr>
            <w:tcW w:w="140" w:type="dxa"/>
            <w:vAlign w:val="bottom"/>
            <w:shd w:val="clear" w:color="auto" w:fill="CCEEFF"/>
          </w:tcPr>
          <w:p>
            <w:pPr>
              <w:spacing w:after="0"/>
              <w:rPr>
                <w:sz w:val="16"/>
                <w:szCs w:val="16"/>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August 31, 2024</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8"/>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3"/>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1"/>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8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gridSpan w:val="2"/>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16,603</w:t>
            </w:r>
          </w:p>
        </w:tc>
        <w:tc>
          <w:tcPr>
            <w:tcW w:w="4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6,107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21,176</w:t>
            </w:r>
          </w:p>
        </w:tc>
        <w:tc>
          <w:tcPr>
            <w:tcW w:w="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3,794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(17,114)</w:t>
            </w:r>
          </w:p>
        </w:tc>
        <w:tc>
          <w:tcPr>
            <w:tcW w:w="2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30,566</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538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1,140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10,549</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4,172</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955</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3,080</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790</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9,688</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21,313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7,086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24,140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4,584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51,943</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640" w:type="dxa"/>
            <w:vAlign w:val="bottom"/>
            <w:tcBorders>
              <w:bottom w:val="single" w:sz="8" w:color="CCEEFF"/>
            </w:tcBorders>
            <w:gridSpan w:val="3"/>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9"/>
                <w:szCs w:val="19"/>
                <w:color w:val="auto"/>
                <w:vertAlign w:val="superscript"/>
              </w:rPr>
              <w:t>(2)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916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258</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1,179</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22,229</w:t>
            </w:r>
          </w:p>
        </w:tc>
        <w:tc>
          <w:tcPr>
            <w:tcW w:w="4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7,344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24,140</w:t>
            </w:r>
          </w:p>
        </w:tc>
        <w:tc>
          <w:tcPr>
            <w:tcW w:w="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4,584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(5,175)</w:t>
            </w:r>
          </w:p>
        </w:tc>
        <w:tc>
          <w:tcPr>
            <w:tcW w:w="2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53,122</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6"/>
        </w:trPr>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2"/>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7"/>
              </w:rPr>
              <w:t>N/M</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6"/>
                <w:szCs w:val="16"/>
                <w:color w:val="auto"/>
              </w:rPr>
            </w:pPr>
          </w:p>
        </w:tc>
      </w:tr>
      <w:tr>
        <w:trPr>
          <w:trHeight w:val="188"/>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7"/>
              </w:rPr>
              <w:t>N/M</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15.5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6"/>
                <w:szCs w:val="16"/>
                <w:color w:val="auto"/>
              </w:rPr>
            </w:pPr>
          </w:p>
        </w:tc>
      </w:tr>
      <w:tr>
        <w:trPr>
          <w:trHeight w:val="386"/>
        </w:trPr>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Six Months Ended August 30, 2025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8"/>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1"/>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24,543</w:t>
            </w:r>
          </w:p>
        </w:tc>
        <w:tc>
          <w:tcPr>
            <w:tcW w:w="40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18,631</w:t>
            </w:r>
          </w:p>
        </w:tc>
        <w:tc>
          <w:tcPr>
            <w:tcW w:w="4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(27,830)</w:t>
            </w:r>
          </w:p>
        </w:tc>
        <w:tc>
          <w:tcPr>
            <w:tcW w:w="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0"/>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9,394</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0"/>
        </w:trPr>
        <w:tc>
          <w:tcPr>
            <w:tcW w:w="2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6,593</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7,338</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24,943</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4"/>
        </w:trPr>
        <w:tc>
          <w:tcPr>
            <w:tcW w:w="2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32,967</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63,220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2640" w:type="dxa"/>
            <w:vAlign w:val="bottom"/>
            <w:gridSpan w:val="3"/>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Acquisition-related costs </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640" w:type="dxa"/>
            <w:vAlign w:val="bottom"/>
            <w:gridSpan w:val="3"/>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9"/>
                <w:szCs w:val="19"/>
                <w:color w:val="auto"/>
                <w:vertAlign w:val="superscript"/>
              </w:rPr>
              <w:t>(2)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2640" w:type="dxa"/>
            <w:vAlign w:val="bottom"/>
            <w:tcBorders>
              <w:bottom w:val="single" w:sz="8" w:color="CCEEFF"/>
            </w:tcBorders>
            <w:gridSpan w:val="3"/>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NMTC settlement gain </w:t>
            </w:r>
            <w:r>
              <w:rPr>
                <w:rFonts w:ascii="Times New Roman" w:cs="Times New Roman" w:eastAsia="Times New Roman" w:hAnsi="Times New Roman"/>
                <w:sz w:val="19"/>
                <w:szCs w:val="19"/>
                <w:color w:val="auto"/>
                <w:vertAlign w:val="superscript"/>
              </w:rPr>
              <w:t>(3)</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(4,597)</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(4,597)</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30,195</w:t>
            </w:r>
          </w:p>
        </w:tc>
        <w:tc>
          <w:tcPr>
            <w:tcW w:w="40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25,064</w:t>
            </w:r>
          </w:p>
        </w:tc>
        <w:tc>
          <w:tcPr>
            <w:tcW w:w="4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(6,770)</w:t>
            </w:r>
          </w:p>
        </w:tc>
        <w:tc>
          <w:tcPr>
            <w:tcW w:w="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78,752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r>
      <w:tr>
        <w:trPr>
          <w:trHeight w:val="136"/>
        </w:trPr>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2"/>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7"/>
              </w:rPr>
              <w:t>N/M</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7"/>
              </w:rPr>
              <w:t>N/M</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86"/>
        </w:trPr>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Six Months Ended August 31, 2024</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8"/>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1"/>
        </w:trPr>
        <w:tc>
          <w:tcPr>
            <w:tcW w:w="2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Metals</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34,362</w:t>
            </w:r>
          </w:p>
        </w:tc>
        <w:tc>
          <w:tcPr>
            <w:tcW w:w="4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39,227</w:t>
            </w:r>
          </w:p>
        </w:tc>
        <w:tc>
          <w:tcPr>
            <w:tcW w:w="4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(32,378)</w:t>
            </w:r>
          </w:p>
        </w:tc>
        <w:tc>
          <w:tcPr>
            <w:tcW w:w="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61,577</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1,590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20,612</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8,679</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6,089</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19,664</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44,156</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103,443</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640" w:type="dxa"/>
            <w:vAlign w:val="bottom"/>
            <w:tcBorders>
              <w:bottom w:val="single" w:sz="8" w:color="CCEEFF"/>
            </w:tcBorders>
            <w:gridSpan w:val="3"/>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9"/>
                <w:szCs w:val="19"/>
                <w:color w:val="auto"/>
                <w:vertAlign w:val="superscript"/>
              </w:rPr>
              <w:t>(2)</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2,301</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46,070</w:t>
            </w:r>
          </w:p>
        </w:tc>
        <w:tc>
          <w:tcPr>
            <w:tcW w:w="4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44,371</w:t>
            </w:r>
          </w:p>
        </w:tc>
        <w:tc>
          <w:tcPr>
            <w:tcW w:w="4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(8,839)</w:t>
            </w:r>
          </w:p>
        </w:tc>
        <w:tc>
          <w:tcPr>
            <w:tcW w:w="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105,744</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margin</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7"/>
              </w:rPr>
              <w:t>N/M</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15.3 %</w:t>
            </w:r>
          </w:p>
        </w:tc>
        <w:tc>
          <w:tcPr>
            <w:tcW w:w="20" w:type="dxa"/>
            <w:vAlign w:val="bottom"/>
          </w:tcPr>
          <w:p>
            <w:pPr>
              <w:spacing w:after="0"/>
              <w:rPr>
                <w:sz w:val="16"/>
                <w:szCs w:val="16"/>
                <w:color w:val="auto"/>
              </w:rPr>
            </w:pPr>
          </w:p>
        </w:tc>
      </w:tr>
      <w:tr>
        <w:trPr>
          <w:trHeight w:val="188"/>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7"/>
              </w:rPr>
              <w:t>N/M</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15.7 %</w:t>
            </w:r>
          </w:p>
        </w:tc>
        <w:tc>
          <w:tcPr>
            <w:tcW w:w="20" w:type="dxa"/>
            <w:vAlign w:val="bottom"/>
          </w:tcPr>
          <w:p>
            <w:pPr>
              <w:spacing w:after="0"/>
              <w:rPr>
                <w:sz w:val="16"/>
                <w:szCs w:val="16"/>
                <w:color w:val="auto"/>
              </w:rPr>
            </w:pPr>
          </w:p>
        </w:tc>
      </w:tr>
    </w:tbl>
    <w:p>
      <w:pPr>
        <w:spacing w:after="0" w:line="196" w:lineRule="exact"/>
        <w:rPr>
          <w:sz w:val="20"/>
          <w:szCs w:val="20"/>
          <w:color w:val="auto"/>
        </w:rPr>
      </w:pPr>
    </w:p>
    <w:p>
      <w:pPr>
        <w:ind w:left="540" w:hanging="354"/>
        <w:spacing w:after="0"/>
        <w:tabs>
          <w:tab w:leader="none" w:pos="5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related to the acquisition of UW Solutions.</w:t>
      </w:r>
    </w:p>
    <w:p>
      <w:pPr>
        <w:spacing w:after="0" w:line="30" w:lineRule="exact"/>
        <w:rPr>
          <w:rFonts w:ascii="Times New Roman" w:cs="Times New Roman" w:eastAsia="Times New Roman" w:hAnsi="Times New Roman"/>
          <w:sz w:val="13"/>
          <w:szCs w:val="13"/>
          <w:color w:val="auto"/>
        </w:rPr>
      </w:pPr>
    </w:p>
    <w:p>
      <w:pPr>
        <w:ind w:left="540" w:hanging="354"/>
        <w:spacing w:after="0"/>
        <w:tabs>
          <w:tab w:leader="none" w:pos="5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costs related to Project Fortify. Costs incurred in fiscal year 2025 were associated with Phase 1 and costs incurred in fiscal year 2026 are associated with Phase 2.</w:t>
      </w:r>
    </w:p>
    <w:p>
      <w:pPr>
        <w:spacing w:after="0" w:line="30" w:lineRule="exact"/>
        <w:rPr>
          <w:rFonts w:ascii="Times New Roman" w:cs="Times New Roman" w:eastAsia="Times New Roman" w:hAnsi="Times New Roman"/>
          <w:sz w:val="13"/>
          <w:szCs w:val="13"/>
          <w:color w:val="auto"/>
        </w:rPr>
      </w:pPr>
    </w:p>
    <w:p>
      <w:pPr>
        <w:ind w:left="540" w:hanging="354"/>
        <w:spacing w:after="0"/>
        <w:tabs>
          <w:tab w:leader="none" w:pos="5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Gain related to the settlement of a New Market Tax Credit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Adjusted Net Earnings and Adjusted Diluted Earnings Per Share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4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August 31, 2024</w:t>
            </w:r>
          </w:p>
        </w:tc>
      </w:tr>
      <w:tr>
        <w:trPr>
          <w:trHeight w:val="197"/>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61,577</w:t>
            </w:r>
          </w:p>
        </w:tc>
      </w:tr>
      <w:tr>
        <w:trPr>
          <w:trHeight w:val="204"/>
        </w:trPr>
        <w:tc>
          <w:tcPr>
            <w:tcW w:w="43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04"/>
        </w:trPr>
        <w:tc>
          <w:tcPr>
            <w:tcW w:w="43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195"/>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21,098</w:t>
            </w:r>
          </w:p>
        </w:tc>
        <w:tc>
          <w:tcPr>
            <w:tcW w:w="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31,456</w:t>
            </w:r>
          </w:p>
        </w:tc>
        <w:tc>
          <w:tcPr>
            <w:tcW w:w="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32,948</w:t>
            </w:r>
          </w:p>
        </w:tc>
        <w:tc>
          <w:tcPr>
            <w:tcW w:w="80" w:type="dxa"/>
            <w:vAlign w:val="bottom"/>
          </w:tcPr>
          <w:p>
            <w:pPr>
              <w:spacing w:after="0"/>
              <w:rPr>
                <w:sz w:val="16"/>
                <w:szCs w:val="16"/>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63,314</w:t>
            </w:r>
          </w:p>
        </w:tc>
      </w:tr>
      <w:tr>
        <w:trPr>
          <w:trHeight w:val="599"/>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43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August 31, 2024</w:t>
            </w:r>
          </w:p>
        </w:tc>
      </w:tr>
      <w:tr>
        <w:trPr>
          <w:trHeight w:val="19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4"/>
        </w:trPr>
        <w:tc>
          <w:tcPr>
            <w:tcW w:w="43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04"/>
        </w:trPr>
        <w:tc>
          <w:tcPr>
            <w:tcW w:w="43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(4)</w:t>
            </w: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19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60" w:type="dxa"/>
            <w:vAlign w:val="bottom"/>
          </w:tcPr>
          <w:p>
            <w:pPr>
              <w:spacing w:after="0"/>
              <w:rPr>
                <w:sz w:val="17"/>
                <w:szCs w:val="17"/>
                <w:color w:val="auto"/>
              </w:rPr>
            </w:pPr>
          </w:p>
        </w:tc>
        <w:tc>
          <w:tcPr>
            <w:tcW w:w="1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41"/>
        </w:trPr>
        <w:tc>
          <w:tcPr>
            <w:tcW w:w="4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21,985</w:t>
            </w:r>
          </w:p>
        </w:tc>
      </w:tr>
    </w:tbl>
    <w:p>
      <w:pPr>
        <w:spacing w:after="0" w:line="169" w:lineRule="exact"/>
        <w:rPr>
          <w:sz w:val="20"/>
          <w:szCs w:val="20"/>
          <w:color w:val="auto"/>
        </w:rPr>
      </w:pPr>
    </w:p>
    <w:p>
      <w:pPr>
        <w:ind w:left="520" w:hanging="346"/>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Acquisition-related costs include costs related to one-time expenses incurred to integrate the UW Solutions acquisition.</w:t>
      </w:r>
    </w:p>
    <w:p>
      <w:pPr>
        <w:spacing w:after="0" w:line="30" w:lineRule="exact"/>
        <w:rPr>
          <w:rFonts w:ascii="Times New Roman" w:cs="Times New Roman" w:eastAsia="Times New Roman" w:hAnsi="Times New Roman"/>
          <w:sz w:val="13"/>
          <w:szCs w:val="13"/>
          <w:color w:val="auto"/>
        </w:rPr>
      </w:pPr>
    </w:p>
    <w:p>
      <w:pPr>
        <w:ind w:left="520" w:hanging="346"/>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costs related to Project Fortify. Costs incurred in fiscal year 2025 were associated with Phase 1 and costs incurred in fiscal year 2026 are associated with Phase 2.</w:t>
      </w:r>
    </w:p>
    <w:p>
      <w:pPr>
        <w:spacing w:after="0" w:line="30" w:lineRule="exact"/>
        <w:rPr>
          <w:rFonts w:ascii="Times New Roman" w:cs="Times New Roman" w:eastAsia="Times New Roman" w:hAnsi="Times New Roman"/>
          <w:sz w:val="13"/>
          <w:szCs w:val="13"/>
          <w:color w:val="auto"/>
        </w:rPr>
      </w:pPr>
    </w:p>
    <w:p>
      <w:pPr>
        <w:ind w:left="520" w:hanging="346"/>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Gain related to the settlement of a New Market Tax Credit transaction</w:t>
      </w:r>
    </w:p>
    <w:p>
      <w:pPr>
        <w:spacing w:after="0" w:line="30" w:lineRule="exact"/>
        <w:rPr>
          <w:rFonts w:ascii="Times New Roman" w:cs="Times New Roman" w:eastAsia="Times New Roman" w:hAnsi="Times New Roman"/>
          <w:sz w:val="13"/>
          <w:szCs w:val="13"/>
          <w:color w:val="auto"/>
        </w:rPr>
      </w:pPr>
    </w:p>
    <w:p>
      <w:pPr>
        <w:ind w:left="520" w:hanging="346"/>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tax impact reflects the estimated blended statutory tax rate for the jurisdictions in which the charge or income occurred.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Net cash provided by operating activities was $37.3 million for the first six months of fiscal 2026, compared to $64.1 million in the prior year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The decrease in net cash provided by operating activities was primarily driven by lower net earnings and an increased cash used for working capital, including a net payment of $13.7 million for the settlement of an arbitration award.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Investing Activities. </w:t>
      </w:r>
      <w:r>
        <w:rPr>
          <w:rFonts w:ascii="Times New Roman" w:cs="Times New Roman" w:eastAsia="Times New Roman" w:hAnsi="Times New Roman"/>
          <w:sz w:val="14"/>
          <w:szCs w:val="14"/>
          <w:color w:val="auto"/>
        </w:rPr>
        <w:t>Net cash used in investing activities was $10.9 million for the first six months of fiscal 2026, compared to $15.5 million in the prior-year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net cash used in investing activities was primarily related to capital expenditures in both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Financing Activities. </w:t>
      </w:r>
      <w:r>
        <w:rPr>
          <w:rFonts w:ascii="Times New Roman" w:cs="Times New Roman" w:eastAsia="Times New Roman" w:hAnsi="Times New Roman"/>
          <w:sz w:val="14"/>
          <w:szCs w:val="14"/>
          <w:color w:val="auto"/>
        </w:rPr>
        <w:t>Net cash used in financing activities was $29.1 million for the first six months of fiscal 2026, compared to $34.6 million in the prior year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decrease in net cash used in financing activities was primarily driven by a reduction in repurchases of common stock.</w:t>
      </w:r>
    </w:p>
    <w:p>
      <w:pPr>
        <w:spacing w:after="0" w:line="7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Additional Liquidity Considerations. </w:t>
      </w:r>
      <w:r>
        <w:rPr>
          <w:rFonts w:ascii="Times New Roman" w:cs="Times New Roman" w:eastAsia="Times New Roman" w:hAnsi="Times New Roman"/>
          <w:sz w:val="16"/>
          <w:szCs w:val="16"/>
          <w:color w:val="auto"/>
        </w:rPr>
        <w:t>We periodically evaluate our liquidity requirements, cash needs and availability of debt resources relative to acquisition plans,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capital plans, and other working capital needs.</w:t>
      </w:r>
    </w:p>
    <w:p>
      <w:pPr>
        <w:spacing w:after="0" w:line="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and a committed $ 250.0 million delayed draw term loan facility. Borrowings under the revolving credit facility can be in Canadian dollars (CAD) limited to $25.0 million USD. The term loan facility may be utilized in up to two drawdowns, which are available to be made within one year after the closing date. The senior credit facility has a term of five years with a maturity date of July 19, 2029.</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Credit Agreement replaced the previous revolving credit facility with Wells Fargo Bank, N.A., as administrative agent, and other lenders, with maximum borrowings up to $385.0 million, and the two Canadian credit facilities with Bank of Montreal totaling $25.0 million USD.</w:t>
      </w:r>
    </w:p>
    <w:p>
      <w:pPr>
        <w:spacing w:after="0" w:line="5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As a result of the execution of the Credit Agreement, in the second quarter of fiscal 2025, we recognized a loss on extinguishment of debt within interest expense of $0.5 million for the write- off of unamortized financing fees related to the previous revolving credit facility. Additionally, we capitalized $ 3.0 million of lender fees and $0.8 million of third -party fees incurred in connection with the Credit Agreement, which were recorded as other non-current assets and are being amortized over the term of the credit facility as interest expense.</w:t>
      </w:r>
    </w:p>
    <w:p>
      <w:pPr>
        <w:spacing w:after="0" w:line="71"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August 30, 2025, we were in compliance with all covenants as defined under the terms of the Credit Agreement.</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7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71"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59"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On November 4, 2024, as part of the acquisition of UW Solutions, and for working capital and general corporate purposes, we executed a drawdown against the delayed draw term loan facility for $250.0 million. Outstanding borrowings under the term loan facility were $215.0 million as of August 30, 2025. Outstanding borrowings under the revolving credit facility were $55.0 million as of August 30, 2025.</w:t>
      </w:r>
    </w:p>
    <w:p>
      <w:pPr>
        <w:spacing w:after="0" w:line="68"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At August 30, 2025, we had a total of $2.6 million of ongoing letters of credit related to the senior credit facility, construction contracts and insurance collateral that expire in fiscal year 2026 and reduce borrowing capacity under the revolving credit facility. As of August 30, 2025, the amount available for revolving borrowings was $392.4 million.</w:t>
      </w:r>
    </w:p>
    <w:p>
      <w:pPr>
        <w:spacing w:after="0" w:line="6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We acquire the use of certain assets through operating leases, such as property, manufacturing equipment, vehicles and other equipment. Future payments for such leases, excluding leases with initial terms of one year or less, were $69.4 million at August 30, 2025, with $8.5 million payable during the remainder of fiscal 2026.</w:t>
      </w:r>
    </w:p>
    <w:p>
      <w:pPr>
        <w:spacing w:after="0" w:line="59"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As of August 30, 2025, we had $15.5 million of open purchase obligations, of which payments totaling $5.2 million are expected to become due during the remainder of fiscal 2026. These purchase obligations primarily relate to raw material commitments and capital expenditures and are not expected to impact future liquidity, as amounts should be recovered through customer billings.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expect to make contributions of $0.4 million to our defined-benefit pension plans in fiscal 2026, which will equal or exceed our minimum funding requirements.</w:t>
      </w:r>
    </w:p>
    <w:p>
      <w:pPr>
        <w:spacing w:after="0" w:line="9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As of August 30, 2025, we had reserves of $6.2 million for unrecognized tax benefits. We are unable to reasonably estimate in which future periods the remaining unrecognized tax benefits will ultimately be settled.</w:t>
      </w:r>
    </w:p>
    <w:p>
      <w:pPr>
        <w:spacing w:after="0" w:line="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are required, in the ordinary course of business, to provide surety or performance bonds that commit payments to our customers for any non-performance. At August 30, 2025, $1.2 billion of these types of bonds were outstanding, of which $293.7 million is in our backlog. These bonds have expiration dates that align with completion of the purchase order or contract. We have not been required to make any payments under these bonds with respect to our existing businesses.</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 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spacing w:after="0" w:line="71"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No material changes have occurred in the disclosure with respect to our related party transactions set forth in our Annual Report on Form 10-K for the fiscal year ended March 1,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94"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There have been no material changes to our critical accounting policies from those disclosed in our Annual Report on Form 10-K for the fiscal year ended March 1, 2025.</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Refer to the Company’s Annual Report on Form 10-K for the fiscal year ended March 1, 2025, for a discussion of the Company’s market risk. There have been no material changes in market risk since March 1, 2025.</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94" w:lineRule="exact"/>
        <w:rPr>
          <w:sz w:val="20"/>
          <w:szCs w:val="20"/>
          <w:color w:val="auto"/>
        </w:rPr>
      </w:pPr>
    </w:p>
    <w:p>
      <w:pPr>
        <w:jc w:val="both"/>
        <w:ind w:left="1160" w:hanging="578"/>
        <w:spacing w:after="0" w:line="238" w:lineRule="auto"/>
        <w:tabs>
          <w:tab w:leader="none" w:pos="114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76" w:lineRule="exact"/>
        <w:rPr>
          <w:rFonts w:ascii="Times New Roman" w:cs="Times New Roman" w:eastAsia="Times New Roman" w:hAnsi="Times New Roman"/>
          <w:sz w:val="16"/>
          <w:szCs w:val="16"/>
          <w:color w:val="auto"/>
        </w:rPr>
      </w:pPr>
    </w:p>
    <w:p>
      <w:pPr>
        <w:jc w:val="both"/>
        <w:ind w:left="1160" w:hanging="578"/>
        <w:spacing w:after="0" w:line="238" w:lineRule="auto"/>
        <w:tabs>
          <w:tab w:leader="none" w:pos="114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4, 2024, we completed our acquisition of UW Solutions. In accordance with Securities Exchange Commission guidance permitting a company to exclude an acquired business from management’s assessment of the effectiveness of internal control over financial reporting for the year in which the acquisition is completed, we have excluded UW Solutions from our assessment of the effectiveness of internal control over financial reporting as of August 30, 2025. The assets and net sales of UW Solutions that were excluded from our assessment constituted approximately 22.0% and 6.9%, respectively, of the related consolidated financial statement amounts as of and for the three months ended August 30, 2025. The scope of management’s assessment of the effectiveness of the design and operation of our disclosure controls and procedures as August 30, 2025 includes all of our consolidated operations except for those disclosure controls and procedures of UW Solutions. See Note 13 for additional information regarding the UW Solutions acquisition. Based on our assessment, the Company's management believes that, as of August 30, 2025, the Company's internal control over financial reporting was effective based on those criteria.</w:t>
      </w:r>
    </w:p>
    <w:p>
      <w:pPr>
        <w:spacing w:after="0" w:line="74" w:lineRule="exact"/>
        <w:rPr>
          <w:rFonts w:ascii="Times New Roman" w:cs="Times New Roman" w:eastAsia="Times New Roman" w:hAnsi="Times New Roman"/>
          <w:sz w:val="16"/>
          <w:szCs w:val="16"/>
          <w:color w:val="auto"/>
        </w:rPr>
      </w:pPr>
    </w:p>
    <w:p>
      <w:pPr>
        <w:jc w:val="both"/>
        <w:ind w:left="1160" w:right="20" w:hanging="578"/>
        <w:spacing w:after="0" w:line="247" w:lineRule="auto"/>
        <w:tabs>
          <w:tab w:leader="none" w:pos="114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internal controls: There was no change in the Company’s internal control over financial reporting that occurred during the fiscal quarter ended August 30,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3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or additions to our risk factors discussed in our Annual Report on Form 10-K for the fiscal year ended March 1, 2025.</w:t>
      </w: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with respect to purchases made by the Company of its own stock during the second quarter of fiscal 2026: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0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Number of</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Average Price</w:t>
            </w:r>
          </w:p>
        </w:tc>
        <w:tc>
          <w:tcPr>
            <w:tcW w:w="100" w:type="dxa"/>
            <w:vAlign w:val="bottom"/>
          </w:tcPr>
          <w:p>
            <w:pPr>
              <w:spacing w:after="0"/>
              <w:rPr>
                <w:sz w:val="11"/>
                <w:szCs w:val="11"/>
                <w:color w:val="auto"/>
              </w:rPr>
            </w:pPr>
          </w:p>
        </w:tc>
        <w:tc>
          <w:tcPr>
            <w:tcW w:w="16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Purchased as Part of</w:t>
            </w:r>
          </w:p>
        </w:tc>
        <w:tc>
          <w:tcPr>
            <w:tcW w:w="100" w:type="dxa"/>
            <w:vAlign w:val="bottom"/>
          </w:tcPr>
          <w:p>
            <w:pPr>
              <w:spacing w:after="0"/>
              <w:rPr>
                <w:sz w:val="11"/>
                <w:szCs w:val="11"/>
                <w:color w:val="auto"/>
              </w:rPr>
            </w:pPr>
          </w:p>
        </w:tc>
        <w:tc>
          <w:tcPr>
            <w:tcW w:w="19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Shares that May Yet Be</w:t>
            </w:r>
          </w:p>
        </w:tc>
        <w:tc>
          <w:tcPr>
            <w:tcW w:w="0" w:type="dxa"/>
            <w:vAlign w:val="bottom"/>
          </w:tcPr>
          <w:p>
            <w:pPr>
              <w:spacing w:after="0"/>
              <w:rPr>
                <w:sz w:val="1"/>
                <w:szCs w:val="1"/>
                <w:color w:val="auto"/>
              </w:rPr>
            </w:pPr>
          </w:p>
        </w:tc>
      </w:tr>
      <w:tr>
        <w:trPr>
          <w:trHeight w:val="13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Publicly Announced Plans or</w:t>
            </w:r>
          </w:p>
        </w:tc>
        <w:tc>
          <w:tcPr>
            <w:tcW w:w="100" w:type="dxa"/>
            <w:vAlign w:val="bottom"/>
          </w:tcPr>
          <w:p>
            <w:pPr>
              <w:spacing w:after="0"/>
              <w:rPr>
                <w:sz w:val="11"/>
                <w:szCs w:val="11"/>
                <w:color w:val="auto"/>
              </w:rPr>
            </w:pPr>
          </w:p>
        </w:tc>
        <w:tc>
          <w:tcPr>
            <w:tcW w:w="19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Purchased under the Plans or</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Purchased (a)</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Paid per Share</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Programs (b)</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Programs (b)</w:t>
            </w:r>
          </w:p>
        </w:tc>
        <w:tc>
          <w:tcPr>
            <w:tcW w:w="0" w:type="dxa"/>
            <w:vAlign w:val="bottom"/>
          </w:tcPr>
          <w:p>
            <w:pPr>
              <w:spacing w:after="0"/>
              <w:rPr>
                <w:sz w:val="1"/>
                <w:szCs w:val="1"/>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01, 2025 to June 28, 2025</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2,189,793</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29, 2025 to July 26, 2025</w:t>
            </w:r>
          </w:p>
        </w:tc>
        <w:tc>
          <w:tcPr>
            <w:tcW w:w="100" w:type="dxa"/>
            <w:vAlign w:val="bottom"/>
          </w:tcPr>
          <w:p>
            <w:pPr>
              <w:spacing w:after="0"/>
              <w:rPr>
                <w:sz w:val="17"/>
                <w:szCs w:val="17"/>
                <w:color w:val="auto"/>
              </w:rPr>
            </w:pPr>
          </w:p>
        </w:tc>
        <w:tc>
          <w:tcPr>
            <w:tcW w:w="15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2,189,793</w:t>
            </w: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27, 2025 to August 30, 2025</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2,189,793</w:t>
            </w:r>
          </w:p>
        </w:tc>
        <w:tc>
          <w:tcPr>
            <w:tcW w:w="0" w:type="dxa"/>
            <w:vAlign w:val="bottom"/>
          </w:tcPr>
          <w:p>
            <w:pPr>
              <w:spacing w:after="0"/>
              <w:rPr>
                <w:sz w:val="1"/>
                <w:szCs w:val="1"/>
                <w:color w:val="auto"/>
              </w:rPr>
            </w:pPr>
          </w:p>
        </w:tc>
      </w:tr>
      <w:tr>
        <w:trPr>
          <w:trHeight w:val="196"/>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2,189,793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00" w:hanging="294"/>
        <w:spacing w:after="0" w:line="286" w:lineRule="auto"/>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did not purchase any shares pursuant to our publicly announced repurchase program during the fiscal quarter, nor were any shares surrendered to us by plan participants to satisfy withholding tax obligations related to share-based compensation during the quarter.</w:t>
      </w:r>
    </w:p>
    <w:p>
      <w:pPr>
        <w:spacing w:after="0" w:line="51" w:lineRule="exact"/>
        <w:rPr>
          <w:rFonts w:ascii="Times New Roman" w:cs="Times New Roman" w:eastAsia="Times New Roman" w:hAnsi="Times New Roman"/>
          <w:sz w:val="13"/>
          <w:szCs w:val="13"/>
          <w:color w:val="auto"/>
        </w:rPr>
      </w:pPr>
    </w:p>
    <w:p>
      <w:pPr>
        <w:jc w:val="both"/>
        <w:ind w:left="300" w:hanging="294"/>
        <w:spacing w:after="0" w:line="268" w:lineRule="auto"/>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28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Insider Adoption or Termination of Trading Arrangements</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During the three months ended August 30, 2025, none of our directors or officers (as defined in Rule 16a- 1(f) of the Exchange Act) adopted or terminated any “Rule 10b5-1 trading arrangement” or any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4" w:name="page35"/>
    <w:bookmarkEnd w:id="34"/>
    <w:p>
      <w:pPr>
        <w:ind w:left="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80" w:type="dxa"/>
            <w:vAlign w:val="bottom"/>
          </w:tcPr>
          <w:p>
            <w:pPr>
              <w:spacing w:after="0"/>
              <w:rPr>
                <w:sz w:val="17"/>
                <w:szCs w:val="17"/>
                <w:color w:val="auto"/>
              </w:rPr>
            </w:pPr>
          </w:p>
        </w:tc>
        <w:tc>
          <w:tcPr>
            <w:tcW w:w="992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2"/>
              </w:rPr>
              <w:t>3.</w:t>
            </w:r>
          </w:p>
        </w:tc>
        <w:tc>
          <w:tcPr>
            <w:tcW w:w="5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1</w:t>
            </w:r>
          </w:p>
        </w:tc>
        <w:tc>
          <w:tcPr>
            <w:tcW w:w="9880" w:type="dxa"/>
            <w:vAlign w:val="bottom"/>
            <w:tcBorders>
              <w:right w:val="single" w:sz="8" w:color="CCEEFF"/>
            </w:tcBorders>
            <w:gridSpan w:val="8"/>
            <w:shd w:val="clear" w:color="auto" w:fill="CCEEFF"/>
          </w:tcPr>
          <w:p>
            <w:pPr>
              <w:ind w:left="80"/>
              <w:spacing w:after="0" w:line="182" w:lineRule="exact"/>
              <w:rPr>
                <w:rFonts w:ascii="Times New Roman" w:cs="Times New Roman" w:eastAsia="Times New Roman" w:hAnsi="Times New Roman"/>
                <w:sz w:val="16"/>
                <w:szCs w:val="16"/>
                <w:color w:val="0000FF"/>
                <w:w w:val="99"/>
              </w:rPr>
            </w:pPr>
            <w:hyperlink r:id="rId52">
              <w:r>
                <w:rPr>
                  <w:rFonts w:ascii="Times New Roman" w:cs="Times New Roman" w:eastAsia="Times New Roman" w:hAnsi="Times New Roman"/>
                  <w:sz w:val="16"/>
                  <w:szCs w:val="16"/>
                  <w:color w:val="0000FF"/>
                  <w:w w:val="99"/>
                </w:rPr>
                <w:t>Restated Articles of Incorporation. (Incorporated by reference to Exhibit 3.1 to Registrant's Annual Report on Form 10-K for the year-ended February 28,</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0000FF"/>
            </w:tcBorders>
            <w:gridSpan w:val="2"/>
            <w:shd w:val="clear" w:color="auto" w:fill="CCEEFF"/>
          </w:tcPr>
          <w:p>
            <w:pPr>
              <w:ind w:left="140"/>
              <w:spacing w:after="0" w:line="136" w:lineRule="exact"/>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2004.</w:t>
              </w:r>
              <w:r>
                <w:rPr>
                  <w:rFonts w:ascii="Times New Roman" w:cs="Times New Roman" w:eastAsia="Times New Roman" w:hAnsi="Times New Roman"/>
                  <w:sz w:val="14"/>
                  <w:szCs w:val="14"/>
                  <w:u w:val="single" w:color="auto"/>
                  <w:color w:val="0000FF"/>
                </w:rPr>
                <w:t>)</w:t>
              </w:r>
            </w:hyperlink>
          </w:p>
        </w:tc>
        <w:tc>
          <w:tcPr>
            <w:tcW w:w="70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5420" w:type="dxa"/>
            <w:vAlign w:val="bottom"/>
            <w:tcBorders>
              <w:top w:val="single" w:sz="8" w:color="0000FF"/>
            </w:tcBorders>
            <w:shd w:val="clear" w:color="auto" w:fill="CCEEFF"/>
          </w:tcPr>
          <w:p>
            <w:pPr>
              <w:spacing w:after="0"/>
              <w:rPr>
                <w:sz w:val="11"/>
                <w:szCs w:val="11"/>
                <w:color w:val="auto"/>
              </w:rPr>
            </w:pPr>
          </w:p>
        </w:tc>
        <w:tc>
          <w:tcPr>
            <w:tcW w:w="2280" w:type="dxa"/>
            <w:vAlign w:val="bottom"/>
            <w:tcBorders>
              <w:top w:val="single" w:sz="8" w:color="0000FF"/>
              <w:left w:val="single" w:sz="8" w:color="CCEEFF"/>
            </w:tcBorders>
            <w:shd w:val="clear" w:color="auto" w:fill="CCEEFF"/>
          </w:tcPr>
          <w:p>
            <w:pPr>
              <w:spacing w:after="0"/>
              <w:rPr>
                <w:sz w:val="11"/>
                <w:szCs w:val="11"/>
                <w:color w:val="auto"/>
              </w:rPr>
            </w:pPr>
          </w:p>
        </w:tc>
        <w:tc>
          <w:tcPr>
            <w:tcW w:w="640" w:type="dxa"/>
            <w:vAlign w:val="bottom"/>
            <w:tcBorders>
              <w:top w:val="single" w:sz="8" w:color="0000FF"/>
              <w:left w:val="single" w:sz="8" w:color="CCEEFF"/>
              <w:right w:val="single" w:sz="8" w:color="CCEEFF"/>
            </w:tcBorders>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2"/>
              </w:rPr>
              <w:t>3.</w:t>
            </w: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280" w:type="dxa"/>
            <w:vAlign w:val="bottom"/>
            <w:tcBorders>
              <w:left w:val="single" w:sz="8" w:color="CCEEFF"/>
            </w:tcBorders>
            <w:shd w:val="clear" w:color="auto" w:fill="CCEEFF"/>
          </w:tcPr>
          <w:p>
            <w:pPr>
              <w:spacing w:after="0"/>
              <w:rPr>
                <w:sz w:val="3"/>
                <w:szCs w:val="3"/>
                <w:color w:val="auto"/>
              </w:rPr>
            </w:pPr>
          </w:p>
        </w:tc>
        <w:tc>
          <w:tcPr>
            <w:tcW w:w="64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80" w:type="dxa"/>
            <w:vAlign w:val="bottom"/>
            <w:vMerge w:val="continue"/>
          </w:tcPr>
          <w:p>
            <w:pPr>
              <w:spacing w:after="0"/>
              <w:rPr>
                <w:sz w:val="14"/>
                <w:szCs w:val="14"/>
                <w:color w:val="auto"/>
              </w:rPr>
            </w:pPr>
          </w:p>
        </w:tc>
        <w:tc>
          <w:tcPr>
            <w:tcW w:w="5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2</w:t>
            </w:r>
          </w:p>
        </w:tc>
        <w:tc>
          <w:tcPr>
            <w:tcW w:w="9880" w:type="dxa"/>
            <w:vAlign w:val="bottom"/>
            <w:gridSpan w:val="8"/>
          </w:tcPr>
          <w:p>
            <w:pPr>
              <w:ind w:left="80"/>
              <w:spacing w:after="0" w:line="168" w:lineRule="exact"/>
              <w:rPr>
                <w:rFonts w:ascii="Times New Roman" w:cs="Times New Roman" w:eastAsia="Times New Roman" w:hAnsi="Times New Roman"/>
                <w:sz w:val="16"/>
                <w:szCs w:val="16"/>
                <w:color w:val="0000FF"/>
                <w:w w:val="98"/>
              </w:rPr>
            </w:pPr>
            <w:hyperlink r:id="rId53">
              <w:r>
                <w:rPr>
                  <w:rFonts w:ascii="Times New Roman" w:cs="Times New Roman" w:eastAsia="Times New Roman" w:hAnsi="Times New Roman"/>
                  <w:sz w:val="16"/>
                  <w:szCs w:val="16"/>
                  <w:color w:val="0000FF"/>
                  <w:w w:val="98"/>
                </w:rPr>
                <w:t>Articles of Amendment to Restated Articles of Incorporation. Incorporated by reference to Exhibit 3.1 to Registrant's Current Report on Form 8-K filed on</w:t>
              </w:r>
            </w:hyperlink>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0" w:type="dxa"/>
            <w:vAlign w:val="bottom"/>
            <w:tcBorders>
              <w:top w:val="single" w:sz="8" w:color="0000FF"/>
            </w:tcBorders>
            <w:gridSpan w:val="7"/>
          </w:tcPr>
          <w:p>
            <w:pPr>
              <w:ind w:left="140"/>
              <w:spacing w:after="0" w:line="136" w:lineRule="exact"/>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January 16, 2020.</w:t>
              </w:r>
            </w:hyperlink>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2"/>
              </w:rPr>
              <w:t>3.</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 w:type="dxa"/>
            <w:vAlign w:val="bottom"/>
            <w:vMerge w:val="continue"/>
          </w:tcPr>
          <w:p>
            <w:pPr>
              <w:spacing w:after="0"/>
              <w:rPr>
                <w:sz w:val="16"/>
                <w:szCs w:val="16"/>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w:t>
            </w:r>
          </w:p>
        </w:tc>
        <w:tc>
          <w:tcPr>
            <w:tcW w:w="9880" w:type="dxa"/>
            <w:vAlign w:val="bottom"/>
            <w:tcBorders>
              <w:right w:val="single" w:sz="8" w:color="CCEEFF"/>
            </w:tcBorders>
            <w:gridSpan w:val="8"/>
            <w:shd w:val="clear" w:color="auto" w:fill="CCEEFF"/>
          </w:tcPr>
          <w:p>
            <w:pPr>
              <w:ind w:left="80"/>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Amended and Restated Bylaws of Apogee Enterprises, Inc. Incorporated by reference to Exhibit 3.3 to the Registrant’s Quarterly Report on Form 10-Q</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0" w:type="dxa"/>
            <w:vAlign w:val="bottom"/>
            <w:tcBorders>
              <w:top w:val="single" w:sz="8" w:color="0000FF"/>
              <w:right w:val="single" w:sz="8" w:color="CCEEFF"/>
            </w:tcBorders>
            <w:gridSpan w:val="7"/>
            <w:shd w:val="clear" w:color="auto" w:fill="CCEEFF"/>
          </w:tcPr>
          <w:p>
            <w:pPr>
              <w:ind w:left="140"/>
              <w:spacing w:after="0" w:line="136" w:lineRule="exact"/>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filed on July 1, 2021.</w:t>
              </w:r>
            </w:hyperlink>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280" w:type="dxa"/>
            <w:vAlign w:val="bottom"/>
            <w:tcBorders>
              <w:left w:val="single" w:sz="8" w:color="CCEEFF"/>
            </w:tcBorders>
            <w:shd w:val="clear" w:color="auto" w:fill="CCEEFF"/>
          </w:tcPr>
          <w:p>
            <w:pPr>
              <w:spacing w:after="0"/>
              <w:rPr>
                <w:sz w:val="3"/>
                <w:szCs w:val="3"/>
                <w:color w:val="auto"/>
              </w:rPr>
            </w:pPr>
          </w:p>
        </w:tc>
        <w:tc>
          <w:tcPr>
            <w:tcW w:w="64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31.1#</w:t>
            </w:r>
          </w:p>
        </w:tc>
        <w:tc>
          <w:tcPr>
            <w:tcW w:w="9880" w:type="dxa"/>
            <w:vAlign w:val="bottom"/>
            <w:gridSpan w:val="8"/>
          </w:tcPr>
          <w:p>
            <w:pPr>
              <w:ind w:left="80"/>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pursuant to Rule 13a-14(a) under the Securities Exchange Act of 1934</w:t>
              </w:r>
            </w:hyperlink>
            <w:r>
              <w:rPr>
                <w:rFonts w:ascii="Times New Roman" w:cs="Times New Roman" w:eastAsia="Times New Roman" w:hAnsi="Times New Roman"/>
                <w:sz w:val="16"/>
                <w:szCs w:val="16"/>
                <w:color w:val="0000FF"/>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31.2#</w:t>
            </w:r>
          </w:p>
        </w:tc>
        <w:tc>
          <w:tcPr>
            <w:tcW w:w="9880" w:type="dxa"/>
            <w:vAlign w:val="bottom"/>
            <w:gridSpan w:val="8"/>
          </w:tcPr>
          <w:p>
            <w:pPr>
              <w:ind w:left="80"/>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Rule 13a-14(a) under the Securities Exchange Act of 1934</w:t>
              </w:r>
            </w:hyperlink>
            <w:r>
              <w:rPr>
                <w:rFonts w:ascii="Times New Roman" w:cs="Times New Roman" w:eastAsia="Times New Roman" w:hAnsi="Times New Roman"/>
                <w:sz w:val="16"/>
                <w:szCs w:val="16"/>
                <w:color w:val="0000FF"/>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w:t>
            </w:r>
          </w:p>
        </w:tc>
        <w:tc>
          <w:tcPr>
            <w:tcW w:w="9880" w:type="dxa"/>
            <w:vAlign w:val="bottom"/>
            <w:gridSpan w:val="8"/>
          </w:tcPr>
          <w:p>
            <w:pPr>
              <w:ind w:left="80"/>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hyperlink>
            <w:r>
              <w:rPr>
                <w:rFonts w:ascii="Times New Roman" w:cs="Times New Roman" w:eastAsia="Times New Roman" w:hAnsi="Times New Roman"/>
                <w:sz w:val="16"/>
                <w:szCs w:val="16"/>
                <w:color w:val="0000FF"/>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32.2#</w:t>
            </w:r>
          </w:p>
        </w:tc>
        <w:tc>
          <w:tcPr>
            <w:tcW w:w="9880" w:type="dxa"/>
            <w:vAlign w:val="bottom"/>
            <w:gridSpan w:val="8"/>
          </w:tcPr>
          <w:p>
            <w:pPr>
              <w:ind w:left="80"/>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hyperlink>
            <w:r>
              <w:rPr>
                <w:rFonts w:ascii="Times New Roman" w:cs="Times New Roman" w:eastAsia="Times New Roman" w:hAnsi="Times New Roman"/>
                <w:sz w:val="16"/>
                <w:szCs w:val="16"/>
                <w:color w:val="0000FF"/>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 w:type="dxa"/>
            <w:vAlign w:val="bottom"/>
            <w:gridSpan w:val="2"/>
            <w:vMerge w:val="continue"/>
          </w:tcPr>
          <w:p>
            <w:pPr>
              <w:spacing w:after="0"/>
              <w:rPr>
                <w:sz w:val="16"/>
                <w:szCs w:val="16"/>
                <w:color w:val="auto"/>
              </w:rPr>
            </w:pPr>
          </w:p>
        </w:tc>
        <w:tc>
          <w:tcPr>
            <w:tcW w:w="10000" w:type="dxa"/>
            <w:vAlign w:val="bottom"/>
            <w:gridSpan w:val="9"/>
          </w:tcPr>
          <w:p>
            <w:pPr>
              <w:ind w:left="80"/>
              <w:spacing w:after="0"/>
              <w:rPr>
                <w:sz w:val="20"/>
                <w:szCs w:val="20"/>
                <w:color w:val="auto"/>
              </w:rPr>
            </w:pPr>
            <w:r>
              <w:rPr>
                <w:rFonts w:ascii="Times New Roman" w:cs="Times New Roman" w:eastAsia="Times New Roman" w:hAnsi="Times New Roman"/>
                <w:sz w:val="16"/>
                <w:szCs w:val="16"/>
                <w:color w:val="auto"/>
                <w:w w:val="98"/>
              </w:rPr>
              <w:t>The following materials from Apogee Enterprises, Inc.’s Quarterly Report on Form 10-Q for the quarter ended August 30, 2025, formatted in iXBRL (Inline</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gridSpan w:val="8"/>
          </w:tcPr>
          <w:p>
            <w:pPr>
              <w:ind w:left="140"/>
              <w:spacing w:after="0" w:line="168" w:lineRule="exact"/>
              <w:rPr>
                <w:sz w:val="20"/>
                <w:szCs w:val="20"/>
                <w:color w:val="auto"/>
              </w:rPr>
            </w:pPr>
            <w:r>
              <w:rPr>
                <w:rFonts w:ascii="Times New Roman" w:cs="Times New Roman" w:eastAsia="Times New Roman" w:hAnsi="Times New Roman"/>
                <w:sz w:val="16"/>
                <w:szCs w:val="16"/>
                <w:color w:val="auto"/>
                <w:w w:val="99"/>
              </w:rPr>
              <w:t>Extensible Business Reporting Language): (i) the Consolidated Balance Sheets as of August 30, 2025 and March 1, 2025, (ii) the Consolidated Results of</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gridSpan w:val="8"/>
          </w:tcPr>
          <w:p>
            <w:pPr>
              <w:ind w:left="140"/>
              <w:spacing w:after="0" w:line="168" w:lineRule="exact"/>
              <w:rPr>
                <w:sz w:val="20"/>
                <w:szCs w:val="20"/>
                <w:color w:val="auto"/>
              </w:rPr>
            </w:pPr>
            <w:r>
              <w:rPr>
                <w:rFonts w:ascii="Times New Roman" w:cs="Times New Roman" w:eastAsia="Times New Roman" w:hAnsi="Times New Roman"/>
                <w:sz w:val="16"/>
                <w:szCs w:val="16"/>
                <w:color w:val="auto"/>
              </w:rPr>
              <w:t>Operations for the three- and six-months ended August 30, 2025 and August 31, 2024, (iii) the Consolidated Statements of Comprehensive Earnings for</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gridSpan w:val="8"/>
          </w:tcPr>
          <w:p>
            <w:pPr>
              <w:ind w:left="140"/>
              <w:spacing w:after="0" w:line="168" w:lineRule="exact"/>
              <w:rPr>
                <w:sz w:val="20"/>
                <w:szCs w:val="20"/>
                <w:color w:val="auto"/>
              </w:rPr>
            </w:pPr>
            <w:r>
              <w:rPr>
                <w:rFonts w:ascii="Times New Roman" w:cs="Times New Roman" w:eastAsia="Times New Roman" w:hAnsi="Times New Roman"/>
                <w:sz w:val="16"/>
                <w:szCs w:val="16"/>
                <w:color w:val="auto"/>
                <w:w w:val="99"/>
              </w:rPr>
              <w:t>the three- and six-months ended August 30, 2025 and August 31, 2024, (iv) the Consolidated Statements of Cash Flows for the six-months ended August</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gridSpan w:val="8"/>
          </w:tcPr>
          <w:p>
            <w:pPr>
              <w:ind w:left="140"/>
              <w:spacing w:after="0" w:line="168" w:lineRule="exact"/>
              <w:rPr>
                <w:sz w:val="20"/>
                <w:szCs w:val="20"/>
                <w:color w:val="auto"/>
              </w:rPr>
            </w:pPr>
            <w:r>
              <w:rPr>
                <w:rFonts w:ascii="Times New Roman" w:cs="Times New Roman" w:eastAsia="Times New Roman" w:hAnsi="Times New Roman"/>
                <w:sz w:val="16"/>
                <w:szCs w:val="16"/>
                <w:color w:val="auto"/>
                <w:w w:val="99"/>
              </w:rPr>
              <w:t>30, 2025 and August 31, 2024, (v) the Consolidated Statements of Shareholders' Equity for the three- and six-months ended August 30, 2025 and August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8"/>
          </w:tcPr>
          <w:p>
            <w:pPr>
              <w:ind w:left="140"/>
              <w:spacing w:after="0"/>
              <w:rPr>
                <w:sz w:val="20"/>
                <w:szCs w:val="20"/>
                <w:color w:val="auto"/>
              </w:rPr>
            </w:pPr>
            <w:r>
              <w:rPr>
                <w:rFonts w:ascii="Times New Roman" w:cs="Times New Roman" w:eastAsia="Times New Roman" w:hAnsi="Times New Roman"/>
                <w:sz w:val="16"/>
                <w:szCs w:val="16"/>
                <w:color w:val="auto"/>
              </w:rPr>
              <w:t>31, 2024, and (vi) Notes to Consolidated Financial Statements.</w:t>
            </w:r>
          </w:p>
        </w:tc>
        <w:tc>
          <w:tcPr>
            <w:tcW w:w="0" w:type="dxa"/>
            <w:vAlign w:val="bottom"/>
          </w:tcPr>
          <w:p>
            <w:pPr>
              <w:spacing w:after="0"/>
              <w:rPr>
                <w:sz w:val="1"/>
                <w:szCs w:val="1"/>
                <w:color w:val="auto"/>
              </w:rPr>
            </w:pPr>
          </w:p>
        </w:tc>
      </w:tr>
      <w:tr>
        <w:trPr>
          <w:trHeight w:val="204"/>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988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Cover Page Interactive Data File (formatted as iXBRL and contained in Exhibit 101)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auto"/>
              </w:rPr>
              <w:t>Exhibits marked with a (#) sign are filed herewith.</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gridSpan w:val="6"/>
          </w:tcPr>
          <w:p>
            <w:pPr>
              <w:ind w:left="4640"/>
              <w:spacing w:after="0"/>
              <w:rPr>
                <w:sz w:val="20"/>
                <w:szCs w:val="20"/>
                <w:color w:val="auto"/>
              </w:rPr>
            </w:pPr>
            <w:r>
              <w:rPr>
                <w:rFonts w:ascii="Times New Roman" w:cs="Times New Roman" w:eastAsia="Times New Roman" w:hAnsi="Times New Roman"/>
                <w:sz w:val="16"/>
                <w:szCs w:val="16"/>
                <w:color w:val="auto"/>
              </w:rPr>
              <w:t>35</w:t>
            </w: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5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400" w:type="dxa"/>
            <w:vAlign w:val="bottom"/>
            <w:tcBorders>
              <w:bottom w:val="single" w:sz="8" w:color="EEEEEE"/>
            </w:tcBorders>
          </w:tcPr>
          <w:p>
            <w:pPr>
              <w:spacing w:after="0"/>
              <w:rPr>
                <w:sz w:val="8"/>
                <w:szCs w:val="8"/>
                <w:color w:val="auto"/>
              </w:rPr>
            </w:pPr>
          </w:p>
        </w:tc>
        <w:tc>
          <w:tcPr>
            <w:tcW w:w="70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5420" w:type="dxa"/>
            <w:vAlign w:val="bottom"/>
            <w:tcBorders>
              <w:bottom w:val="single" w:sz="8" w:color="EEEEEE"/>
            </w:tcBorders>
          </w:tcPr>
          <w:p>
            <w:pPr>
              <w:spacing w:after="0"/>
              <w:rPr>
                <w:sz w:val="8"/>
                <w:szCs w:val="8"/>
                <w:color w:val="auto"/>
              </w:rPr>
            </w:pPr>
          </w:p>
        </w:tc>
        <w:tc>
          <w:tcPr>
            <w:tcW w:w="2280" w:type="dxa"/>
            <w:vAlign w:val="bottom"/>
            <w:tcBorders>
              <w:bottom w:val="single" w:sz="8" w:color="EEEEEE"/>
            </w:tcBorders>
          </w:tcPr>
          <w:p>
            <w:pPr>
              <w:spacing w:after="0"/>
              <w:rPr>
                <w:sz w:val="8"/>
                <w:szCs w:val="8"/>
                <w:color w:val="auto"/>
              </w:rPr>
            </w:pPr>
          </w:p>
        </w:tc>
        <w:tc>
          <w:tcPr>
            <w:tcW w:w="6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-1874520</wp:posOffset>
            </wp:positionV>
            <wp:extent cx="6616065" cy="129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616065" cy="1295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-1615440</wp:posOffset>
            </wp:positionV>
            <wp:extent cx="6616065"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616065" cy="1295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-814705</wp:posOffset>
            </wp:positionV>
            <wp:extent cx="6616065" cy="129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616065" cy="129540"/>
                    </a:xfrm>
                    <a:prstGeom prst="rect">
                      <a:avLst/>
                    </a:prstGeom>
                    <a:noFill/>
                  </pic:spPr>
                </pic:pic>
              </a:graphicData>
            </a:graphic>
          </wp:anchor>
        </w:drawing>
      </w:r>
    </w:p>
    <w:p>
      <w:pPr>
        <w:sectPr>
          <w:pgSz w:w="11900" w:h="16840" w:orient="portrait"/>
          <w:cols w:equalWidth="0" w:num="1">
            <w:col w:w="10640"/>
          </w:cols>
          <w:pgMar w:left="580" w:top="557" w:right="680"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APOGEE ENTERPRISES, INC.</w:t>
      </w:r>
    </w:p>
    <w:p>
      <w:pPr>
        <w:spacing w:after="0" w:line="260" w:lineRule="exact"/>
        <w:rPr>
          <w:sz w:val="20"/>
          <w:szCs w:val="20"/>
          <w:color w:val="auto"/>
        </w:rPr>
      </w:pPr>
    </w:p>
    <w:p>
      <w:pPr>
        <w:ind w:left="20"/>
        <w:spacing w:after="0"/>
        <w:tabs>
          <w:tab w:leader="none" w:pos="5040" w:val="left"/>
        </w:tabs>
        <w:rPr>
          <w:sz w:val="20"/>
          <w:szCs w:val="20"/>
          <w:color w:val="auto"/>
        </w:rPr>
      </w:pPr>
      <w:r>
        <w:rPr>
          <w:rFonts w:ascii="Times New Roman" w:cs="Times New Roman" w:eastAsia="Times New Roman" w:hAnsi="Times New Roman"/>
          <w:sz w:val="16"/>
          <w:szCs w:val="16"/>
          <w:color w:val="auto"/>
        </w:rPr>
        <w:t>Date: October 9, 2025</w:t>
      </w:r>
      <w:r>
        <w:rPr>
          <w:sz w:val="20"/>
          <w:szCs w:val="20"/>
          <w:color w:val="auto"/>
        </w:rPr>
        <w:tab/>
      </w:r>
      <w:r>
        <w:rPr>
          <w:rFonts w:ascii="Times New Roman" w:cs="Times New Roman" w:eastAsia="Times New Roman" w:hAnsi="Times New Roman"/>
          <w:sz w:val="14"/>
          <w:szCs w:val="14"/>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13335</wp:posOffset>
            </wp:positionV>
            <wp:extent cx="350647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506470" cy="7620"/>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Ty R. Silberhorn</w:t>
      </w:r>
    </w:p>
    <w:p>
      <w:pPr>
        <w:ind w:left="5480"/>
        <w:spacing w:after="0" w:line="203"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4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98" w:lineRule="exact"/>
        <w:rPr>
          <w:sz w:val="20"/>
          <w:szCs w:val="20"/>
          <w:color w:val="auto"/>
        </w:rPr>
      </w:pPr>
    </w:p>
    <w:p>
      <w:pPr>
        <w:ind w:left="20"/>
        <w:spacing w:after="0"/>
        <w:tabs>
          <w:tab w:leader="none" w:pos="5120" w:val="left"/>
        </w:tabs>
        <w:rPr>
          <w:sz w:val="20"/>
          <w:szCs w:val="20"/>
          <w:color w:val="auto"/>
        </w:rPr>
      </w:pPr>
      <w:r>
        <w:rPr>
          <w:rFonts w:ascii="Times New Roman" w:cs="Times New Roman" w:eastAsia="Times New Roman" w:hAnsi="Times New Roman"/>
          <w:sz w:val="16"/>
          <w:szCs w:val="16"/>
          <w:color w:val="auto"/>
        </w:rPr>
        <w:t>Date: October 9, 2025</w:t>
      </w:r>
      <w:r>
        <w:rPr>
          <w:sz w:val="20"/>
          <w:szCs w:val="20"/>
          <w:color w:val="auto"/>
        </w:rPr>
        <w:tab/>
      </w:r>
      <w:r>
        <w:rPr>
          <w:rFonts w:ascii="Times New Roman" w:cs="Times New Roman" w:eastAsia="Times New Roman" w:hAnsi="Times New Roman"/>
          <w:sz w:val="14"/>
          <w:szCs w:val="14"/>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13335</wp:posOffset>
            </wp:positionV>
            <wp:extent cx="34531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453130" cy="7620"/>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Matthew J. Osberg</w:t>
      </w:r>
    </w:p>
    <w:p>
      <w:pPr>
        <w:ind w:left="5560"/>
        <w:spacing w:after="0" w:line="203" w:lineRule="auto"/>
        <w:rPr>
          <w:sz w:val="20"/>
          <w:szCs w:val="20"/>
          <w:color w:val="auto"/>
        </w:rPr>
      </w:pPr>
      <w:r>
        <w:rPr>
          <w:rFonts w:ascii="Times New Roman" w:cs="Times New Roman" w:eastAsia="Times New Roman" w:hAnsi="Times New Roman"/>
          <w:sz w:val="16"/>
          <w:szCs w:val="16"/>
          <w:color w:val="auto"/>
        </w:rPr>
        <w:t>Executive Vice President and Chief Financial Officer</w:t>
      </w:r>
    </w:p>
    <w:p>
      <w:pPr>
        <w:ind w:left="55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10340"/>
          </w:cols>
          <w:pgMar w:left="660" w:top="557" w:right="900" w:bottom="1440" w:gutter="0" w:footer="0" w:header="0"/>
        </w:sectPr>
      </w:pPr>
    </w:p>
    <w:bookmarkStart w:id="36" w:name="page37"/>
    <w:bookmarkEnd w:id="36"/>
    <w:p>
      <w:pPr>
        <w:ind w:left="976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Ty R. Silberhorn, certify that:</w:t>
      </w:r>
    </w:p>
    <w:p>
      <w:pPr>
        <w:spacing w:after="0" w:line="92" w:lineRule="exact"/>
        <w:rPr>
          <w:sz w:val="20"/>
          <w:szCs w:val="20"/>
          <w:color w:val="auto"/>
        </w:rPr>
      </w:pPr>
    </w:p>
    <w:p>
      <w:pPr>
        <w:ind w:left="1160" w:hanging="578"/>
        <w:spacing w:after="0"/>
        <w:tabs>
          <w:tab w:leader="none" w:pos="11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Apogee Enterprises, Inc.;</w:t>
      </w:r>
    </w:p>
    <w:p>
      <w:pPr>
        <w:spacing w:after="0" w:line="92" w:lineRule="exact"/>
        <w:rPr>
          <w:rFonts w:ascii="Times New Roman" w:cs="Times New Roman" w:eastAsia="Times New Roman" w:hAnsi="Times New Roman"/>
          <w:sz w:val="16"/>
          <w:szCs w:val="16"/>
          <w:color w:val="auto"/>
        </w:rPr>
      </w:pPr>
    </w:p>
    <w:p>
      <w:pPr>
        <w:jc w:val="both"/>
        <w:ind w:left="1160" w:right="360" w:hanging="578"/>
        <w:spacing w:after="0" w:line="247" w:lineRule="auto"/>
        <w:tabs>
          <w:tab w:leader="none" w:pos="11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6"/>
          <w:szCs w:val="16"/>
          <w:color w:val="auto"/>
        </w:rPr>
      </w:pPr>
    </w:p>
    <w:p>
      <w:pPr>
        <w:ind w:left="1160" w:right="340" w:hanging="578"/>
        <w:spacing w:after="0" w:line="259" w:lineRule="auto"/>
        <w:tabs>
          <w:tab w:leader="none" w:pos="11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1160" w:hanging="578"/>
        <w:spacing w:after="0" w:line="247" w:lineRule="auto"/>
        <w:tabs>
          <w:tab w:leader="none" w:pos="11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2020" w:right="60" w:hanging="574"/>
        <w:spacing w:after="0" w:line="247" w:lineRule="auto"/>
        <w:tabs>
          <w:tab w:leader="none" w:pos="1721"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2020" w:right="220" w:hanging="574"/>
        <w:spacing w:after="0" w:line="247" w:lineRule="auto"/>
        <w:tabs>
          <w:tab w:leader="none" w:pos="173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6"/>
          <w:szCs w:val="16"/>
          <w:color w:val="auto"/>
        </w:rPr>
      </w:pPr>
    </w:p>
    <w:p>
      <w:pPr>
        <w:ind w:left="2020" w:right="140" w:hanging="574"/>
        <w:spacing w:after="0" w:line="331" w:lineRule="auto"/>
        <w:tabs>
          <w:tab w:leader="none" w:pos="1721"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Times New Roman" w:cs="Times New Roman" w:eastAsia="Times New Roman" w:hAnsi="Times New Roman"/>
          <w:sz w:val="14"/>
          <w:szCs w:val="14"/>
          <w:color w:val="auto"/>
        </w:rPr>
      </w:pPr>
    </w:p>
    <w:p>
      <w:pPr>
        <w:ind w:left="2020" w:right="60" w:hanging="574"/>
        <w:spacing w:after="0" w:line="247" w:lineRule="auto"/>
        <w:tabs>
          <w:tab w:leader="none" w:pos="173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6"/>
          <w:szCs w:val="16"/>
          <w:color w:val="auto"/>
        </w:rPr>
      </w:pPr>
    </w:p>
    <w:p>
      <w:pPr>
        <w:ind w:left="1160" w:right="260" w:hanging="578"/>
        <w:spacing w:after="0" w:line="259" w:lineRule="auto"/>
        <w:tabs>
          <w:tab w:leader="none" w:pos="11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jc w:val="right"/>
        <w:ind w:left="2020" w:right="660" w:hanging="574"/>
        <w:spacing w:after="0" w:line="331" w:lineRule="auto"/>
        <w:tabs>
          <w:tab w:leader="none" w:pos="1721"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Times New Roman" w:cs="Times New Roman" w:eastAsia="Times New Roman" w:hAnsi="Times New Roman"/>
          <w:sz w:val="14"/>
          <w:szCs w:val="14"/>
          <w:color w:val="auto"/>
        </w:rPr>
      </w:pPr>
    </w:p>
    <w:p>
      <w:pPr>
        <w:ind w:left="2020" w:right="420" w:hanging="574"/>
        <w:spacing w:after="0" w:line="259" w:lineRule="auto"/>
        <w:tabs>
          <w:tab w:leader="none" w:pos="173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Date: October 9, 2025</w:t>
      </w:r>
    </w:p>
    <w:p>
      <w:pPr>
        <w:spacing w:after="0" w:line="5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28575</wp:posOffset>
            </wp:positionV>
            <wp:extent cx="277431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774315" cy="7620"/>
                    </a:xfrm>
                    <a:prstGeom prst="rect">
                      <a:avLst/>
                    </a:prstGeom>
                    <a:noFill/>
                  </pic:spPr>
                </pic:pic>
              </a:graphicData>
            </a:graphic>
          </wp:anchor>
        </w:drawing>
      </w:r>
    </w:p>
    <w:p>
      <w:pPr>
        <w:spacing w:after="0" w:line="5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Ty R. Silberhorn</w:t>
      </w:r>
    </w:p>
    <w:p>
      <w:pPr>
        <w:ind w:left="62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40" w:orient="portrait"/>
          <w:cols w:equalWidth="0" w:num="1">
            <w:col w:w="10600"/>
          </w:cols>
          <w:pgMar w:left="660" w:top="1251" w:right="640" w:bottom="1440" w:gutter="0" w:footer="0" w:header="0"/>
        </w:sectPr>
      </w:pPr>
    </w:p>
    <w:bookmarkStart w:id="37" w:name="page38"/>
    <w:bookmarkEnd w:id="37"/>
    <w:p>
      <w:pPr>
        <w:ind w:left="97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Matthew J. Osberg, certify that:</w:t>
      </w:r>
    </w:p>
    <w:p>
      <w:pPr>
        <w:spacing w:after="0" w:line="92" w:lineRule="exact"/>
        <w:rPr>
          <w:sz w:val="20"/>
          <w:szCs w:val="20"/>
          <w:color w:val="auto"/>
        </w:rPr>
      </w:pPr>
    </w:p>
    <w:p>
      <w:pPr>
        <w:ind w:left="1160" w:hanging="578"/>
        <w:spacing w:after="0"/>
        <w:tabs>
          <w:tab w:leader="none" w:pos="11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Apogee Enterprises, Inc.;</w:t>
      </w:r>
    </w:p>
    <w:p>
      <w:pPr>
        <w:spacing w:after="0" w:line="92" w:lineRule="exact"/>
        <w:rPr>
          <w:rFonts w:ascii="Times New Roman" w:cs="Times New Roman" w:eastAsia="Times New Roman" w:hAnsi="Times New Roman"/>
          <w:sz w:val="16"/>
          <w:szCs w:val="16"/>
          <w:color w:val="auto"/>
        </w:rPr>
      </w:pPr>
    </w:p>
    <w:p>
      <w:pPr>
        <w:jc w:val="both"/>
        <w:ind w:left="1160" w:right="360" w:hanging="578"/>
        <w:spacing w:after="0" w:line="247" w:lineRule="auto"/>
        <w:tabs>
          <w:tab w:leader="none" w:pos="11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6"/>
          <w:szCs w:val="16"/>
          <w:color w:val="auto"/>
        </w:rPr>
      </w:pPr>
    </w:p>
    <w:p>
      <w:pPr>
        <w:ind w:left="1160" w:right="340" w:hanging="578"/>
        <w:spacing w:after="0" w:line="259" w:lineRule="auto"/>
        <w:tabs>
          <w:tab w:leader="none" w:pos="11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1160" w:hanging="578"/>
        <w:spacing w:after="0" w:line="247" w:lineRule="auto"/>
        <w:tabs>
          <w:tab w:leader="none" w:pos="11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2020" w:right="80" w:hanging="574"/>
        <w:spacing w:after="0" w:line="247" w:lineRule="auto"/>
        <w:tabs>
          <w:tab w:leader="none" w:pos="200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2020" w:right="100" w:hanging="574"/>
        <w:spacing w:after="0" w:line="247" w:lineRule="auto"/>
        <w:tabs>
          <w:tab w:leader="none" w:pos="20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6"/>
          <w:szCs w:val="16"/>
          <w:color w:val="auto"/>
        </w:rPr>
      </w:pPr>
    </w:p>
    <w:p>
      <w:pPr>
        <w:jc w:val="both"/>
        <w:ind w:left="2020" w:right="140" w:hanging="574"/>
        <w:spacing w:after="0" w:line="331" w:lineRule="auto"/>
        <w:tabs>
          <w:tab w:leader="none" w:pos="2008"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Times New Roman" w:cs="Times New Roman" w:eastAsia="Times New Roman" w:hAnsi="Times New Roman"/>
          <w:sz w:val="14"/>
          <w:szCs w:val="14"/>
          <w:color w:val="auto"/>
        </w:rPr>
      </w:pPr>
    </w:p>
    <w:p>
      <w:pPr>
        <w:ind w:left="2020" w:right="180" w:hanging="574"/>
        <w:spacing w:after="0" w:line="247" w:lineRule="auto"/>
        <w:tabs>
          <w:tab w:leader="none" w:pos="20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6"/>
          <w:szCs w:val="16"/>
          <w:color w:val="auto"/>
        </w:rPr>
      </w:pPr>
    </w:p>
    <w:p>
      <w:pPr>
        <w:ind w:left="1160" w:right="260" w:hanging="578"/>
        <w:spacing w:after="0" w:line="259" w:lineRule="auto"/>
        <w:tabs>
          <w:tab w:leader="none" w:pos="11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ind w:left="2020" w:right="420" w:hanging="574"/>
        <w:spacing w:after="0" w:line="331" w:lineRule="auto"/>
        <w:tabs>
          <w:tab w:leader="none" w:pos="2008"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Times New Roman" w:cs="Times New Roman" w:eastAsia="Times New Roman" w:hAnsi="Times New Roman"/>
          <w:sz w:val="14"/>
          <w:szCs w:val="14"/>
          <w:color w:val="auto"/>
        </w:rPr>
      </w:pPr>
    </w:p>
    <w:p>
      <w:pPr>
        <w:ind w:left="2020" w:right="120" w:hanging="574"/>
        <w:spacing w:after="0" w:line="259" w:lineRule="auto"/>
        <w:tabs>
          <w:tab w:leader="none" w:pos="20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Date: October 9, 2025</w:t>
      </w:r>
    </w:p>
    <w:p>
      <w:pPr>
        <w:spacing w:after="0" w:line="2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13335</wp:posOffset>
            </wp:positionV>
            <wp:extent cx="30257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Matthew J. Osberg</w:t>
      </w:r>
    </w:p>
    <w:p>
      <w:pPr>
        <w:ind w:left="58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ectPr>
          <w:pgSz w:w="11900" w:h="16840" w:orient="portrait"/>
          <w:cols w:equalWidth="0" w:num="1">
            <w:col w:w="10600"/>
          </w:cols>
          <w:pgMar w:left="660" w:top="1239" w:right="6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2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Apogee Enterprises, Inc. (the “Company”) on Form 10-Q for the period ended August 30, 2025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16" w:lineRule="exact"/>
        <w:rPr>
          <w:sz w:val="20"/>
          <w:szCs w:val="20"/>
          <w:color w:val="auto"/>
        </w:rPr>
      </w:pPr>
    </w:p>
    <w:p>
      <w:pPr>
        <w:ind w:left="580" w:hanging="286"/>
        <w:spacing w:after="0"/>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40"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38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43835" cy="762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Ty R. Silberhorn</w:t>
      </w:r>
    </w:p>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9, 2025</w:t>
      </w:r>
    </w:p>
    <w:p>
      <w:pPr>
        <w:sectPr>
          <w:pgSz w:w="11900" w:h="16840" w:orient="portrait"/>
          <w:cols w:equalWidth="0" w:num="1">
            <w:col w:w="10580"/>
          </w:cols>
          <w:pgMar w:left="660" w:top="1239" w:right="66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22"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4"/>
          <w:szCs w:val="14"/>
          <w:color w:val="auto"/>
        </w:rPr>
        <w:t>In connection with the Quarterly Report of Apogee Enterprises, Inc. (the “Company”) on Form 10-Q for the period ended August 30, 2025 as filed with the Securities and Exchange Commission (the “Report”), I, Matthew J. Osberg, Executive Vice President and Chief Financial Officer of the Company, certify, pursuant to 18 U.S.C.</w:t>
      </w:r>
    </w:p>
    <w:p>
      <w:pPr>
        <w:spacing w:after="0" w:line="1" w:lineRule="exact"/>
        <w:rPr>
          <w:sz w:val="20"/>
          <w:szCs w:val="20"/>
          <w:color w:val="auto"/>
        </w:rPr>
      </w:pPr>
    </w:p>
    <w:p>
      <w:pPr>
        <w:ind w:left="120" w:hanging="114"/>
        <w:spacing w:after="0"/>
        <w:tabs>
          <w:tab w:leader="none" w:pos="1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1350, as adopted pursuant to § 906 of the Sarbanes-Oxley Act of 2002, that based on my knowledge:</w:t>
      </w:r>
    </w:p>
    <w:p>
      <w:pPr>
        <w:spacing w:after="0" w:line="12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40"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35343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Matthew J. Osberg</w:t>
      </w:r>
    </w:p>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October 9, 2025</w:t>
      </w:r>
    </w:p>
    <w:p>
      <w:pPr>
        <w:sectPr>
          <w:pgSz w:w="11900" w:h="16840" w:orient="portrait"/>
          <w:cols w:equalWidth="0" w:num="1">
            <w:col w:w="10580"/>
          </w:cols>
          <w:pgMar w:left="660" w:top="1239" w:right="660" w:bottom="1440" w:gutter="0" w:footer="0" w:header="0"/>
        </w:sectPr>
      </w:pPr>
    </w:p>
    <w:bookmarkStart w:id="40" w:name="page41"/>
    <w:bookmarkEnd w:id="4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lvl w:ilvl="1">
      <w:lvlJc w:val="left"/>
      <w:lvlText w:val="(%2)"/>
      <w:numFmt w:val="decimal"/>
      <w:start w:val="1"/>
    </w:lvl>
  </w:abstractNum>
  <w:abstractNum w:abstractNumId="16">
    <w:nsid w:val="8138641"/>
    <w:multiLevelType w:val="hybridMultilevel"/>
    <w:lvl w:ilvl="0">
      <w:lvlJc w:val="left"/>
      <w:lvlText w:val="%1."/>
      <w:numFmt w:val="decimal"/>
      <w:start w:val="13"/>
    </w:lvl>
    <w:lvl w:ilvl="1">
      <w:lvlJc w:val="left"/>
      <w:lvlText w:val="%2"/>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52" Type="http://schemas.openxmlformats.org/officeDocument/2006/relationships/hyperlink" Target="https://www.sec.gov/Archives/edgar/data/6845/000119312504079352/dex31.htm" TargetMode="External"/><Relationship Id="rId53" Type="http://schemas.openxmlformats.org/officeDocument/2006/relationships/hyperlink" Target="https://www.sec.gov/Archives/edgar/data/6845/000119312520008887/d874518dex31.htm" TargetMode="External"/><Relationship Id="rId54" Type="http://schemas.openxmlformats.org/officeDocument/2006/relationships/hyperlink" Target="https://www.sec.gov/Archives/edgar/data/0000006845/000000684521000020/apog-ex33arbylawsfinalap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2025-10-09T15:13:35Z</dcterms:created>
  <dcterms:modified xsi:type="dcterms:W3CDTF">2025-10-09T15:13:35Z</dcterms:modified>
</cp:coreProperties>
</file>