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937895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903605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color w:val="auto"/>
        </w:rPr>
        <w:t>March 1, 2025</w:t>
      </w:r>
    </w:p>
    <w:p>
      <w:pPr>
        <w:spacing w:after="0" w:line="148" w:lineRule="exact"/>
        <w:rPr>
          <w:sz w:val="24"/>
          <w:szCs w:val="24"/>
          <w:color w:val="auto"/>
        </w:rPr>
      </w:pPr>
    </w:p>
    <w:p>
      <w:pPr>
        <w:ind w:left="680" w:right="1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5"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0-6365</w:t>
      </w:r>
    </w:p>
    <w:p>
      <w:pPr>
        <w:spacing w:after="0" w:line="6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ectPr>
          <w:pgSz w:w="11900" w:h="16838" w:orient="portrait"/>
          <w:cols w:equalWidth="0" w:num="1">
            <w:col w:w="11240"/>
          </w:cols>
          <w:pgMar w:left="320" w:top="1440" w:right="339" w:bottom="1440" w:gutter="0" w:footer="0" w:header="0"/>
        </w:sectPr>
      </w:pPr>
    </w:p>
    <w:p>
      <w:pPr>
        <w:spacing w:after="0" w:line="122"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41-0919654</w:t>
      </w:r>
    </w:p>
    <w:p>
      <w:pPr>
        <w:spacing w:after="0" w:line="26" w:lineRule="exact"/>
        <w:rPr>
          <w:sz w:val="24"/>
          <w:szCs w:val="24"/>
          <w:color w:val="auto"/>
        </w:rPr>
      </w:pPr>
    </w:p>
    <w:p>
      <w:pPr>
        <w:sectPr>
          <w:pgSz w:w="11900" w:h="16838" w:orient="portrait"/>
          <w:cols w:equalWidth="0" w:num="2">
            <w:col w:w="8340" w:space="720"/>
            <w:col w:w="2180"/>
          </w:cols>
          <w:pgMar w:left="320" w:top="1440"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1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66" w:lineRule="exact"/>
        <w:rPr>
          <w:sz w:val="24"/>
          <w:szCs w:val="24"/>
          <w:color w:val="auto"/>
        </w:rPr>
      </w:pPr>
    </w:p>
    <w:p>
      <w:pPr>
        <w:sectPr>
          <w:pgSz w:w="11900" w:h="16838" w:orient="portrait"/>
          <w:cols w:equalWidth="0" w:num="2">
            <w:col w:w="8240" w:space="720"/>
            <w:col w:w="2280"/>
          </w:cols>
          <w:pgMar w:left="320" w:top="1440"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b w:val="1"/>
          <w:bCs w:val="1"/>
          <w:color w:val="auto"/>
        </w:rPr>
        <w:t>4400 West 78th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Suite 520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Minneapolis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55435</w:t>
      </w:r>
    </w:p>
    <w:p>
      <w:pPr>
        <w:spacing w:after="0" w:line="43" w:lineRule="exact"/>
        <w:rPr>
          <w:sz w:val="24"/>
          <w:szCs w:val="24"/>
          <w:color w:val="auto"/>
        </w:rPr>
      </w:pPr>
    </w:p>
    <w:p>
      <w:pPr>
        <w:sectPr>
          <w:pgSz w:w="11900" w:h="16838" w:orient="portrait"/>
          <w:cols w:equalWidth="0" w:num="5">
            <w:col w:w="3500" w:space="720"/>
            <w:col w:w="700" w:space="360"/>
            <w:col w:w="940" w:space="440"/>
            <w:col w:w="1900" w:space="720"/>
            <w:col w:w="1960"/>
          </w:cols>
          <w:pgMar w:left="320" w:top="1440"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8460" w:space="720"/>
            <w:col w:w="206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5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sectPr>
          <w:pgSz w:w="11900" w:h="16838" w:orient="portrait"/>
          <w:cols w:equalWidth="0" w:num="3">
            <w:col w:w="3940" w:space="720"/>
            <w:col w:w="1960" w:space="720"/>
            <w:col w:w="3900"/>
          </w:cols>
          <w:pgMar w:left="320" w:top="1440"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b w:val="1"/>
          <w:bCs w:val="1"/>
          <w:color w:val="auto"/>
        </w:rPr>
        <w:t>Common Stock, $0.33 1/3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Stock Market</w:t>
      </w:r>
    </w:p>
    <w:p>
      <w:pPr>
        <w:spacing w:after="0" w:line="81" w:lineRule="exact"/>
        <w:rPr>
          <w:sz w:val="24"/>
          <w:szCs w:val="24"/>
          <w:color w:val="auto"/>
        </w:rPr>
      </w:pPr>
    </w:p>
    <w:p>
      <w:pPr>
        <w:sectPr>
          <w:pgSz w:w="11900" w:h="16838" w:orient="portrait"/>
          <w:cols w:equalWidth="0" w:num="3">
            <w:col w:w="4360" w:space="720"/>
            <w:col w:w="2120" w:space="720"/>
            <w:col w:w="3320"/>
          </w:cols>
          <w:pgMar w:left="320" w:top="14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2"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93" w:right="339" w:bottom="1440" w:gutter="0" w:footer="0" w:header="0"/>
        </w:sectPr>
      </w:pP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2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r>
    </w:tbl>
    <w:p>
      <w:pPr>
        <w:ind w:left="220"/>
        <w:spacing w:after="0" w:line="22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7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95" w:lineRule="exact"/>
        <w:rPr>
          <w:sz w:val="20"/>
          <w:szCs w:val="20"/>
          <w:color w:val="auto"/>
        </w:rPr>
      </w:pPr>
    </w:p>
    <w:p>
      <w:pPr>
        <w:sectPr>
          <w:pgSz w:w="11900" w:h="16838" w:orient="portrait"/>
          <w:cols w:equalWidth="0" w:num="2">
            <w:col w:w="10280" w:space="280"/>
            <w:col w:w="680"/>
          </w:cols>
          <w:pgMar w:left="320" w:top="1093" w:right="339" w:bottom="1440" w:gutter="0" w:footer="0" w:header="0"/>
          <w:type w:val="continuous"/>
        </w:sectPr>
      </w:pP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07" w:lineRule="exact"/>
        <w:tabs>
          <w:tab w:leader="none" w:pos="2340" w:val="left"/>
        </w:tabs>
        <w:rPr>
          <w:sz w:val="20"/>
          <w:szCs w:val="20"/>
          <w:color w:val="auto"/>
        </w:rPr>
      </w:pPr>
      <w:r>
        <w:rPr>
          <w:rFonts w:ascii="Times New Roman" w:cs="Times New Roman" w:eastAsia="Times New Roman" w:hAnsi="Times New Roman"/>
          <w:sz w:val="18"/>
          <w:szCs w:val="18"/>
          <w:color w:val="auto"/>
        </w:rPr>
        <w:t>issued its audit report.</w:t>
      </w:r>
      <w:r>
        <w:rPr>
          <w:sz w:val="20"/>
          <w:szCs w:val="20"/>
          <w:color w:val="auto"/>
        </w:rPr>
        <w:tab/>
      </w:r>
      <w:r>
        <w:rPr>
          <w:rFonts w:ascii="MS PGothic" w:cs="MS PGothic" w:eastAsia="MS PGothic" w:hAnsi="MS PGothic"/>
          <w:sz w:val="16"/>
          <w:szCs w:val="16"/>
          <w:color w:val="auto"/>
        </w:rPr>
        <w:t>☒</w:t>
      </w:r>
    </w:p>
    <w:p>
      <w:pPr>
        <w:spacing w:after="0" w:line="158"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w:t>
      </w:r>
    </w:p>
    <w:p>
      <w:pPr>
        <w:spacing w:after="0" w:line="22" w:lineRule="exact"/>
        <w:rPr>
          <w:sz w:val="20"/>
          <w:szCs w:val="20"/>
          <w:color w:val="auto"/>
        </w:rPr>
      </w:pPr>
    </w:p>
    <w:p>
      <w:pPr>
        <w:spacing w:after="0" w:line="207" w:lineRule="exact"/>
        <w:tabs>
          <w:tab w:leader="none" w:pos="9940" w:val="left"/>
        </w:tabs>
        <w:rPr>
          <w:sz w:val="20"/>
          <w:szCs w:val="20"/>
          <w:color w:val="auto"/>
        </w:rPr>
      </w:pPr>
      <w:r>
        <w:rPr>
          <w:rFonts w:ascii="Times New Roman" w:cs="Times New Roman" w:eastAsia="Times New Roman" w:hAnsi="Times New Roman"/>
          <w:sz w:val="18"/>
          <w:szCs w:val="18"/>
          <w:color w:val="auto"/>
        </w:rPr>
        <w:t>by any of the registrant's executive officers during the relevant recovery period pursuant to §240.10D-1(b).</w:t>
      </w:r>
      <w:r>
        <w:rPr>
          <w:sz w:val="20"/>
          <w:szCs w:val="20"/>
          <w:color w:val="auto"/>
        </w:rPr>
        <w:tab/>
      </w:r>
      <w:r>
        <w:rPr>
          <w:rFonts w:ascii="MS PGothic" w:cs="MS PGothic" w:eastAsia="MS PGothic" w:hAnsi="MS PGothic"/>
          <w:sz w:val="16"/>
          <w:szCs w:val="16"/>
          <w:color w:val="auto"/>
        </w:rPr>
        <w:t>☐</w:t>
      </w:r>
    </w:p>
    <w:p>
      <w:pPr>
        <w:spacing w:after="0" w:line="117" w:lineRule="exact"/>
        <w:rPr>
          <w:sz w:val="20"/>
          <w:szCs w:val="20"/>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30, 2024, the last business day of the registrant's most recently completed second fiscal quarter, the approximate aggregate market value of voting and non-voting common equity held by non-affiliates of the registrant was $1,432,300,000 (based on the closing price of $66.78 per share as reported on The Nasdaq Stock Market as of that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18, 2025, 21,419,290 shares of the registrant’s common stock, par value $0.33 1/3 per share, were outstanding.</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DOCUMENTS INCORPORATED BY REFERENCE: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G(3) of Form 10-K, certain information required by Part III hereof will either be incorporated into this Annual Report on Form 10-K by reference to our Definitive Proxy Statement for our Annual Meeting of Shareholders filed within 120 days of our fiscal year ended March 1, 2025 or will be included in an amendment to this Annual Report on Form 10-K filed within 120 days of March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97790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APOGEE ENTERPRISES, INC.</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March 1, 2025</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0"/>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92"/>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12"/>
          </w:tcPr>
          <w:p>
            <w:pPr>
              <w:jc w:val="center"/>
              <w:ind w:right="3380"/>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w:t>
            </w:r>
          </w:p>
        </w:tc>
        <w:tc>
          <w:tcPr>
            <w:tcW w:w="46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Business</w:t>
            </w:r>
          </w:p>
        </w:tc>
        <w:tc>
          <w:tcPr>
            <w:tcW w:w="520" w:type="dxa"/>
            <w:vAlign w:val="bottom"/>
            <w:tcBorders>
              <w:top w:val="single" w:sz="8" w:color="0000FF"/>
            </w:tcBorders>
            <w:gridSpan w:val="3"/>
          </w:tcPr>
          <w:p>
            <w:pPr>
              <w:spacing w:after="0"/>
              <w:rPr>
                <w:sz w:val="17"/>
                <w:szCs w:val="17"/>
                <w:color w:val="auto"/>
              </w:rPr>
            </w:pPr>
          </w:p>
        </w:tc>
        <w:tc>
          <w:tcPr>
            <w:tcW w:w="3420" w:type="dxa"/>
            <w:vAlign w:val="bottom"/>
            <w:gridSpan w:val="8"/>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340" w:type="dxa"/>
            <w:vAlign w:val="bottom"/>
            <w:gridSpan w:val="2"/>
          </w:tcPr>
          <w:p>
            <w:pPr>
              <w:spacing w:after="0"/>
              <w:rPr>
                <w:sz w:val="17"/>
                <w:szCs w:val="17"/>
                <w:color w:val="auto"/>
              </w:rPr>
            </w:pPr>
          </w:p>
        </w:tc>
        <w:tc>
          <w:tcPr>
            <w:tcW w:w="8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7760" w:type="dxa"/>
            <w:vAlign w:val="bottom"/>
            <w:gridSpan w:val="26"/>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11</w:t>
            </w:r>
          </w:p>
        </w:tc>
      </w:tr>
      <w:tr>
        <w:trPr>
          <w:trHeight w:val="196"/>
        </w:trPr>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1B.</w:t>
            </w:r>
          </w:p>
        </w:tc>
        <w:tc>
          <w:tcPr>
            <w:tcW w:w="360" w:type="dxa"/>
            <w:vAlign w:val="bottom"/>
            <w:gridSpan w:val="3"/>
          </w:tcPr>
          <w:p>
            <w:pPr>
              <w:spacing w:after="0"/>
              <w:rPr>
                <w:sz w:val="17"/>
                <w:szCs w:val="17"/>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16</w:t>
            </w:r>
          </w:p>
        </w:tc>
      </w:tr>
      <w:tr>
        <w:trPr>
          <w:trHeight w:val="196"/>
        </w:trPr>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Item 1C.</w:t>
            </w:r>
          </w:p>
        </w:tc>
        <w:tc>
          <w:tcPr>
            <w:tcW w:w="20" w:type="dxa"/>
            <w:vAlign w:val="bottom"/>
            <w:tcBorders>
              <w:top w:val="single" w:sz="8" w:color="0000FF"/>
            </w:tcBorders>
          </w:tcPr>
          <w:p>
            <w:pPr>
              <w:spacing w:after="0"/>
              <w:rPr>
                <w:sz w:val="17"/>
                <w:szCs w:val="17"/>
                <w:color w:val="auto"/>
              </w:rPr>
            </w:pPr>
          </w:p>
        </w:tc>
        <w:tc>
          <w:tcPr>
            <w:tcW w:w="360" w:type="dxa"/>
            <w:vAlign w:val="bottom"/>
            <w:gridSpan w:val="3"/>
          </w:tcPr>
          <w:p>
            <w:pPr>
              <w:spacing w:after="0"/>
              <w:rPr>
                <w:sz w:val="17"/>
                <w:szCs w:val="17"/>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4"/>
          </w:tcPr>
          <w:p>
            <w:pPr>
              <w:spacing w:after="0"/>
              <w:rPr>
                <w:sz w:val="17"/>
                <w:szCs w:val="17"/>
                <w:color w:val="auto"/>
              </w:rPr>
            </w:pPr>
          </w:p>
        </w:tc>
        <w:tc>
          <w:tcPr>
            <w:tcW w:w="6740" w:type="dxa"/>
            <w:vAlign w:val="bottom"/>
            <w:gridSpan w:val="21"/>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17</w:t>
            </w: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2.</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18</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3.</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19</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4.</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19</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12"/>
          </w:tcPr>
          <w:p>
            <w:pPr>
              <w:jc w:val="center"/>
              <w:ind w:right="3400"/>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5.</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20</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6.</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Reserved</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21</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7.</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22</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6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7A.</w:t>
            </w:r>
          </w:p>
        </w:tc>
        <w:tc>
          <w:tcPr>
            <w:tcW w:w="320" w:type="dxa"/>
            <w:vAlign w:val="bottom"/>
          </w:tcPr>
          <w:p>
            <w:pPr>
              <w:spacing w:after="0"/>
              <w:rPr>
                <w:sz w:val="17"/>
                <w:szCs w:val="17"/>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196"/>
        </w:trPr>
        <w:tc>
          <w:tcPr>
            <w:tcW w:w="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Item 8.</w:t>
            </w:r>
          </w:p>
        </w:tc>
        <w:tc>
          <w:tcPr>
            <w:tcW w:w="320" w:type="dxa"/>
            <w:vAlign w:val="bottom"/>
          </w:tcPr>
          <w:p>
            <w:pPr>
              <w:spacing w:after="0"/>
              <w:rPr>
                <w:sz w:val="17"/>
                <w:szCs w:val="17"/>
                <w:color w:val="auto"/>
              </w:rPr>
            </w:pPr>
          </w:p>
        </w:tc>
        <w:tc>
          <w:tcPr>
            <w:tcW w:w="39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660" w:type="dxa"/>
            <w:vAlign w:val="bottom"/>
            <w:gridSpan w:val="16"/>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38</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9.</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77</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9A.</w:t>
            </w:r>
          </w:p>
        </w:tc>
        <w:tc>
          <w:tcPr>
            <w:tcW w:w="340" w:type="dxa"/>
            <w:vAlign w:val="bottom"/>
            <w:gridSpan w:val="2"/>
          </w:tcPr>
          <w:p>
            <w:pPr>
              <w:spacing w:after="0"/>
              <w:rPr>
                <w:sz w:val="17"/>
                <w:szCs w:val="17"/>
                <w:color w:val="auto"/>
              </w:rPr>
            </w:pPr>
          </w:p>
        </w:tc>
        <w:tc>
          <w:tcPr>
            <w:tcW w:w="1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980" w:type="dxa"/>
            <w:vAlign w:val="bottom"/>
            <w:gridSpan w:val="22"/>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78</w:t>
            </w:r>
          </w:p>
        </w:tc>
      </w:tr>
      <w:tr>
        <w:trPr>
          <w:trHeight w:val="196"/>
        </w:trPr>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9B.</w:t>
            </w:r>
          </w:p>
        </w:tc>
        <w:tc>
          <w:tcPr>
            <w:tcW w:w="360" w:type="dxa"/>
            <w:vAlign w:val="bottom"/>
            <w:gridSpan w:val="3"/>
          </w:tcPr>
          <w:p>
            <w:pPr>
              <w:spacing w:after="0"/>
              <w:rPr>
                <w:sz w:val="17"/>
                <w:szCs w:val="17"/>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78</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78</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334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10.</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Directors, Executive Officers, Code of Ethics and Corporate Governance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78</w:t>
            </w:r>
          </w:p>
        </w:tc>
      </w:tr>
      <w:tr>
        <w:trPr>
          <w:trHeight w:val="196"/>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Item 11.</w:t>
            </w:r>
          </w:p>
        </w:tc>
        <w:tc>
          <w:tcPr>
            <w:tcW w:w="420" w:type="dxa"/>
            <w:vAlign w:val="bottom"/>
            <w:gridSpan w:val="5"/>
          </w:tcPr>
          <w:p>
            <w:pPr>
              <w:spacing w:after="0"/>
              <w:rPr>
                <w:sz w:val="17"/>
                <w:szCs w:val="17"/>
                <w:color w:val="auto"/>
              </w:rPr>
            </w:pPr>
          </w:p>
        </w:tc>
        <w:tc>
          <w:tcPr>
            <w:tcW w:w="47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Executive and Director Compensation</w:t>
            </w:r>
          </w:p>
        </w:tc>
        <w:tc>
          <w:tcPr>
            <w:tcW w:w="3840" w:type="dxa"/>
            <w:vAlign w:val="bottom"/>
            <w:gridSpan w:val="10"/>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12.</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13.</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14.</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79</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4"/>
          </w:tcPr>
          <w:p>
            <w:pPr>
              <w:jc w:val="center"/>
              <w:ind w:right="3340"/>
              <w:spacing w:after="0"/>
              <w:rPr>
                <w:sz w:val="20"/>
                <w:szCs w:val="20"/>
                <w:color w:val="auto"/>
              </w:rPr>
            </w:pPr>
            <w:r>
              <w:rPr>
                <w:rFonts w:ascii="Times New Roman" w:cs="Times New Roman" w:eastAsia="Times New Roman" w:hAnsi="Times New Roman"/>
                <w:sz w:val="16"/>
                <w:szCs w:val="16"/>
                <w:b w:val="1"/>
                <w:bCs w:val="1"/>
                <w:color w:val="0000FF"/>
                <w:w w:val="97"/>
              </w:rPr>
              <w:t>PART IV</w:t>
            </w: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15.</w:t>
            </w:r>
          </w:p>
        </w:tc>
        <w:tc>
          <w:tcPr>
            <w:tcW w:w="45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40" w:type="dxa"/>
            <w:vAlign w:val="bottom"/>
            <w:tcBorders>
              <w:top w:val="single" w:sz="8" w:color="0000FF"/>
            </w:tcBorders>
            <w:gridSpan w:val="7"/>
          </w:tcPr>
          <w:p>
            <w:pPr>
              <w:spacing w:after="0"/>
              <w:rPr>
                <w:sz w:val="17"/>
                <w:szCs w:val="17"/>
                <w:color w:val="auto"/>
              </w:rPr>
            </w:pPr>
          </w:p>
        </w:tc>
        <w:tc>
          <w:tcPr>
            <w:tcW w:w="3360" w:type="dxa"/>
            <w:vAlign w:val="bottom"/>
            <w:gridSpan w:val="6"/>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740" w:type="dxa"/>
            <w:vAlign w:val="bottom"/>
            <w:gridSpan w:val="18"/>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16.</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82</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7180" w:type="dxa"/>
            <w:vAlign w:val="bottom"/>
            <w:gridSpan w:val="23"/>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83</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of Financial Condition and Results of Operations” in Part II, Item 7,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in this Form 10-K, all of which are incorporated by reference into Item 7.</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Apogee Enterprises, Inc. (Apogee, we, us, our or the Company) was incorporated under the laws of the State of Minnesota in 1949. We are a leading provider of architectural building products and services, as well as high-performance coated materials used in a variety of applications.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fiscal 2025, the Company changed the names of two of our reporting segments to better reflect their product focus and capabilities. The previously named Architectural Framing Systems Segment is now referred to as the Architectural Metals Segment. The previously named Large-Scale Optical Segment is now referred to as the Performance Surfaces Segment. There were no changes in the products or brands included within each of the reportable segments, nor the way in which our CEO assesses performance and allocates resources for these or our other segments.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7" w:lineRule="exact"/>
        <w:rPr>
          <w:sz w:val="20"/>
          <w:szCs w:val="20"/>
          <w:color w:val="auto"/>
        </w:rPr>
      </w:pPr>
    </w:p>
    <w:p>
      <w:pPr>
        <w:ind w:left="460" w:hanging="331"/>
        <w:spacing w:after="0" w:line="25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used primarily in non-residential construction. In fiscal 2025, this segment accounted for approximately 39% of our net sales.</w:t>
      </w:r>
    </w:p>
    <w:p>
      <w:pPr>
        <w:jc w:val="both"/>
        <w:ind w:left="460" w:hanging="331"/>
        <w:spacing w:after="0" w:line="25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architectural curtainwall and other façade-related systems used primarily in non-residential construction. In fiscal 2025, this segment accounted for approximately 31% of our net sales.</w:t>
      </w:r>
    </w:p>
    <w:p>
      <w:pPr>
        <w:spacing w:after="0" w:line="1" w:lineRule="exact"/>
        <w:rPr>
          <w:rFonts w:ascii="Times New Roman" w:cs="Times New Roman" w:eastAsia="Times New Roman" w:hAnsi="Times New Roman"/>
          <w:sz w:val="18"/>
          <w:szCs w:val="18"/>
          <w:color w:val="auto"/>
        </w:rPr>
      </w:pPr>
    </w:p>
    <w:p>
      <w:pPr>
        <w:ind w:left="460" w:hanging="331"/>
        <w:spacing w:after="0" w:line="25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cuts, treats, coats and fabricates high-performance glass used in custom window and wall systems used primarily in non-residential buildings. In fiscal 2025, this segment accounted for approximately 21% of our net sales.</w:t>
      </w:r>
    </w:p>
    <w:p>
      <w:pPr>
        <w:jc w:val="both"/>
        <w:ind w:left="460" w:hanging="331"/>
        <w:spacing w:after="0" w:line="255"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 Segment</w:t>
      </w:r>
      <w:r>
        <w:rPr>
          <w:rFonts w:ascii="Times New Roman" w:cs="Times New Roman" w:eastAsia="Times New Roman" w:hAnsi="Times New Roman"/>
          <w:sz w:val="18"/>
          <w:szCs w:val="18"/>
          <w:color w:val="auto"/>
        </w:rPr>
        <w:t xml:space="preserve"> develops and manufactures high-performance coated materials for a variety of applications, including wall decor, museums, graphic design, digital displays, architectural interiors, and industrial flooring. In fiscal 2025, this segment accounted for approximately 9% of our net sales.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strategy is based on the following three key elements:</w:t>
      </w:r>
    </w:p>
    <w:p>
      <w:pPr>
        <w:jc w:val="both"/>
        <w:ind w:left="660" w:hanging="328"/>
        <w:spacing w:after="0" w:line="23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have developed a deep understanding of our target markets and aligned our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clear go-to-market strategies to drive value for our customers through differentiated product and service offerings. We are focused on operational execution, driving productivity improvements, and maintaining a competitive cost structure, so that we may bring more value to our customers and improve our own profitability.</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are shifting our business mix toward higher operating margin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to improve our return on invested capital performance. We accomplish this by allocating resources to grow our top performing businesses, actively addressing underperforming businesses, and investing in differentiated product and service offerings to accelerate our growth and increase margins.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We have established a Company-wide operating system with common tools and processes based on the foundation of Lean and Continuous Improvement, which we call the "Apogee Management System." Our strategy is supported by a robust talent management program and a commitment to strong governance to ensure compliance and drive sustainable performance.</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continually analyze our current portfolio of products, services, and capabilities to identify the best areas for future profitable growth. We also evaluate inorganic investment opportunities where we can deploy capital to acquire businesses that will be accretive to our long-term growth rate and operating margins.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Highlights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fiscal 2025, we drove further progress toward our strategic goals and financial targets. We continued the deployment of the Apogee Management System across our business, supporting sustainable cost and productivity improvements. We invested in organic and inorganic growth initiatives, including the acquisition of UW Interco, LLC (UW Solutions) and capacity expansion in the Performance Surfaces segment as well as capacity expansion to support geographic growth in the Architectural Services segment. We continue to focus on offering differentiated products and services and diversifying the mix of architectural projects that we serve. We also advanced several initiatives to strengthen our core capabilities, driving the standardization of key business processes and systems, and strengthening talent management and leadership development programs.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Metals Segment</w:t>
      </w:r>
    </w:p>
    <w:p>
      <w:pPr>
        <w:jc w:val="both"/>
        <w:spacing w:after="0" w:line="254" w:lineRule="auto"/>
        <w:rPr>
          <w:sz w:val="20"/>
          <w:szCs w:val="20"/>
          <w:color w:val="auto"/>
        </w:rPr>
      </w:pPr>
      <w:r>
        <w:rPr>
          <w:rFonts w:ascii="Times New Roman" w:cs="Times New Roman" w:eastAsia="Times New Roman" w:hAnsi="Times New Roman"/>
          <w:sz w:val="18"/>
          <w:szCs w:val="18"/>
          <w:color w:val="auto"/>
        </w:rPr>
        <w:t>Our Architectural Metals Segment designs, engineers and fabricates aluminum windows, curtainwall, storefront and entrance systems. We also extrude aluminum and provide finishing services for metal components used in a variety of building materials applications. We sell our products and services under the Tubelite®, EFCO, and Linetec® brands in the U.S. and under Alumicor™ in Canada.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 Segment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Architectural Services Segment delivers value by integrating technical capabilities, project management skills and field installation services, to provide design, engineering, fabrication and installation for the exteriors of primarily non-residential buildings. Our ability to efficiently design high-quality window and curtainwall systems and effectively manage the installation of building façades enables our customers to meet schedule and cost requirements of their projects. We sell our products and services under the Harmon® brand.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Glass Segment</w:t>
      </w:r>
    </w:p>
    <w:p>
      <w:pPr>
        <w:spacing w:after="0" w:line="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Architectural Glass Segment provides a wide range of high-performance glass products, offering customized solutions that enable architects and building owners to meet their design, aesthetic, and performance goals. We fabricate insulating, laminated, and monolithic glass units that are used in windows, curtainwall, storefront, and entrance systems. We provide premium glass solutions to meet our customers’ design and energy-performance requirements. These include proprietary, high-performance coatings, digital and silkscreen printing, heat-soaking of tempered glass, and thermal spacers. We sell our products under the Viracon® and GlassecViracon® brands.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Surfaces Segment</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Performance Surfaces Segment develops and manufactures high-performance coated materials for a variety of applications, including wall decor, museums, graphic design, digital displays, architectural interiors, and industrial flooring. We are a vertically integrated manufacturer, differentiated by our proprietary formulations and coating application processes. We sell our products under the Tru Vue®, ResinDEK®, ChromaLuxe®, RDC Coatings™, and Unisub®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Demand and Distribution Channels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Metals, Architectural Services and Architectural Glass Segments</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Demand for the products and services offered by our architectural segments is not only impacted by general economic conditions, but has historically been affected by changes in the North American non-residential construction industry, which is cyclical in nature.</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look to several external indicators to analyze potential demand for our products and services, such as U.S. and Canadian job growth, office vacancy rates, credit and interest rates, architectural billing indices, and material costs. We also rely on internal indicators to analyze demand, including our sales pipeline, which is made up of contracts in review, projects awarded or committed, and bidding activity. Our sales pipeline, together with ongoing feedback, analysis and data from our customers, architects and building owners, provides information related to near- and mid-term demand. Additionally, we evaluate data on U.S. and Canadian non-residential construction market activity, industry analysis, interest rates, and other longer-term trends provided by external data sources.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architectural products and services are used in subsets of the non-residential construction industry differentiated by the following factors:</w:t>
      </w:r>
    </w:p>
    <w:p>
      <w:pPr>
        <w:spacing w:after="0" w:line="252"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Building type</w:t>
      </w:r>
      <w:r>
        <w:rPr>
          <w:rFonts w:ascii="Times New Roman" w:cs="Times New Roman" w:eastAsia="Times New Roman" w:hAnsi="Times New Roman"/>
          <w:sz w:val="18"/>
          <w:szCs w:val="18"/>
          <w:color w:val="auto"/>
        </w:rPr>
        <w:t xml:space="preserve"> - Our products and services are primarily used in commercial buildings (office buildings, hotels and retail centers), institutional buildings (education facilities, health care facilities and government buildings), transportation facilities (airports and transit terminals), and multi-family residential buildings (a subset of residential construction).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of customization</w:t>
      </w:r>
      <w:r>
        <w:rPr>
          <w:rFonts w:ascii="Times New Roman" w:cs="Times New Roman" w:eastAsia="Times New Roman" w:hAnsi="Times New Roman"/>
          <w:sz w:val="18"/>
          <w:szCs w:val="18"/>
          <w:color w:val="auto"/>
        </w:rPr>
        <w:t xml:space="preserve"> - Many of our projects involve a high degree of customization, as the product or service is designed or fabricated to meet customer-specified requirements for aesthetics, performance and size, and local building codes.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Customers and distribution channels</w:t>
      </w:r>
      <w:r>
        <w:rPr>
          <w:rFonts w:ascii="Times New Roman" w:cs="Times New Roman" w:eastAsia="Times New Roman" w:hAnsi="Times New Roman"/>
          <w:sz w:val="18"/>
          <w:szCs w:val="18"/>
          <w:color w:val="auto"/>
        </w:rPr>
        <w:t xml:space="preserve"> - Our customers are mainly glazing subcontractors and general contractors, with project design being influenced by architects and building owners. Our windows, curtainwall, storefront and entrance systems are sold using a combination of direct sales forces, independent sales representatives, and distributors. Our installation services are sold by a direct sales force in certain metropolitan areas in the U.S and Canada. Our high-performance architectural glass is sold using both a direct sales force and independent sales representatives.</w:t>
      </w:r>
    </w:p>
    <w:p>
      <w:pPr>
        <w:spacing w:after="0" w:line="206"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Geographic location</w:t>
      </w:r>
      <w:r>
        <w:rPr>
          <w:rFonts w:ascii="Times New Roman" w:cs="Times New Roman" w:eastAsia="Times New Roman" w:hAnsi="Times New Roman"/>
          <w:sz w:val="18"/>
          <w:szCs w:val="18"/>
          <w:color w:val="auto"/>
        </w:rPr>
        <w:t xml:space="preserve"> - We primarily supply architectural glass products and aluminum framing systems, including window, curtainwall, storefront and entrance systems, to customers in North America. We are one of only a few architectural glass installation service companies in the U.S. to have a national presence and we have the ability to provide installation project management throughout the U.S. and Canada.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Surfaces Segment</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Demand for our products in our Performance Surfaces Segment is impacted by general economic conditions, including consumer confidence, spending in residential improvements, as well as growth in non-residential construction. We offer value-added coated glass, acrylic, metals, and other substrates used in the custom picture-framing market, museum market, graphic arts and decor markets, and various technical glass applications. These products are sold primarily in North America under the Tru Vue, ChromaLuxe, and Unisub brands, through national and regional retail chains using a direct sales force, as well as to local retailers through an independent distribution network. Through our ResinDEK brand, we offer engineered panels used in flooring systems designed for material handling, supply chain, and self-storage applications. These products are sold through a combination of a direct sales force and third-party representatives. Our RDC Coatings brand offers coating solutions for a variety of applications, that are custom engineered to meet customer specifications. Markets for these coatings include flooring, furniture, cabinetry, and other applications. We have a global distribution network and supply our products to customers outside of North America, primarily in Europe and Asia.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North American non-residential construction market is highly fragmented. Competitive factors include price, product quality, product attributes and performance, reliable service, on-time delivery, lead-time, warranties, and the ability to provide project management, technical engineering and design services. To protect and improve our competitive position, we maintain strong relationships with building owners, architects, and other stakeholders who influence the selection of products and services on a project, and with general contractors, who initiate projects and develop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Metals Segment</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Architectural Metals Segment competes against several national, regional, and local aluminum window and storefront manufacturers, as well as regional finishing companies. Our businesses compete by providing a broad portfolio of high-quality products, robust engineering capabilities, a vertically integrated manufacturing model, and dependable, short lead-time service.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 Segment</w:t>
      </w:r>
    </w:p>
    <w:p>
      <w:pPr>
        <w:spacing w:after="0" w:line="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Architectural Services Segment competes against international, national and regional glass installation companies. We compete by offering a robust set of capabilities at a competitive cost. Our capabilities include engineering and design services, project management, manufacturing, and field installation. We deliver these services using an operating model that is designed to reduce costs and risk for our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Glass Segment</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our Architectural Glass Segment, we compete with regional glass fabricators and international competitors who can provide certain products with attributes similar to ours. We differentiate by providing a wider range of high-quality products, including several proprietary offerings, that we can bundle together into customized solutions. We work to maintain strong relationships with architects, developers, and other industry stakeholders, and provide strong customer service and reliable delivery.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Surfaces Segment</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Performance Surfaces Segment competes primarily with European, U.S., and Asia Pacific providers of both basic and value-added glass and acrylic, and other high-performance coated substrates. Our competitive strengths include innovative proprietary products, domain expertise in coating processes and technologies, a highly automated manufacturing model, strong customer relationships, an established distribution network, and a portfolio of well-known brands.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12 years for our curtainwall, window system, and architectural glass and certain coated products, while we generally offer warranties of two years or less on our other products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Materials used in the Architectural Metals Segment include aluminum billet and extrusions, fabricated glass, plastic extrusions, hardware, paint and chemicals. Within the Architectural Services Segment, materials used include fabricated glass, finished aluminum extrusions, fabricated metal panels and hardware. Raw materials used within the Architectural Glass Segment include float glass, vinyl, silicone sealants and lumber. Materials used in the Performance Surfaces Segment are float glass, acrylic, aluminum sheets, medium-density fiberboard (MDF), and certain chemicals. Most of our raw materials are readily available from a variety of domestic and international 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several patents, trademarks, trade names, trade secrets and proprietary technologies and customer relationships that we believe constitute valuable assets, but we do not regard our business as being materially dependent on any single item or category of intellectual property. We take measures that we believe to be appropriate to protect our intellectual property to the extent such intellectual property can be protected.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Activity in the non-residential construction industry is impacted by the seasonal impact of weather and weather events in our operating locations, with activity in some markets reduced in winter due to inclement weather.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Requirements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Trade and contract-related receivables and other contract assets are the largest components of our working capital. Inventory requirements, mainly related to raw materials, are most significant in our Architectural Metals, Architectural Glass, and Performance Surfaces Segments.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various environmental and occupational safety and health laws and regulations in the U.S. and in other countries in which we operate. These laws and regulations relate to, among other things, our use and storage of hazardous materials in our manufacturing operations and associated air emissions and discharges to surface and underground waters. We have several continuing programs designed to ensure compliance with foreign, federal, state and local environmental and occupational safety and health laws and regulations. We contract with outside vendors to collect and dispose of waste at our production facilities in compliance with applicable environmental laws. In addition, we have procedures in place that enable us to properly manage the regulated materials used in and wastes created by our manufacturing processes. We believe we are currently in compliance with all such laws and regulations.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Sustainability</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committed to integrating sustainable business practices and environmental stewardship throughout our business. Our company-wide commitment to sustainable business practices is focused on delivering long-term profitable growth while carefully stewarding the resources entrusted to us, and delivering products and services that address our customers’ increased focus on energy efficiency, greenhouse gas reductions, and other performance requirements.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architectural products and services are key enablers of green building and sustainable design. We have long been at the forefront of developing innovative products and services that conserve resources and help architects and building owners achieve their sustainability goals, such as attaining Leadership in Energy and Environmental Design (LEED) certifications. Our high-performance thermal framing systems, energy-efficient architectural glass, and other products are designed to help improve building energy efficiency, reduce greenhouse gas emissions, and increase security and comfort for building occupants. Our products are made primarily with glass and aluminum components, which are recyclable at the end of their useful lives. In addition, many of our framing products can be specified with recycled aluminum content.</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commitment to sustainable business practices and environmental stewardship also extends to our own operations, including incorporating environmentally sustainable manufacturing processes, eliminating waste, and minimizing our resource consumption.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had approximately 4,500 employees on March 1, 2025, up from 4,400 employees on March 2, 2024, of which 78% are male and 22% are female. As of March 1, 2025, approximately 351, or approximately 8%, of our employees are covered by collective bargaining agreements.</w:t>
      </w:r>
    </w:p>
    <w:p>
      <w:pPr>
        <w:spacing w:after="0" w:line="19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Based on the most recent information available from our latest filing with the U.S. Equal Employment Opportunity Commission, our U.S employees had the following race and ethnicity demographics: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Employee Demographic</w:t>
            </w:r>
          </w:p>
        </w:tc>
        <w:tc>
          <w:tcPr>
            <w:tcW w:w="25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Percent of Total</w:t>
            </w: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Hispanic / Latinx</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 / African American</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30"/>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Multiracial, Native American, Native Hawaiian, and Pacific Islander</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bl>
    <w:p>
      <w:pPr>
        <w:spacing w:after="0" w:line="3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Competition for qualified employees in the markets and industries in which we operate is significant, and our success depends on the ability to attract, select, develop and retain a productive and engaged workforce. Investing in our employees and their well-being, offering competitive compensation and benefits, promoting diversity and inclusion, and adopting positive human capital management practices are critical components of our corporate strategy.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Wellness and Safety</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safety of our employees is integral to our Company. Providing a safe and secure work environment is one of our highest priorities and we devote significant time and resources to workplace safety. Our safety programs are designed to comply with stringent regulatory requirements and to meet or exceed best practices in our industry. This commitment requires focus and dedication to fundamental aspects of our business to minimize the risk of accidents, injury, and exposure to health hazards.</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fiscal 2025, we continued to improve our enterprise-wide health and safety program which centralizes oversight of workplace safety and actively shares best practices across our business. Our Apogee Safety Council meets regularly to review facility-level performance, maintain our policies, and provide short and long-term plans to achieve our ambition of achieving an incident rate of zero.</w:t>
      </w:r>
    </w:p>
    <w:p>
      <w:pPr>
        <w:spacing w:after="0" w:line="19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utilize a safety culture assessment process along with safety compliance audits to monitor safety programs within our businesses and regularly share best practices. These annual assessments and audits provide suggestions for continuous improvement in safety programs and measure employee engagement. In addition, the programs encourage the development of a proactive, inter-dependent safety culture in which leadership and employees interact to ensure safety is viewed as everyone’s responsibility. Our leadership team and Board of Directors are briefed regularly on our health and safety performance metrics.</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offer comprehensive health and wellness programs for our employees. In addition to standard health programs, including medical insurance and preventive care, we have a variety of resources available to employees relating to physical and mental wellness. We also conduct employee engagement surveys at the site level annually to hear directly from our employees with respect to what we are doing well, in addition to areas where they may need additional support.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Equal Opportunity</w:t>
      </w:r>
    </w:p>
    <w:p>
      <w:pPr>
        <w:spacing w:after="0" w:line="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strive to promote a workplace where each employee’s abilities are recognized, respected, and utilized to further our goals. Our aim is to create an environment where people feel included as a part of a team because of their diversity of outlooks, perspectives, and characteristics, and have an equal opportunity to add value to our Company. We work to create a culture of inclusion, reduce bias in our talent practices, and invest in and engage with our communities. We conduct diversity and Code of Business Ethics and Conduct trainings with employees and managers annually to define our expectations on creating an inclusive and diverse workplace, where all individuals feel respected and part of a team regardless of their race, national origin, ethnicity, gender, age, religion, disability, sexual orientation or gender identity.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 and Development</w:t>
      </w:r>
    </w:p>
    <w:p>
      <w:pPr>
        <w:spacing w:after="0" w:line="1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Our talent management program is focused on developing employees and leaders to meet our evolving needs. Employees are able to track and manage their growth through a performance management system and managers actively engage with their employees to provide coaching and feedback, identify training and development opportunities to improve performance in the employee’s current role, and to position the employee for future growth. Training and development opportunities include new-hire training, job specific training, stretch assignments, and safety training. We also offer leadership development opportunities, along with technical training for engineers, designers and sales staff. In addition, we offer an education assistance program in which certain eligible employees receive tuition reimbursement to help defray the costs associated with their continuing education. Our executive leadership and Human Resources teams regularly conduct talent reviews and succession planning to assist with meeting critical talent and leadership needs.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Sales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Information regarding export and international sales is included in Item 8, Financial Statements and Supplementary Data, within Note 16 of our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u w:val="single" w:color="auto"/>
          <w:color w:val="0000FF"/>
        </w:rPr>
        <w:t>www.apog.com</w:t>
      </w:r>
      <w:r>
        <w:rPr>
          <w:rFonts w:ascii="Times New Roman" w:cs="Times New Roman" w:eastAsia="Times New Roman" w:hAnsi="Times New Roman"/>
          <w:sz w:val="18"/>
          <w:szCs w:val="18"/>
          <w:color w:val="auto"/>
        </w:rPr>
        <w:t xml:space="preserve">. Through a link to a third-party content provider, our website provides free access to our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Also available on our website are various corporate governance documents, including our Code of Business Ethics and Conduct, Corporate Governance Guidelines, and charters for the Audit, Compensation, and Nominating and Corporate Governance Committees of the Board of Directors (the Board).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Positions with Apogee Enterprises and Past Experience</w:t>
            </w:r>
          </w:p>
        </w:tc>
      </w:tr>
      <w:tr>
        <w:trPr>
          <w:trHeight w:val="194"/>
        </w:trPr>
        <w:tc>
          <w:tcPr>
            <w:tcW w:w="1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Ty R. Silberhorn</w:t>
            </w:r>
          </w:p>
        </w:tc>
        <w:tc>
          <w:tcPr>
            <w:tcW w:w="820" w:type="dxa"/>
            <w:vAlign w:val="bottom"/>
            <w:shd w:val="clear" w:color="auto" w:fill="CCEEFF"/>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57</w:t>
            </w:r>
          </w:p>
        </w:tc>
        <w:tc>
          <w:tcPr>
            <w:tcW w:w="86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Chief Executive Officer (CEO) of the Company since January 2021. Prior to joining the Company, Mr. Silberhorn worked</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 3M, a diversified global manufacturer and technology company, most recently serving as Senior Vice President of 3M's</w:t>
            </w:r>
          </w:p>
        </w:tc>
      </w:tr>
      <w:tr>
        <w:trPr>
          <w:trHeight w:val="189"/>
        </w:trPr>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Transformation, Technologies and Services from April 2019 through December 2020. Prior to this position and since 2001,</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he held several 3M global business unit leadership roles, serving as Vice President and General Manager for divisions</w:t>
            </w: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within Safety &amp; Industrial, Transportation &amp; Electronics, and the Consumer business groups.</w:t>
            </w:r>
          </w:p>
        </w:tc>
      </w:tr>
      <w:tr>
        <w:trPr>
          <w:trHeight w:val="194"/>
        </w:trPr>
        <w:tc>
          <w:tcPr>
            <w:tcW w:w="1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Matthew Osberg</w:t>
            </w:r>
          </w:p>
        </w:tc>
        <w:tc>
          <w:tcPr>
            <w:tcW w:w="820" w:type="dxa"/>
            <w:vAlign w:val="bottom"/>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49</w:t>
            </w:r>
          </w:p>
        </w:tc>
        <w:tc>
          <w:tcPr>
            <w:tcW w:w="8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Executive Vice President and Chief Financial Officer of the Company since April 2023. Prior to joining the Company, Mr.</w:t>
            </w:r>
          </w:p>
        </w:tc>
      </w:tr>
      <w:tr>
        <w:trPr>
          <w:trHeight w:val="203"/>
        </w:trPr>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Osberg served as Chief Financial Officer at Helen of Troy Limited, a global consumer products company. Previously, Mr.</w:t>
            </w:r>
          </w:p>
        </w:tc>
      </w:tr>
      <w:tr>
        <w:trPr>
          <w:trHeight w:val="222"/>
        </w:trPr>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Osberg worked in finance roles at Best Buy Co., Inc. and Ernst &amp; Young LLP.</w:t>
            </w:r>
          </w:p>
        </w:tc>
      </w:tr>
      <w:tr>
        <w:trPr>
          <w:trHeight w:val="29"/>
        </w:trPr>
        <w:tc>
          <w:tcPr>
            <w:tcW w:w="1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194"/>
        </w:trPr>
        <w:tc>
          <w:tcPr>
            <w:tcW w:w="1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Raelyn Trende</w:t>
            </w:r>
          </w:p>
        </w:tc>
        <w:tc>
          <w:tcPr>
            <w:tcW w:w="820" w:type="dxa"/>
            <w:vAlign w:val="bottom"/>
            <w:shd w:val="clear" w:color="auto" w:fill="CCEEFF"/>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49</w:t>
            </w:r>
          </w:p>
        </w:tc>
        <w:tc>
          <w:tcPr>
            <w:tcW w:w="86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Executive Vice President and Chief Human Resources Officer since July 2024. Ms. Trende joined the Company from</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Medtronic where she served as Vice President of Global Talent Acquisition, Human Resources Technology, Analytics, and</w:t>
            </w:r>
          </w:p>
        </w:tc>
      </w:tr>
      <w:tr>
        <w:trPr>
          <w:trHeight w:val="189"/>
        </w:trPr>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Project Management Office. Prior to Medtronic, Ms. Trende was Senior Vice President of Human Resources for</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OptumHealth, a subsidiary of UnitedHealth Group. In addition, Ms. Trende served in several human resources leadership</w:t>
            </w: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roles at Target Corporation and Cargill.</w:t>
            </w:r>
          </w:p>
        </w:tc>
      </w:tr>
      <w:tr>
        <w:trPr>
          <w:trHeight w:val="194"/>
        </w:trPr>
        <w:tc>
          <w:tcPr>
            <w:tcW w:w="1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Meghan M. Elliott</w:t>
            </w:r>
          </w:p>
        </w:tc>
        <w:tc>
          <w:tcPr>
            <w:tcW w:w="820" w:type="dxa"/>
            <w:vAlign w:val="bottom"/>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48</w:t>
            </w:r>
          </w:p>
        </w:tc>
        <w:tc>
          <w:tcPr>
            <w:tcW w:w="8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Vice President, Chief Legal Officer, and Secretary of the Company since June 2020. Prior to this role, Ms. Elliott served as</w:t>
            </w:r>
          </w:p>
        </w:tc>
      </w:tr>
      <w:tr>
        <w:trPr>
          <w:trHeight w:val="203"/>
        </w:trPr>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Assistant General Counsel for the Company since 2014. Prior to joining the Company, Ms. Elliott was a partner with</w:t>
            </w:r>
          </w:p>
        </w:tc>
      </w:tr>
      <w:tr>
        <w:trPr>
          <w:trHeight w:val="222"/>
        </w:trPr>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Lindquist &amp; Vennum, PLLP (n/k/a Ballard Spahr LLP).</w:t>
            </w:r>
          </w:p>
        </w:tc>
      </w:tr>
      <w:tr>
        <w:trPr>
          <w:trHeight w:val="29"/>
        </w:trPr>
        <w:tc>
          <w:tcPr>
            <w:tcW w:w="1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194"/>
        </w:trPr>
        <w:tc>
          <w:tcPr>
            <w:tcW w:w="1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Nick C. Longman</w:t>
            </w:r>
          </w:p>
        </w:tc>
        <w:tc>
          <w:tcPr>
            <w:tcW w:w="820" w:type="dxa"/>
            <w:vAlign w:val="bottom"/>
            <w:shd w:val="clear" w:color="auto" w:fill="CCEEFF"/>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53</w:t>
            </w:r>
          </w:p>
        </w:tc>
        <w:tc>
          <w:tcPr>
            <w:tcW w:w="86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President of Apogee's Architectural Metals Segment since October 2023. Prior to this role, Mr. Longman served as</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President of Apogee's Architectural Glass segment from June 2021 to October 2023. Prior to joining the Company, Mr.</w:t>
            </w:r>
          </w:p>
        </w:tc>
      </w:tr>
      <w:tr>
        <w:trPr>
          <w:trHeight w:val="189"/>
        </w:trPr>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Longman served as Chief Executive Officer and Chief Operating Officer for Harvey Building Products, a manufacturer of</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windows, doors and accessory products, from March 2018 to November 2020 and in various functional and business</w:t>
            </w: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leadership roles at Colfax Fluid Handling, a diversified technology company, from 2012 to 2018.</w:t>
            </w:r>
          </w:p>
        </w:tc>
      </w:tr>
      <w:tr>
        <w:trPr>
          <w:trHeight w:val="194"/>
        </w:trPr>
        <w:tc>
          <w:tcPr>
            <w:tcW w:w="1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Troy R. Johnson</w:t>
            </w:r>
          </w:p>
        </w:tc>
        <w:tc>
          <w:tcPr>
            <w:tcW w:w="820" w:type="dxa"/>
            <w:vAlign w:val="bottom"/>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51</w:t>
            </w:r>
          </w:p>
        </w:tc>
        <w:tc>
          <w:tcPr>
            <w:tcW w:w="8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President of Apogee’s Architectural Services Segment since March 2020. Prior to this role, Mr. Johnson served in several</w:t>
            </w:r>
          </w:p>
        </w:tc>
      </w:tr>
      <w:tr>
        <w:trPr>
          <w:trHeight w:val="222"/>
        </w:trPr>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leadership roles in the Architectural Services Segment.</w:t>
            </w:r>
          </w:p>
        </w:tc>
      </w:tr>
      <w:tr>
        <w:trPr>
          <w:trHeight w:val="29"/>
        </w:trPr>
        <w:tc>
          <w:tcPr>
            <w:tcW w:w="1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194"/>
        </w:trPr>
        <w:tc>
          <w:tcPr>
            <w:tcW w:w="1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Brent C. Jewell</w:t>
            </w:r>
          </w:p>
        </w:tc>
        <w:tc>
          <w:tcPr>
            <w:tcW w:w="820" w:type="dxa"/>
            <w:vAlign w:val="bottom"/>
            <w:shd w:val="clear" w:color="auto" w:fill="CCEEFF"/>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51</w:t>
            </w:r>
          </w:p>
        </w:tc>
        <w:tc>
          <w:tcPr>
            <w:tcW w:w="86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President of Apogee's Architectural Glass Segment since October 2023. Prior to this role, Mr. Jewell served as President of</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Apogee's Architectural Metals Segment from August 2019 to October 2023, and as Senior Vice President, Business</w:t>
            </w:r>
          </w:p>
        </w:tc>
      </w:tr>
      <w:tr>
        <w:trPr>
          <w:trHeight w:val="189"/>
        </w:trPr>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Development and Strategy for the Company from May 2018 to August 2019. Prior to joining the Company, Mr. Jewell</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served in multiple Senior leadership positions at Valspar, a developer, manufacturer and distributor of paints and coatings,</w:t>
            </w: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from 2010 to 2017.</w:t>
            </w:r>
          </w:p>
        </w:tc>
      </w:tr>
      <w:tr>
        <w:trPr>
          <w:trHeight w:val="194"/>
        </w:trPr>
        <w:tc>
          <w:tcPr>
            <w:tcW w:w="1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Veena Lakkundi</w:t>
            </w:r>
          </w:p>
        </w:tc>
        <w:tc>
          <w:tcPr>
            <w:tcW w:w="820" w:type="dxa"/>
            <w:vAlign w:val="bottom"/>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56</w:t>
            </w:r>
          </w:p>
        </w:tc>
        <w:tc>
          <w:tcPr>
            <w:tcW w:w="8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President of Apogee’s Performance Surfaces Segment since January 2025. Prior to joining the Company, Ms. Lakkundi</w:t>
            </w:r>
          </w:p>
        </w:tc>
      </w:tr>
      <w:tr>
        <w:trPr>
          <w:trHeight w:val="220"/>
        </w:trPr>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served as Senior Vice President, Strategy and Corporate Development at Rockwell Automation, a global leader in industrial</w:t>
            </w:r>
          </w:p>
        </w:tc>
      </w:tr>
    </w:tbl>
    <w:p>
      <w:pPr>
        <w:ind w:left="2680" w:right="60"/>
        <w:spacing w:after="0" w:line="242" w:lineRule="auto"/>
        <w:rPr>
          <w:sz w:val="20"/>
          <w:szCs w:val="20"/>
          <w:color w:val="auto"/>
        </w:rPr>
      </w:pPr>
      <w:r>
        <w:rPr>
          <w:rFonts w:ascii="Times New Roman" w:cs="Times New Roman" w:eastAsia="Times New Roman" w:hAnsi="Times New Roman"/>
          <w:sz w:val="17"/>
          <w:szCs w:val="17"/>
          <w:color w:val="auto"/>
        </w:rPr>
        <w:t>automation and digital transformation. Previously, Ms. Lakkundi served at Senior Vice President and Chief Strategy Officer at 3M Company along with other key leadership positions across 3M.</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faces many risks. Any of the risks discussed below, or elsewhere in this Form 10-K or our other filings with the Securities and Exchange Commission, could have a material adverse impact on our business, financial condition or operating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Industry Risks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North American and global economic and industry-related business conditions materially adversely affect our sales and results of operations</w:t>
      </w:r>
    </w:p>
    <w:p>
      <w:pPr>
        <w:jc w:val="both"/>
        <w:spacing w:after="0" w:line="237" w:lineRule="auto"/>
        <w:rPr>
          <w:sz w:val="20"/>
          <w:szCs w:val="20"/>
          <w:color w:val="auto"/>
        </w:rPr>
      </w:pPr>
      <w:r>
        <w:rPr>
          <w:rFonts w:ascii="Times New Roman" w:cs="Times New Roman" w:eastAsia="Times New Roman" w:hAnsi="Times New Roman"/>
          <w:sz w:val="18"/>
          <w:szCs w:val="18"/>
          <w:color w:val="auto"/>
        </w:rPr>
        <w:t>Architectural Metals, Architectural Services, Architectural Glass, and a portion of our Performance Surfaces Segment are influenced by North American economic conditions and the cyclical nature of the North American non-residential construction industry. The non-residential construction industry is impacted by macroeconomic trends, such as availability of credit, employment levels, consumer confidence, interest rates and commodity prices. In addition, changes in architectural design trends, demographic trends, and/or remote work trends could impact demand for our products and services. To the extent changes in these factors negatively impact the overall non-residential construction industry, our business, operating results and financial condition could be significantly adversely impacted.</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Performance Surfaces Segment primarily depends on the strength of the U.S. retail custom picture framing industry. This industry is heavily influenced by consumer confidence and the conditions of the U.S. economy.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decline in consumer confidence, whether as a result of an economic slowdown, uncertainty regarding the future or other factors, could materially and adversely reflect the operating results of the segment.</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Global instability and uncertainty arising from events outside of our control, such as significant natural disasters, political crises, public health crises, and/or other catastrophic events could materially adversely affect our results of operations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Natural disasters, political crises, public health crises, and other catastrophic events or other events outside of our control, may negatively impact our facilities or the facilities of third parties on which we depend, have broader adverse impacts on the non-residential construction market, consumer confidence and spending, and/or impact both the well-being of our employees and our ability to operate our facilities. These types of disruptions or other events outside of our control could affect our business negatively, cause delays or cancellation of non-residential construction projects or cause us to temporarily close our facilities, harming our operating results. In addition, if any of our facilities, including our manufacturing, finishing or distribution facilities, or the facilities of our suppliers, third-party service providers, or customers, is affected by natural disasters, political crises, public health crises, or other catastrophic events or events outside of our control, our business and operating results could be materially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competitors or specific actions of our existing competitors could materially harm our business</w:t>
      </w:r>
    </w:p>
    <w:p>
      <w:pPr>
        <w:spacing w:after="0" w:line="1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We operate in competitive industries in which the actions of our existing competitors or new competitors could result in loss of customers and/or market share. Changes in our competitors' products, prices or services could negatively impact our share of demand and our operating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customer concentration in the Performance Surfaces Segment creates a significant risk for product sale declines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Performance Surfaces Segment is highly dependent on a relatively small number of customers for its sales, while working to grow in new markets and with new customers. Accordingly, loss of a significant customer, or a significant reduction in pricing for one or more of those customers could materially reduce the segment's operating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i w:val="1"/>
          <w:iCs w:val="1"/>
          <w:u w:val="single" w:color="auto"/>
          <w:color w:val="auto"/>
        </w:rPr>
        <w:t>We could be unable to effectively manage and implement our enterprise strategy, which could have a material adverse effect on our business, financial condition, and results of operations</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strategy includes differentiating our product and service offerings, shifting our business mix toward higher growth and operating margin products and services, driving higher return on invested capital performance, and moving to a more centralized operating model. Execution of this strategy require additional investments of time and resources and could fail to achieve the desired results. For example, we may be unable to increase our sales and earnings by differentiating our product and service offerings in a cost-effective manner. We may fail to accurately predict future customer needs and preferences, and thus focus on the wrong business mix. Our centralized operating system may not produce the desired operating efficiencies.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acquisitions, divestitures and restructuring programs could adversely affect our operating results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look for strategic business opportunities to drive long-term growth and operating efficiencies, which may include acquisitions, divestitures and/or restructuring plans. We frequently evaluate our brand and product portfolios and may consider acquisitions that complement our business or divestitures of businesses that we no longer believe to be an appropriate strategic fit.</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consider and execute acquisitions, we may incur risks in integrating operations, technologies, products, and employees; we may fail to realize expected revenue growth and cost synergies from integration initiatives; we would likely increase debt levels to finance an acquisition; we may not fully anticipate changes in cash flows or other market-based assumptions or conditions that cause the value of acquired assets to fall below book value, requiring impairment of intangible assets including goodwill; we may identify contingent liabilities subsequent to closing an acquisition; and we may be entering markets in which we have no or limited experience.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consider and execute future divestitures, we may be exposed to risks associated with our ability to find appropriate buyers; difficulties in executing transactions on favorable terms; separating divested business operations with minimal impact to our remaining operations; incur write-offs and impairment charges; and we may have challenges effectively managing any transition service arrangements.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consider and execute restructuring plans, we may be exposed to risks associated with successfully completing the initiative in a timely manner, or at all; advancing our business strategy as expected; accurately predicting costs; realizing anticipated cost savings, efficiencies, synergies, financial targets and other benefits; and we may experience the loss of key employees and/or reduced employee morale and productivity.</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Any acquisition, divestiture or restructuring plan, if not favorably executed by management, could have a material adverse effect on our operating results and/or financial condition.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of key personnel and inability to source sufficient labor could adversely affect our operating results</w:t>
      </w:r>
    </w:p>
    <w:p>
      <w:pPr>
        <w:spacing w:after="0" w:line="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loss of our CEO or any of our key senior executives could have a material adverse effect on our business, operating results and financial condition, particularly if we are unable to hire and integrate suitable replacements on a timely basis. Further, as our business evolves, we may have changes in our senior management team. If we are unable to attract or retain the right individuals for the team, it could hinder our ability to efficiently execute our business, and could disrupt our operations or otherwise have a material adverse effect on our business.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an important aspect of our success depends on the skills of construction project managers and other key technical personnel, and our ability to secure sufficient manufacturing and installation labor. In recent years, low U.S. unemployment has caused increased competition for experienced construction project managers and other labor. If we are unable to retain existing employees, provide a safe and healthy working environment, and/or recruit and train additional employees with the requisite skills and experience, our operating results could be adversely impacted.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If we are unable to manage our supply and distribution chains effectively our results of operations will be negatively affected</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Our Architectural Metal and Architectural Services Segments use aluminum as a significant input to their products. Our operating results in those two segments could be negatively impacted by supply chain disruptions and adverse price movements in the market for raw aluminum. In recent years, we have seen increased volatility in the price of aluminum that we purchase from both domestic and international sources. Due to our Architectural Metals and Architectural Services Segments presence in Canada, we have significant cross-border activity, as our Canadian businesses purchase inputs from U.S.-based suppliers and sell to U.S.-based customers. A significant change in U.S. trade policy with Canada could, therefore, have an adverse impact on our operating results.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Architectural Glass and Performance Surfaces Segments use raw glass as a significant input to their products. Increases in demand for raw glass may lead to lower supply or higher costs to acquire. Failure to acquire a sufficient supply of raw glass on terms as favorable as current terms could negatively impact our operating results.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suppliers are subject to the fluctuations in general economic cycles. Global economic conditions and trade policies may impact their ability to operate their businesses. They may also be impacted by the increasing costs or availability of raw materials, labor and distribution, resulting in demands for less attractive contract terms or an inability for them to meet our requirements or conduct their own businesses. The performance and financial condition of one or more suppliers may cause us to alter our business terms or to cease doing business with a particular supplier or suppliers, or change our sourcing practices generally, which could in turn adversely affect our business and financial condition. If we encounter problems with distribution, our ability to deliver our products to market could be adversely affected. Our operations are vulnerable to interruptions in the event of work stoppages, whether due to public health concerns, labor disputes or shortages, and natural disasters that may affect our distribution and transportation to job sites. Moreover, our distribution system includes computer-controlled and automated equipment, which may be subject to a number of risks related to data and system security or computer viruses, the proper operation of software and hardware, power interruptions or other system failures. If we encounter problems with our distribution systems, our ability to meet customer and consumer expectations, manage inventory, manage transportation-related costs, complete sales and achieve operating efficiencies could be adversely affected.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 management and installation issues could adversely affect our operating results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segments are occasionally awarded fixed-price contracts that do not include escalation clauses on material and labor costs. These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Difficulties in maintaining our information technology systems, and potential cybersecurity threats, could negatively affect our operating results and/or our reputation</w:t>
      </w:r>
    </w:p>
    <w:p>
      <w:pPr>
        <w:jc w:val="both"/>
        <w:spacing w:after="0" w:line="245" w:lineRule="auto"/>
        <w:rPr>
          <w:sz w:val="20"/>
          <w:szCs w:val="20"/>
          <w:color w:val="auto"/>
        </w:rPr>
      </w:pPr>
      <w:r>
        <w:rPr>
          <w:rFonts w:ascii="Times New Roman" w:cs="Times New Roman" w:eastAsia="Times New Roman" w:hAnsi="Times New Roman"/>
          <w:sz w:val="18"/>
          <w:szCs w:val="18"/>
          <w:color w:val="auto"/>
        </w:rPr>
        <w:t>Our operations are dependent upon various information technology systems that are used to process, transmit and store electronic information and data, and to manage or support our manufacturing operations and a variety of other business processes and activities, some of which are managed by third parties. We could encounter difficulties in maintaining our existing systems, developing and implementing new systems, or integrating information technology systems across our business units. Such difficulties could lead to disruption in business operations and/or significant additional expenses that could adversely affect our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our information technology and Internet based systems, and those of our third-party service providers, are subject to disruption and data loss due to natural disasters, power losses, unauthorized access, telecommunication failures and cyber-attacks of increasing frequency and sophistication. These systems have in the past been, and may in the future be, subject to cyber-attacks and other attempts to gain unauthorized access, breach, damage, disrupt or otherwise compromise such systems, none of which have been material to us in the last three fiscal years. The occurrence of any of these events could adversely affect our reputation and could result in the compromise of confidential information, litigation, manipulation and loss of data and intellectual property, regulatory action, production downtimes, disruption in availability of financial data, misrepresentation of information via digital media, and increased costs and operational consequences of implementing further data protection systems.</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security measures may also be breached in the future as a result of employee error, failure to implement appropriate processes and procedures, advances in computer and software capabilities and encryption technology, new tools and discoveries, malfeasance, third-party action, including cyber-attacks or other international misconduct by computer hackers or otherwise. Additionally, we may have heightened cybersecurity, information security and operational risks as a result of work-from-home arrangements. Our workforce operates with a combination of remote work and flexible work schedules opening us up for cybersecurity threats and potential breaches as a result of increased employee usage of networks other than company-managed networks. This could result in one or more third-parties obtaining unauthorized access to our customer or supplier data or our internal data, including personally identifiable information, intellectual property and other confidential business information. Third-parties may also attempt to fraudulently induce employees into disclosing sensitive information such as user names, passwords or other information in order to gain access to customer or supplier data or our internal data, including intellectual property, financial, and other confidential business information.</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our mitigation measures reduce, but cannot eliminate, the risk of a cyber incident; however, there can be no assurance that our existing and planned precautions of backup systems, regular data backups, security protocols and other procedures will be adequate to prevent significant damage, system failure or data loss and the same is true for our partners, vendors and other third parties on which we rely. While we maintain cybersecurity insurance, the costs related to cybersecurity threats or disruptions may not be fully insured. Because techniques used to obtain unauthorized access or sabotage systems change frequently and generally are not identified until they are launched against a target, we may be unable to anticipate these techniques or to implement adequate preventative or mitigation measures. Though it is difficult to determine what harm may directly result from any specific interruption or breach, any failure to maintain performance, reliability, security and availability of our network infrastructure or otherwise maintain the confidentiality, security, and integrity of data that we store or otherwise maintain on behalf of third-parties may harm our reputation and our employee and customer relationships. If such unauthorized disclosure or access does occur, we may be required to notify our customers, employees or those persons whose information was improperly used, disclosed or accessed. We may also be subject to claims of breach of contract for such use or disclosure, investigation and penalties by regulatory authorities and potential claims by persons whose information was improperly used or disclosed. We could also become the subject of regulatory action or litigation from our customers, employees, suppliers, service providers, and shareholders, which could damage our reputation, require significant expenditures of capital and other resources, and cause us to lose business. Additionally, an unauthorized disclosure or use of information could cause interruptions in our operations and might require us to spend significant management time and other resources investigating the event and dealing with local and federal law enforcement. Regardless of the merits and ultimate outcome of these matters, we may be required to devote time and expense to their resolution.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number of data security incidents has increased regulatory and industry focus on security requirements and heightened data security industry practices. New regulation, evolving industry standards, and the interpretation of both, may cause us to incur additional expense in complying with any new data security requirements. As a result, the failure to maintain the integrity of and protect customer or supplier data or our confidential internal data could have a material adverse effect on our business, operating results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Regulatory and Tax Risks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trade policies may result in increased costs and could adversely affect our operating results</w:t>
      </w:r>
    </w:p>
    <w:p>
      <w:pPr>
        <w:jc w:val="both"/>
        <w:spacing w:after="0" w:line="234" w:lineRule="auto"/>
        <w:rPr>
          <w:sz w:val="20"/>
          <w:szCs w:val="20"/>
          <w:color w:val="auto"/>
        </w:rPr>
      </w:pPr>
      <w:r>
        <w:rPr>
          <w:rFonts w:ascii="Times New Roman" w:cs="Times New Roman" w:eastAsia="Times New Roman" w:hAnsi="Times New Roman"/>
          <w:sz w:val="18"/>
          <w:szCs w:val="18"/>
          <w:color w:val="auto"/>
        </w:rPr>
        <w:t>The impact of geopolitical tensions, including the potential implementation of more restrictive trade policies, higher tariffs or the renegotiation of existing trade agreements in the U.S. or countries where we sell our products and services or procure products, could have a material adverse effect on our business. In particular, political or trade disputes, or future phases of trade negotiations with Canada that could lead to the imposition of tariffs or other trade actions could require us to take action to mitigate those effects. We may be unable to pass through additional tariff costs to our customers through price increases, and may be unable to secure adequate alternative sources of supply. Our inability to offset higher tariff costs could have a material adverse effect on our operating results, profitability, customer relationships and future cash flow.</w:t>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Violations of legal and regulatory compliance requirements, including environmental laws, and changes in existing legal and regulatory requirements, may have a negative impact on our business and results of operations</w:t>
      </w:r>
    </w:p>
    <w:p>
      <w:pPr>
        <w:spacing w:after="0"/>
        <w:rPr>
          <w:sz w:val="20"/>
          <w:szCs w:val="20"/>
          <w:color w:val="auto"/>
        </w:rPr>
      </w:pPr>
      <w:r>
        <w:rPr>
          <w:rFonts w:ascii="Times New Roman" w:cs="Times New Roman" w:eastAsia="Times New Roman" w:hAnsi="Times New Roman"/>
          <w:sz w:val="18"/>
          <w:szCs w:val="18"/>
          <w:color w:val="auto"/>
        </w:rPr>
        <w:t>We are subject to a legal and regulatory framework imposed under federal and state laws and regulatory agencies, including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 and regulations that apply specifically to U.S. public companies and laws and regulations applicable to our manufacturing and construction site operations. Our efforts to comply with evolving laws, regulations, and reporting standards, including climate-related regulations, may increase our general and administrative expenses, divert management time and attention, or limit our operational flexibility, all of which could have a material adverse effect on our business, financial position, and results of operations. Additionally, new laws, rules, and regulations, or changes to existing laws or their interpretations, could create added legal and compliance costs and uncertainty for us.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hazardous materials in our manufacturing operations, and have air and water emissions that require controls. Accordingly, we are also subject to federal, state, local and foreign environmental laws and regulations, including those governing the storage and use of hazardous materials and disposal of wastes. A violation of such laws and regulations, or a release of such substances, may expose us to various claims, including claims by third parties, as well as remediation costs and fines.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quality issues and product liability claims could adversely affect our operating results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manufacture and/or install a significant portion of our products based on the specific requirements of each customer. We believe that future orders of our products or services will depend on our ability to maintain the performance, reliability, quality and timely delivery standards required by our customers. We have in the past, and are currently, subject to product liability and warranty claims, including certain legal claims related to a commercial sealant product formerly incorporated into our products, and there is no certainty we will prevail on these claims. If our products have performance, reliability or quality problems, or products are installed using incompatible glazing materials or installed improperly (by us or a customer), we may experience additional warranty and other expenses; reduced or canceled orders; higher manufacturing or installation costs; or delays in the collection of accounts receivable. Additionally, product liability and warranty claims, including relating to the performance, reliability or quality of our products and services, could result in costly and time-consuming litigation that could require significant time and attention of management and involve significant monetary damages that could negatively impact our operating results. There is also no assurance that the number and value of product liability and warranty claims will not increase as compared to historical claim rates, or that our warranty reserve at any particular time is sufficient. No assurance can be given that coverage under insurance policies, if applicable, will be adequate to cover future product liability claims against us. If we are unable to recover on insurance claims, in whole or in part, or if we exhaust our available insurance coverage at some point in the future, then we might be forced to expend our own funds on legal fees and settlement or judgment costs, which could negatively impact our profitability, results of operations, cash flows and financial condition.</w:t>
      </w: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Our judgments regarding the accounting for tax positions and the resolution of tax disputes, as well as any changes in tax legislation may impact our net earnings and cash flow</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Significant judgment is required to determine our effective tax rate and evaluate our tax positions. We provide for uncertain tax positions when such tax positions do not meet the recognition thresholds or measurement criteria prescribed by applicable accounting standards. Fluctuations in federal, state, local and foreign taxes or a change to uncertain tax positions, including related interest and penalties, may impact our effective tax rate and financial results. Additionally, we are subject to audits in the various taxing jurisdictions in which we conduct business. In cases where audits are conducted and issues are raised, a number of years may elapse before such issues are finally resolved. Unfavorable resolution of any tax matter could increase the effective tax rate, which could have an adverse effect on our operating results and cash flow. The impact of future tax legislation in the U.S. or abroad is always uncertain. Changes in such laws could adversely impact our effective income tax rate.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u w:val="single" w:color="auto"/>
          <w:color w:val="auto"/>
        </w:rPr>
        <w:t>Results can differ significantly from our expectations and the expectations of analysts, which could have an adverse effect on the market price of our common stock</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From time to time, we may provide financial projections to our shareholders, lenders, investment community, and other stakeholders. Our projections are based on management’s best estimate utilizing prevailing business and economic conditions as well as other relevant information available at the time. These projections are highly subjective and are based upon a variety of factors that could change materially over time. As a result, our future actual results could vary materially from our projections which could have an adverse impact on the market price of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macroeconomic factors may negatively impact our profitability</w:t>
      </w:r>
    </w:p>
    <w:p>
      <w:pPr>
        <w:spacing w:after="0" w:line="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Rising interest rates, inflation, and higher input costs, could reduce the demand for our products and services and impact our profitability. Higher interest rates make it more expensive for our customers to finance construction projects, and as a result, may reduce the number of projects available to us and the demand for our products and services, and also increase the interest expenses associated with our borrowings. Cost inflation, including significant cost increases for freight, aluminum, glass, paint, wood-based and other materials used in our operations, has impacted, and could continue to impact, our profitability. Furthermore, in some of our segments, we operate on contracts wherein we bear part or all of the risk of inflation on materials costs and the cost of installation services. Our ability to mitigate these costs, or recover the cost increases through price increases, may lag the cost increases, which could negatively impact our margins.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We may experience further impairment of our goodwill, indefinite- and definite-lived intangible assets and long-lived assets, in the future, which could adversely impact our financial condition and results of operations</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assets include a significant amount of goodwill, indefinite- and definite-lived intangible assets and long-lived assets. We evaluate goodwill and indefinite-lived intangible assets for impairment annually in our fiscal fourth quarter, or more frequently if events or changes in circumstances indicate that the carrying value of a reporting unit may not be recoverable. We evaluate definite-lived intangible assets and long-lived assets for impairment if events or changes in circumstances indicate that the carrying value of the long-lived asset may not be recoverable. The assessment of impairment involves significant judgment and projections about future performance.</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Based on our annual impairment valuation analysis performed in the fourth quarter of fiscal 2025, we incurred $7.6 million of pre-tax impairment charges related to indefinite-lived intangibles in the Architectural Metals Segment as a result of strategic branding changes. Additionally, as a result of a publicly announced restructuring plan in the fourth quarter of fiscal 2024, we incurred $6.2 million of pre-tax impairment charges related to property, plant and equipment and operating lease right-of-use assets.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discounted cash flow projections and revenue projections used in our annual impairment valuation analysis are dependent upon achieving forecasted levels of revenue and profitability. If revenue or profitability were to fall below forecasted levels, or if market conditions were to decline in a material or sustained manner, impairment could be indicated and we could incur a non-cash impairment expense that would negatively impact our financial condition and results of operations.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Failure to maintain effective internal controls over financial reporting could adversely impact our ability to timely and accurately report financial results and comply with our reporting obligations, which could materially affect our business</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Regardless of how internal financial reporting control systems are designed, implemented, and enforced, they cannot ensure with absolute certainty that our internal control objectives will be met in every instance. Because of the inherent limitations of all such systems, our internal controls over financial reporting may not always prevent or detect misstatements. Failure to maintain effective internal control over financial reporting could adversely affect our ability to accurately and timely report financial results, to prevent or detect fraud, or to comply with the requirements of the SEC or the Sarbanes-Oxley Act of 2002, which could necessitate a restatement of our financial statements, and/or result in an investigation, or the imposition of sanctions, by regulators. Such failure could additionally expose us to litigation and/or reputational harm, impair our ability to obtain financing, or increase the cost of any financing we obtain. All of these impacts could adversely affect the price of our common stock and our business overall.</w:t>
      </w:r>
    </w:p>
    <w:p>
      <w:pPr>
        <w:spacing w:after="0" w:line="211"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Our liquidity or cost of capital may be materially adversely affected by constraints or changes in the capital and credit markets, interest rates and limitations under our financing arrangements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need sufficient sources of liquidity to fund our working capital requirements, service our outstanding indebtedness and finance business opportunities. Without sufficient liquidity, we could be forced to curtail our operations, or we may not be able to pursue business opportunities. The principal sources of our liquidity are funds generated from operating activities, available cash, credit facilities, and other debt arrangements. If our sources of liquidity do not satisfy our requirements, we may need to seek additional financing. The future availability of financing will depend on a variety of factors, such as economic and market conditions, the regulatory environment for banks and other financial institutions, the availability of credit and our reputation with potential lenders. These factors could materially adversely affect our liquidity, costs of borrowing and our ability to pursue business opportunities or grow our business. We may also assume or incur additional debt, including secured debt, in the future in connection with, or to fund, future acquisitions or for other operating needs.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recognize the critical importance of maintaining the confidentiality, integrity and availability of our information systems and data, and of effectively assessing, identifying and managing cybersecurity and related risks. Our cybersecurity risk management program is integrated into our Enterprise Risk Management framework and utilizes a holistic approach to addressing cybersecurity risk. It is supported by our employees, cybersecurity team, senior management, the Enterprise Risk Management committee, and our Board of Directors (Board). The underlying controls for the cybersecurity risk management program are based on recognized best practices and standards for cybersecurity and information technology, including the National Institute of Standards and Technology and the Center for Internet Security Benchmark.</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includes an incident response plan for evaluation, response and reporting of cybersecurity incidents, including notification of the Board and third parties, as appropriate. Under the plan, a Cybersecurity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Intake Team, which is comprised of the Chief Information Officer (CIO), Senior Director of Information Security (SDIS) and other executive management, is responsible for a materiality assessment of cybersecurity incidents, taking into consideration both quantitative and qualitative factors, and subject to ongoing monitoring and escalation based on materiality.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party vendors and suppliers also play a role in our cybersecurity risk management program. In circumstances where such third parties will access our systems and data, our SDIS participates in the vendor management process, including the review of contractual requirements and contractually imposing obligations on the vendor to report cybersecurity incidents to us so that we can assess the impact.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incident response plan and vendor management process, our cybersecurity risk management program includes:</w:t>
      </w:r>
    </w:p>
    <w:p>
      <w:pPr>
        <w:spacing w:after="0" w:line="16" w:lineRule="exact"/>
        <w:rPr>
          <w:sz w:val="20"/>
          <w:szCs w:val="20"/>
          <w:color w:val="auto"/>
        </w:rPr>
      </w:pPr>
    </w:p>
    <w:p>
      <w:pPr>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and cybersecurity training program, and ongoing employee testing to evaluate the effectiveness of quarterly internal training and awareness communications;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4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advisors to assist with cybersecurity risk assessment, including third-party monitoring of the Company's systems, external network penetration testing, and yearly cyber event preparedness exercises;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strategies to mitigate cyber risks;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crisis management, business continuity, and disaster recovery plans.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encountered cybersecurity incidents or identified risks from cybersecurity threats that have had a material adverse effect or are reasonably likely to have a material effect on our business strategy, operations or financial condition.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efforts we take to manage our cybersecurity risk, we may not be successful in preventing or mitigating a cybersecurity incident that could have a material adverse effect on us. While the Company maintains cybersecurity insurance, the costs related to cybersecurity threats or disruptions may not be fully insured. See Item 1A. “Risk Factors” for a discussion of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in Managing Risk</w:t>
      </w:r>
    </w:p>
    <w:p>
      <w:pPr>
        <w:jc w:val="both"/>
        <w:spacing w:after="0" w:line="237" w:lineRule="auto"/>
        <w:rPr>
          <w:sz w:val="20"/>
          <w:szCs w:val="20"/>
          <w:color w:val="auto"/>
        </w:rPr>
      </w:pPr>
      <w:r>
        <w:rPr>
          <w:rFonts w:ascii="Times New Roman" w:cs="Times New Roman" w:eastAsia="Times New Roman" w:hAnsi="Times New Roman"/>
          <w:sz w:val="18"/>
          <w:szCs w:val="18"/>
          <w:color w:val="auto"/>
        </w:rPr>
        <w:t>Within our organization, our CIO, who reports to our CEO, oversees cybersecurity. Our SDIS reports to our CIO and is generally responsible for management of cybersecurity risk and the protection and defense of our network and systems, including the development and management of policies and processes to identify, contain, and investigate potential incidents and ensure recovery therefrom. Our SDIS has over 15 years of experience managing information technology and cybersecurity matters in multiple industries. The SDIS maintains Certified Information Systems Security Professional and Certified Information Security Manager certifications and holds a degree in information technology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Board's Role in Oversight</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Board oversees our cybersecurity risk management program, and includes cybersecurity as part of the assessment of the Company's overall Enterprise Risk Management program. At least twice per year, and more frequently, if necessary, our CIO updates our Board on the Company's cyber risk profile and the steps taken by management to mitigate those risks. In the event of a material cybersecurity incident, the Board would receive prompt and timely information regarding the incident, as well as ongoing updates regarding such incident until it has been addressed. Cybersecurity-related risks are included in the Enterprise Risk Management committee’s evaluation of top risks to the enterprise, which are also presented to the Board and executive management twice per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lists, by segment, the Company's principal physical properties as of March 1, 2025. We believe these properties are generally in good operating condition, suitable for their respective uses and adequate for our current needs as our business is presently conducted.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20" w:type="dxa"/>
            <w:vAlign w:val="bottom"/>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Property Location</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Owned/ Leased</w:t>
            </w:r>
          </w:p>
        </w:tc>
        <w:tc>
          <w:tcPr>
            <w:tcW w:w="464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Function</w:t>
            </w:r>
          </w:p>
        </w:tc>
      </w:tr>
      <w:tr>
        <w:trPr>
          <w:trHeight w:val="192"/>
        </w:trPr>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940" w:type="dxa"/>
            <w:vAlign w:val="bottom"/>
            <w:tcBorders>
              <w:top w:val="single" w:sz="8" w:color="auto"/>
              <w:bottom w:val="single" w:sz="8" w:color="auto"/>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6"/>
                <w:szCs w:val="16"/>
                <w:i w:val="1"/>
                <w:iCs w:val="1"/>
                <w:color w:val="auto"/>
              </w:rPr>
              <w:t>Architectural Metals Segment</w:t>
            </w:r>
          </w:p>
        </w:tc>
        <w:tc>
          <w:tcPr>
            <w:tcW w:w="26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6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Wausau, WI</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Reed City, MI</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Mesquite, TX</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Monett, MO</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Toronto, ON Canada</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auto"/>
            </w:tcBorders>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i w:val="1"/>
                <w:iCs w:val="1"/>
                <w:color w:val="auto"/>
              </w:rPr>
              <w:t>Architectural Services Segment</w:t>
            </w:r>
          </w:p>
        </w:tc>
        <w:tc>
          <w:tcPr>
            <w:tcW w:w="2660" w:type="dxa"/>
            <w:vAlign w:val="bottom"/>
            <w:tcBorders>
              <w:bottom w:val="single" w:sz="8" w:color="CCEEFF"/>
            </w:tcBorders>
            <w:gridSpan w:val="2"/>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Minneapolis, MN</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 Chester, OH</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Mesquite, TX</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Brampton, ON Canada</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175"/>
        </w:trPr>
        <w:tc>
          <w:tcPr>
            <w:tcW w:w="20" w:type="dxa"/>
            <w:vAlign w:val="bottom"/>
          </w:tcPr>
          <w:p>
            <w:pPr>
              <w:spacing w:after="0"/>
              <w:rPr>
                <w:sz w:val="15"/>
                <w:szCs w:val="15"/>
                <w:color w:val="auto"/>
              </w:rPr>
            </w:pPr>
          </w:p>
        </w:tc>
        <w:tc>
          <w:tcPr>
            <w:tcW w:w="4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Architectural Glass Segment</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Owatonna, MN</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175"/>
        </w:trPr>
        <w:tc>
          <w:tcPr>
            <w:tcW w:w="20" w:type="dxa"/>
            <w:vAlign w:val="bottom"/>
          </w:tcPr>
          <w:p>
            <w:pPr>
              <w:spacing w:after="0"/>
              <w:rPr>
                <w:sz w:val="15"/>
                <w:szCs w:val="15"/>
                <w:color w:val="auto"/>
              </w:rPr>
            </w:pPr>
          </w:p>
        </w:tc>
        <w:tc>
          <w:tcPr>
            <w:tcW w:w="4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Performance Surfaces Segment</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McCook, IL</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Faribault, MN</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Louisville, KY</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175"/>
        </w:trPr>
        <w:tc>
          <w:tcPr>
            <w:tcW w:w="20" w:type="dxa"/>
            <w:vAlign w:val="bottom"/>
          </w:tcPr>
          <w:p>
            <w:pPr>
              <w:spacing w:after="0"/>
              <w:rPr>
                <w:sz w:val="15"/>
                <w:szCs w:val="15"/>
                <w:color w:val="auto"/>
              </w:rPr>
            </w:pPr>
          </w:p>
        </w:tc>
        <w:tc>
          <w:tcPr>
            <w:tcW w:w="4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Other</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Minneapolis, MN</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19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December 2022, the claimant in an arbitration of one such claim was awarded $20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The Company paid the final arbitration award, including accrued post-judgment interest, in the amount of $24.7 million, on April 7, 2025. As a result of the judgment by the Superior Court, the Company recorded expense of $9.4 million, which represents the impact of the award amount net of existing reserves and estimated insurance proceeds. This impact was recorded in cost of goods sold in the fourth quarter of fiscal 2025.</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common stock is traded on The Nasdaq Stock Market under the ticker symbol "APOG". As of April 4, 2025, there were 1,032 shareholders of record and 22,627 shareholders for whom securities firms acted as nominees.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two fiscal years.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8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0.9700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fourth quarter of fiscal 2025:</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 Purchased under</w:t>
            </w:r>
          </w:p>
        </w:tc>
        <w:tc>
          <w:tcPr>
            <w:tcW w:w="0" w:type="dxa"/>
            <w:vAlign w:val="bottom"/>
          </w:tcPr>
          <w:p>
            <w:pPr>
              <w:spacing w:after="0"/>
              <w:rPr>
                <w:sz w:val="1"/>
                <w:szCs w:val="1"/>
                <w:color w:val="auto"/>
              </w:rPr>
            </w:pPr>
          </w:p>
        </w:tc>
      </w:tr>
      <w:tr>
        <w:trPr>
          <w:trHeight w:val="162"/>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4400" w:type="dxa"/>
            <w:vAlign w:val="bottom"/>
            <w:gridSpan w:val="2"/>
            <w:vMerge w:val="continue"/>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Purchased (a)</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Programs (b)</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0" w:type="dxa"/>
            <w:vAlign w:val="bottom"/>
          </w:tcPr>
          <w:p>
            <w:pPr>
              <w:spacing w:after="0"/>
              <w:rPr>
                <w:sz w:val="1"/>
                <w:szCs w:val="1"/>
                <w:color w:val="auto"/>
              </w:rPr>
            </w:pP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through December 28, 2024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29, 2024 through January 25,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545,117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2,186,793</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26, 2025 through March 1, 2025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2,186,793</w:t>
            </w:r>
          </w:p>
        </w:tc>
        <w:tc>
          <w:tcPr>
            <w:tcW w:w="0" w:type="dxa"/>
            <w:vAlign w:val="bottom"/>
          </w:tcPr>
          <w:p>
            <w:pPr>
              <w:spacing w:after="0"/>
              <w:rPr>
                <w:sz w:val="1"/>
                <w:szCs w:val="1"/>
                <w:color w:val="auto"/>
              </w:rPr>
            </w:pPr>
          </w:p>
        </w:tc>
      </w:tr>
      <w:tr>
        <w:trPr>
          <w:trHeight w:val="223"/>
        </w:trPr>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548,337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545,117</w:t>
            </w:r>
          </w:p>
        </w:tc>
        <w:tc>
          <w:tcPr>
            <w:tcW w:w="1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2,186,793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20" w:hanging="10"/>
        <w:spacing w:after="0" w:line="280" w:lineRule="auto"/>
        <w:tabs>
          <w:tab w:leader="none" w:pos="40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in this column represent the total number of shares that were surrendered by plan participants to satisfy withholding tax obligations related to share-based compensation and the total number of shares that were repurchased pursuant to our publicly announced repurchase program.</w:t>
      </w:r>
    </w:p>
    <w:p>
      <w:pPr>
        <w:spacing w:after="0" w:line="191" w:lineRule="exact"/>
        <w:rPr>
          <w:rFonts w:ascii="Times New Roman" w:cs="Times New Roman" w:eastAsia="Times New Roman" w:hAnsi="Times New Roman"/>
          <w:sz w:val="16"/>
          <w:szCs w:val="16"/>
          <w:color w:val="auto"/>
        </w:rPr>
      </w:pPr>
    </w:p>
    <w:p>
      <w:pPr>
        <w:jc w:val="both"/>
        <w:ind w:left="180" w:hanging="10"/>
        <w:spacing w:after="0" w:line="269" w:lineRule="auto"/>
        <w:tabs>
          <w:tab w:leader="none" w:pos="43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announced on October 3, 2018, January 14, 2022 and October 6, 2023. The repurchase program does not have an expiration date.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graph below compares the cumulative total shareholder return on a $100 investment in our common stock for the last five fiscal years with the cumulative total return on a $100 investment in the Russell 2000 Index, a broad equity market index, and the S&amp;P 600 Industrials Index. Effective as of February 26, 2023, the Company changed industry indexes, from the S&amp;P Small Cap 600 Growth Index to the S&amp;P 600 Industrials Index. We believe that the S&amp;P 600 Industrials Index is the best available published industry index, composed of companies with similar market capitalization and a mix of GICS classifications that reasonably reflect our diverse business activities, although most of our direct competitors in our various business units are either privately owned or are divisions of larger, publicly owned companies. The graph assumes an investment at the close of trading on February 29, 2020, and also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-5080</wp:posOffset>
            </wp:positionV>
            <wp:extent cx="4509135" cy="3257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913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Apogee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w:t>
            </w:r>
          </w:p>
        </w:tc>
      </w:tr>
      <w:tr>
        <w:trPr>
          <w:trHeight w:val="23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600 Industrials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w:t>
            </w:r>
          </w:p>
        </w:tc>
      </w:tr>
      <w:tr>
        <w:trPr>
          <w:trHeight w:val="23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w:t>
            </w: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SmallCap 600 Growth Index</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is intended to assist the reader in understanding our financial condition and results of operations, including an evaluation of the amounts and certainty of cash flows from operations and from outside sources, and is provided as a supplement to and should be read in conjunction with the consolidated financial statements and related notes in Item 8. Financial Statements and Supplementary Data in this Form 10-K. Refer to Item 7, Management’s Discussion and Analysis of Financial Condition and Results of Operations, in our Form 10-K for the fiscal year ended March 2, 2024, for discussion of the results of operations for the year ended March 2, 2024, compared to the year ended February 25, 2023, which is incorporated by reference herein.</w:t>
      </w:r>
    </w:p>
    <w:p>
      <w:pPr>
        <w:spacing w:after="0" w:line="20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GAAP. We believe that these measures provide useful information and include these measures in other communications to investors. For each of these non-GAAP financial measures, we provide a reconciliation of the differences between the non-GAAP measure and the most directly comparable GAAP measure, (see "Reconciliation of Non-GAAP Financial Measures" in this Item 7 below), and an explanation of why we believe the non-GAAP measure provides useful information to management and investors. These non-GAAP measures should be viewed in addition to, and not in lieu of, the comparable GAAP measure. Adjusted net earnings and adjusted earnings per diluted share (adjusted diluted EPS) are supplemental non-GAAP financial measures provided by the Company to assess performance on a more comparable basis from period-to-period by excluding amounts that management does not consider part of core operating results. Management uses these non-GAAP measures to evaluate the Company’s historical and prospective financial performance, measure operational profitability on a consistent basis, as a factor in determining executive compensation, and to provide enhanced transparency to the investment community.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a leading provider of architectural products and services for enclosing buildings, and high-performance coating products used in applications for preservation, protection and enhanced viewing.</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fourth quarter of fiscal 2025, we changed the names of two reportable segments to better reflect our product offerings and capabilities. The previously named Architectural Framing Systems Segment is now referred to as the Architectural Metals Segment. The previously named Large-Scale Optical Segment is now referred to as the Performance Surfaces Segment. The remaining two segments, Architectural Services Segment and Architectural Glass Segment remain unchanged. As part of these changes, there were no changes to the products or brands included within each of the reportable segments.</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the fourth quarter of fiscal 2024, the Company announced strategic actions to streamline its business operations, enable a more efficient cost model, and better position the Company for profitable growth (referred to as “Project Fortify”). During the fourth quarter of fiscal 2024, the Company incurred $12.4 million of pre-tax charges related to Project Fortify, of which $5.5 million is included in cost of sales and $6.9 million is included in selling, general, and administrative (SG&amp;A) expenses. During fiscal 2025, the Company incurred $4.3 million of pre-tax charges related to Project Fortify, of which $2.5 million is included in cost of sales and $1.8 million is included in SG&amp;A expenses. The Company completed Project Fortify during the fourth quarter of fiscal 2025, incurring a total of $16.7 million and delivering estimated annualized cost savings of approximately $14 million.</w:t>
      </w:r>
    </w:p>
    <w:p>
      <w:pPr>
        <w:spacing w:after="0" w:line="20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On April 23, 2025, we announced an extension of Project Fortify ("Project Fortify Phase 2" or "Phase 2") to drive further cost efficiencies, primarily in the Architectural Metals and Architectural Services Segments. Phase 2 will focus on further optimizing our operating footprint and aligning resources to enable a more effective operating model. We expect the actions of Phase 2 to incur approximately $24 million to $26 million of pre-tax charges of which approximately $8 million are expected to be non-cash charges. Phase 2 is expected to deliver annualized pre-tax cost savings of approximately $13 million to $15 million. We expect the actions associated with Phase 2 to be substantially completed by the end of the fourth quarter of fiscal 2026. See Note 18 for additional information.</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third quarter of fiscal 2025, we acquired UW Solutions for $240.9 million. UW Solutions is a U.S. based, vertically integrated manufacturer of high-performance coated substrates, differentiated by its proprietary formulations and coating application processes. The business serves a broad range of customers in attractive end markets, including building products for distribution centers and manufacturing facilities, as well as premium products for the graphic arts market. See Note 17 for additional information.</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a result of a March 2025 appellate court decision confirming a December 2022 arbitration award, the Company paid the arbitration award, including accrued post-judgment interest, in the amount of $24.7 million, on April 7, 2025. As a result of the decision, we recorded expense of $9.4 million, which represents the impact of the award amount net of existing reserves and estimated insurance proceeds. This impact was recorded in cost of goods sold in the fourth quarter of fiscal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tables provide various components of our operations for fiscal years 2025, 2024 and 2023, in U.S. dollar amounts and percentages reflecting annual changes in such amounts and as a percentage of net sales in each fiscal year.</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fiscal year ends on the Saturday closest to the last day of February. Fiscal 2025 and fiscal 2023 each consisted of 52 weeks, while fiscal 2024 consisted of 53 weeks.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4"/>
        </w:trPr>
        <w:tc>
          <w:tcPr>
            <w:tcW w:w="6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40" w:type="dxa"/>
            <w:vAlign w:val="bottom"/>
          </w:tcPr>
          <w:p>
            <w:pPr>
              <w:spacing w:after="0"/>
              <w:rPr>
                <w:sz w:val="18"/>
                <w:szCs w:val="18"/>
                <w:color w:val="auto"/>
              </w:rPr>
            </w:pPr>
          </w:p>
        </w:tc>
      </w:tr>
      <w:tr>
        <w:trPr>
          <w:trHeight w:val="225"/>
        </w:trPr>
        <w:tc>
          <w:tcPr>
            <w:tcW w:w="60" w:type="dxa"/>
            <w:vAlign w:val="bottom"/>
          </w:tcPr>
          <w:p>
            <w:pPr>
              <w:spacing w:after="0"/>
              <w:rPr>
                <w:sz w:val="19"/>
                <w:szCs w:val="19"/>
                <w:color w:val="auto"/>
              </w:rPr>
            </w:pPr>
          </w:p>
        </w:tc>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1,416,942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1,440,696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1,049,814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1,105,423</w:t>
            </w:r>
          </w:p>
        </w:tc>
        <w:tc>
          <w:tcPr>
            <w:tcW w:w="13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335,273</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233,295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209,485</w:t>
            </w:r>
          </w:p>
        </w:tc>
        <w:tc>
          <w:tcPr>
            <w:tcW w:w="13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125,788</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7,660</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129,253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116,621</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12,514</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136.9 %</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99,613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104,107</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r>
      <w:tr>
        <w:trPr>
          <w:trHeight w:val="234"/>
        </w:trPr>
        <w:tc>
          <w:tcPr>
            <w:tcW w:w="60" w:type="dxa"/>
            <w:vAlign w:val="bottom"/>
          </w:tcPr>
          <w:p>
            <w:pPr>
              <w:spacing w:after="0"/>
              <w:rPr>
                <w:sz w:val="20"/>
                <w:szCs w:val="20"/>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 - Indicates calculation is not meaningful</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59"/>
        </w:trPr>
        <w:tc>
          <w:tcPr>
            <w:tcW w:w="4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 of net sales)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24"/>
                <w:szCs w:val="24"/>
                <w:color w:val="auto"/>
              </w:rPr>
            </w:pPr>
          </w:p>
        </w:tc>
      </w:tr>
      <w:tr>
        <w:trPr>
          <w:trHeight w:val="226"/>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4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76.7</w:t>
            </w:r>
          </w:p>
        </w:tc>
        <w:tc>
          <w:tcPr>
            <w:tcW w:w="40" w:type="dxa"/>
            <w:vAlign w:val="bottom"/>
            <w:tcBorders>
              <w:bottom w:val="single" w:sz="8" w:color="auto"/>
            </w:tcBorders>
          </w:tcPr>
          <w:p>
            <w:pPr>
              <w:spacing w:after="0"/>
              <w:rPr>
                <w:sz w:val="19"/>
                <w:szCs w:val="19"/>
                <w:color w:val="auto"/>
              </w:rPr>
            </w:pPr>
          </w:p>
        </w:tc>
      </w:tr>
      <w:tr>
        <w:trPr>
          <w:trHeight w:val="223"/>
        </w:trPr>
        <w:tc>
          <w:tcPr>
            <w:tcW w:w="6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shd w:val="clear" w:color="auto" w:fill="CCEEFF"/>
          </w:tcPr>
          <w:p>
            <w:pPr>
              <w:spacing w:after="0"/>
              <w:rPr>
                <w:sz w:val="19"/>
                <w:szCs w:val="19"/>
                <w:color w:val="auto"/>
              </w:rPr>
            </w:pPr>
          </w:p>
        </w:tc>
      </w:tr>
      <w:tr>
        <w:trPr>
          <w:trHeight w:val="229"/>
        </w:trPr>
        <w:tc>
          <w:tcPr>
            <w:tcW w:w="4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bottom w:val="single" w:sz="8" w:color="auto"/>
            </w:tcBorders>
          </w:tcPr>
          <w:p>
            <w:pPr>
              <w:spacing w:after="0"/>
              <w:rPr>
                <w:sz w:val="19"/>
                <w:szCs w:val="19"/>
                <w:color w:val="auto"/>
              </w:rPr>
            </w:pPr>
          </w:p>
        </w:tc>
      </w:tr>
      <w:tr>
        <w:trPr>
          <w:trHeight w:val="223"/>
        </w:trPr>
        <w:tc>
          <w:tcPr>
            <w:tcW w:w="6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r>
      <w:tr>
        <w:trPr>
          <w:trHeight w:val="229"/>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9"/>
                <w:szCs w:val="19"/>
                <w:color w:val="auto"/>
              </w:rPr>
            </w:pPr>
          </w:p>
        </w:tc>
      </w:tr>
      <w:tr>
        <w:trPr>
          <w:trHeight w:val="270"/>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23"/>
                <w:szCs w:val="23"/>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Borders>
              <w:top w:val="single" w:sz="8" w:color="auto"/>
            </w:tcBorders>
          </w:tcPr>
          <w:p>
            <w:pPr>
              <w:spacing w:after="0"/>
              <w:rPr>
                <w:sz w:val="19"/>
                <w:szCs w:val="19"/>
                <w:color w:val="auto"/>
              </w:rPr>
            </w:pPr>
          </w:p>
        </w:tc>
      </w:tr>
      <w:tr>
        <w:trPr>
          <w:trHeight w:val="230"/>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4"/>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that different items had on our net sales for fiscal 2025. All net sales for fiscal 2024 were organic.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160" w:type="dxa"/>
            <w:vAlign w:val="bottom"/>
          </w:tcPr>
          <w:p>
            <w:pPr>
              <w:spacing w:after="0"/>
              <w:rPr>
                <w:sz w:val="16"/>
                <w:szCs w:val="16"/>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Surfaces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2024 net sales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601,736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378,422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378,449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99,223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(40,888)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1,416,942</w:t>
            </w:r>
          </w:p>
        </w:tc>
        <w:tc>
          <w:tcPr>
            <w:tcW w:w="0" w:type="dxa"/>
            <w:vAlign w:val="bottom"/>
          </w:tcPr>
          <w:p>
            <w:pPr>
              <w:spacing w:after="0"/>
              <w:rPr>
                <w:sz w:val="1"/>
                <w:szCs w:val="1"/>
                <w:color w:val="auto"/>
              </w:rPr>
            </w:pPr>
          </w:p>
        </w:tc>
      </w:tr>
      <w:tr>
        <w:trPr>
          <w:trHeight w:val="216"/>
        </w:trPr>
        <w:tc>
          <w:tcPr>
            <w:tcW w:w="252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50,332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(59,228)</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Impact of 53rd week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(8,893)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(28,704)</w:t>
            </w:r>
          </w:p>
        </w:tc>
        <w:tc>
          <w:tcPr>
            <w:tcW w:w="0" w:type="dxa"/>
            <w:vAlign w:val="bottom"/>
          </w:tcPr>
          <w:p>
            <w:pPr>
              <w:spacing w:after="0"/>
              <w:rPr>
                <w:sz w:val="1"/>
                <w:szCs w:val="1"/>
                <w:color w:val="auto"/>
              </w:rPr>
            </w:pPr>
          </w:p>
        </w:tc>
      </w:tr>
      <w:tr>
        <w:trPr>
          <w:trHeight w:val="216"/>
        </w:trPr>
        <w:tc>
          <w:tcPr>
            <w:tcW w:w="252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31,984</w:t>
            </w:r>
          </w:p>
        </w:tc>
        <w:tc>
          <w:tcPr>
            <w:tcW w:w="0" w:type="dxa"/>
            <w:vAlign w:val="bottom"/>
          </w:tcPr>
          <w:p>
            <w:pPr>
              <w:spacing w:after="0"/>
              <w:rPr>
                <w:sz w:val="1"/>
                <w:szCs w:val="1"/>
                <w:color w:val="auto"/>
              </w:rPr>
            </w:pPr>
          </w:p>
        </w:tc>
      </w:tr>
      <w:tr>
        <w:trPr>
          <w:trHeight w:val="235"/>
        </w:trPr>
        <w:tc>
          <w:tcPr>
            <w:tcW w:w="2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2025 net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524,709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1,360,994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 growth (decline)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252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Impact of 53rd week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81"/>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24"/>
                <w:szCs w:val="24"/>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0" w:right="20" w:hanging="346"/>
        <w:spacing w:after="0" w:line="251"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business includes net sales associated with acquired product lines or businesses that occur after the first twelve months from the date the product line or business is acquired and net sales from internally developed product lines or businesses.</w:t>
      </w:r>
    </w:p>
    <w:p>
      <w:pPr>
        <w:ind w:left="520" w:hanging="34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is estimated based on average weekly net sales of the final month of the period.</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4, 2024, we completed the acquisition of UW Solutions. For additional information see Note 17 to the accompanying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2025 to Fiscal 2024</w:t>
      </w:r>
    </w:p>
    <w:p>
      <w:pPr>
        <w:spacing w:after="0" w:line="20" w:lineRule="exact"/>
        <w:rPr>
          <w:sz w:val="20"/>
          <w:szCs w:val="20"/>
          <w:color w:val="auto"/>
        </w:rPr>
      </w:pPr>
    </w:p>
    <w:p>
      <w:pPr>
        <w:jc w:val="both"/>
        <w:ind w:left="66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were $1.36 billion compared to $1.42 billion, a decrease of 3.9%, primarily reflecting the unfavorable impact of the additional week in the prior year of approximately $28.7 million or 2.0%, and lower volume, primarily in Architectural Metals and Architectural Glass. These items were partially offset by net sales growth in Architectural Services, and a $32.0 million inorganic sales contribution from the acquisition of UW Solutions.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to 26.4% of net sales, compared to 25.9%. The gross margin improvement was primarily driven by a more favorable mix of projects and the net favorable impact of cumulative catch-up adjustments for changes in profitability estimates of long-term contracts in Architectural Services, and lower quality and insurance-related costs, as well as lower restructuring costs from Project Fortify. These items were partially offset by $9.4 million of expense related to an arbitration award, as well as unfavorable sales leverage impact of lower volume, higher lease costs, and $1.7 million of acquisition-related expenses.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increased $8.5 million to 17.8% of net sales, compared to 16.5% of net sales. The increase in SG&amp;A as a percentage of net sales was primarily due to the impact of $8.6 million of acquisition-related expenses, impairment charges of $7.6 million, higher amortization expense and the unfavorable sales leverage impact of lower volume partially offset by lower restructuring charges, lower bad debt expense, and lower long-term incentive costs.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$118.1 million and operating margin declined to 8.7%. The decline operating margin was primarily due to the unfavorable sales leverage impact of lower volume, $10.3 million of acquisition-related expenses, $9.4 million of expense related to an arbitration award, and $7.6 million impairment charges related to strategic rebranding. These items were partially offset by a more favorable mix of projects and the net favorable impact of cumulative catch-up adjustments for changes in profitability estimates of long-term contracts in Architectural Services, lower quality and insurance-related costs, lower bad debt expense, and lower restructuring charges from Project Fortify of $8.1 million. Adjusted operating income grew 2.4% to $149.8 million, and adjusted operating margin improved to 11.0%.</w:t>
      </w:r>
    </w:p>
    <w:p>
      <w:pPr>
        <w:spacing w:after="0" w:line="20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was $6.2 million, compared to $6.7 million, primarily driven by increased interest income from higher average levels of invested cash, partially offset by the impact of the write-off of unamortized financing fees of $0.5 million related to our previous credit facility.</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Other income was $0.6 million, compared to $2.1 million. The lower income in fiscal 2025 was primarily due pre-tax gain related to a New Markets Tax Credit of $4.7 million, partially offset by the unfavorable impact of an investment market valuation adjustment, both recognized in the prior year period.</w:t>
      </w:r>
    </w:p>
    <w:p>
      <w:pPr>
        <w:spacing w:after="0" w:line="216"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as a percentage of earnings before income tax was 24.4%, compared to 22.9% for fiscal 2024. The increase in the effective tax rate was primarily due to an increase in tax expense for discrete items.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was $3.89, compared to $4.51 driven by lower operating income, lower other income, and a higher effective tax rate. Adjusted diluted EPS grew 4.2% to $4.97.</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3"/>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25"/>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Architectural Metals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524,709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601,736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649,778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Architectural Services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419,861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378,422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410,627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Architectural Glass</w:t>
            </w: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322,197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378,449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316,554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Surfaces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104,215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(27,904)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(40,888)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(40,478)</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1,360,994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1,416,942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1,440,696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Architectural Metals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42,466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64,833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81,875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Architectural Services</w:t>
            </w: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18,140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Architectural Glass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28,610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137.8 %</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Performance Surfaces</w:t>
            </w: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19,611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24,233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25,348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(33,287)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(35,119)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(28,185)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3"/>
        </w:trPr>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118,110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133,833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125,788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margin</w:t>
            </w: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r>
      <w:tr>
        <w:trPr>
          <w:trHeight w:val="23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Architectural Metals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2600" w:type="dxa"/>
            <w:vAlign w:val="bottom"/>
          </w:tcPr>
          <w:p>
            <w:pPr>
              <w:spacing w:after="0"/>
              <w:rPr>
                <w:sz w:val="19"/>
                <w:szCs w:val="19"/>
                <w:color w:val="auto"/>
              </w:rPr>
            </w:pPr>
          </w:p>
        </w:tc>
      </w:tr>
      <w:tr>
        <w:trPr>
          <w:trHeight w:val="229"/>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Architectural Services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600" w:type="dxa"/>
            <w:vAlign w:val="bottom"/>
            <w:shd w:val="clear" w:color="auto" w:fill="CCEEFF"/>
          </w:tcPr>
          <w:p>
            <w:pPr>
              <w:spacing w:after="0"/>
              <w:rPr>
                <w:sz w:val="19"/>
                <w:szCs w:val="19"/>
                <w:color w:val="auto"/>
              </w:rPr>
            </w:pPr>
          </w:p>
        </w:tc>
      </w:tr>
      <w:tr>
        <w:trPr>
          <w:trHeight w:val="23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Architectural Glass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600" w:type="dxa"/>
            <w:vAlign w:val="bottom"/>
          </w:tcPr>
          <w:p>
            <w:pPr>
              <w:spacing w:after="0"/>
              <w:rPr>
                <w:sz w:val="19"/>
                <w:szCs w:val="19"/>
                <w:color w:val="auto"/>
              </w:rPr>
            </w:pPr>
          </w:p>
        </w:tc>
      </w:tr>
      <w:tr>
        <w:trPr>
          <w:trHeight w:val="229"/>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Surfaces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2600" w:type="dxa"/>
            <w:vAlign w:val="bottom"/>
            <w:shd w:val="clear" w:color="auto" w:fill="CCEEFF"/>
          </w:tcPr>
          <w:p>
            <w:pPr>
              <w:spacing w:after="0"/>
              <w:rPr>
                <w:sz w:val="19"/>
                <w:szCs w:val="19"/>
                <w:color w:val="auto"/>
              </w:rPr>
            </w:pPr>
          </w:p>
        </w:tc>
      </w:tr>
      <w:tr>
        <w:trPr>
          <w:trHeight w:val="229"/>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other</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N/M</w:t>
            </w: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N/M</w:t>
            </w:r>
          </w:p>
        </w:tc>
        <w:tc>
          <w:tcPr>
            <w:tcW w:w="40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margin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60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and SG&amp;A. Segment operating income includes operating income related to intersegment sales transactions and excludes certain corporate costs that are not allocated at a segment level. We report these unallocated corporate costs separately in Corporate and other. Operating income does not include other income or expense, interest expense or a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Metals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2025 to Fiscal 2024</w:t>
      </w:r>
    </w:p>
    <w:p>
      <w:pPr>
        <w:spacing w:after="0" w:line="29" w:lineRule="exact"/>
        <w:rPr>
          <w:sz w:val="20"/>
          <w:szCs w:val="20"/>
          <w:color w:val="auto"/>
        </w:rPr>
      </w:pPr>
    </w:p>
    <w:p>
      <w:pPr>
        <w:jc w:val="both"/>
        <w:ind w:left="660" w:hanging="328"/>
        <w:spacing w:after="0" w:line="255"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sales were $524.7 million, compared to $601.7 million. The decline in net sales was primarily driven by reduced volume due to exiting certain lower-margin product lines as part of Project Fortify and lower end market demand, the impact of one less week of net sales in the current year, and a less favorable product mix.</w:t>
      </w:r>
    </w:p>
    <w:p>
      <w:pPr>
        <w:spacing w:after="0" w:line="212" w:lineRule="exact"/>
        <w:rPr>
          <w:rFonts w:ascii="Times New Roman" w:cs="Times New Roman" w:eastAsia="Times New Roman" w:hAnsi="Times New Roman"/>
          <w:sz w:val="18"/>
          <w:szCs w:val="18"/>
          <w:b w:val="1"/>
          <w:bCs w:val="1"/>
          <w:i w:val="1"/>
          <w:iCs w:val="1"/>
          <w:color w:val="auto"/>
        </w:rPr>
      </w:pPr>
    </w:p>
    <w:p>
      <w:pPr>
        <w:jc w:val="both"/>
        <w:ind w:left="660" w:right="20" w:hanging="328"/>
        <w:spacing w:after="0" w:line="261"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income was $42.5 million, or 8.1% of net sales, compared to $64.8 million, or 10.8% of net sales. The decline in operating margin was primarily driven by $7.6 million of impairment charges, the unfavorable sales leverage impact of lower volume and a less favorable product mix, partially offset by favorable material costs, lower short-term incentive costs, lower bad debt expense, lower quality-related expense, and lower restructuring costs. Adjusted operating income was $54.1 million, or 10.3% of net sales, compared to $70.8 million, or 11.8% of net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2025 to Fiscal 2024</w:t>
      </w:r>
    </w:p>
    <w:p>
      <w:pPr>
        <w:spacing w:after="0" w:line="29" w:lineRule="exact"/>
        <w:rPr>
          <w:sz w:val="20"/>
          <w:szCs w:val="20"/>
          <w:color w:val="auto"/>
        </w:rPr>
      </w:pP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sales were $419.9 million, compared to $378.4 million. The increase in net sales was primarily due to increased volume, a more favorable mix of projects and the net favorable impact of cumulative catch-up adjustments for changes in profitability estimates of long-term contracts, partially offset by the impact of one less week of net sales in the current year.</w:t>
      </w:r>
    </w:p>
    <w:p>
      <w:pPr>
        <w:spacing w:after="0" w:line="21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income was $30.0 million, or 7.2% of net sales, compared to $11.8 million or 3.1% of net sales. The improvement in operating margin was primarily driven by a more favorable mix of projects, the favorable impact of cumulative catch-up adjustments on our longer-term contract estimates of $10.5 million, and lower restructuring charges, partially offset by higher short-term incentive compensation expense and higher lease costs.</w:t>
      </w:r>
    </w:p>
    <w:p>
      <w:pPr>
        <w:spacing w:after="0" w:line="206"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years ended March 1, 2025 and March 2, 2024, gross favorable and unfavorable cumulative catch-up adjustments on our longer-term contracts for changes in estimates were as follows:</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28,430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(12,123)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(13,298)</w:t>
            </w: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16,307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2025 to Fiscal 2024</w:t>
      </w:r>
    </w:p>
    <w:p>
      <w:pPr>
        <w:spacing w:after="0" w:line="29" w:lineRule="exact"/>
        <w:rPr>
          <w:sz w:val="20"/>
          <w:szCs w:val="20"/>
          <w:color w:val="auto"/>
        </w:rPr>
      </w:pPr>
    </w:p>
    <w:p>
      <w:pPr>
        <w:ind w:left="660" w:right="20" w:hanging="328"/>
        <w:spacing w:after="0" w:line="260"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sales were $322.2 million, compared to $378.4 million. The decrease in net sales was primarily driven by lower volume due to lower end-market demand and the impact of one less week of net sales in the current year, partially offset by improved pricing.</w:t>
      </w:r>
    </w:p>
    <w:p>
      <w:pPr>
        <w:spacing w:after="0" w:line="20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income decreased to $59.3 million, or 18.4% of net sales, compared to $68.0 million, or 18.0% of net sales. The improvement in operating margin was primarily driven by improved pricing, improved productivity, and lower quality-related costs, partially offset by the unfavorable sales leverage impact of lower volume.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Surfaces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2025 to Fiscal 2024</w:t>
      </w:r>
    </w:p>
    <w:p>
      <w:pPr>
        <w:spacing w:after="0" w:line="29" w:lineRule="exact"/>
        <w:rPr>
          <w:sz w:val="20"/>
          <w:szCs w:val="20"/>
          <w:color w:val="auto"/>
        </w:rPr>
      </w:pP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sales were $122.1 million, compared to $99.2 million. The increase in net sales was primarily driven by $32.0 million of inorganic sales from UW Solutions, partially offset by lower volume in the retail channel and the impact of one less week of net sales in the current year.</w:t>
      </w:r>
    </w:p>
    <w:p>
      <w:pPr>
        <w:spacing w:after="0" w:line="208"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income was $19.6 million, or 16.1% of net sales, compared to $24.2 million, or 24.4% of net sales. The decline in operating margin was primarily driven by $4.5 million in acquisition-related costs and the sales leverage impact of lower organic volume.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2025 to Fiscal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Corporate and Other expense was $33.3 million, compared to $35.1 million. The decrease was primarily due to lower insurance-related costs, lower incentive compensation expense, and lower restructuring costs, partially offset by $9.4 million of expense related to an arbitration award, and $5.8 million in acquisition-related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Backlog is an operating measure used by management to assess future potential sales revenue. Backlog is defined as the dollar amount of signed contracts or firm orders, generally as a result of a competitive bidding process, which is expected to be recognized as revenue. Backlog is not a term defined under U.S. GAAP and is not a measure of contract profitability. Backlog should not be used as the sole indicator of future revenue because we have a substantial number of projects with short lead times that book-and-bill within the same reporting period that are not included in backlog.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fiscal 2025 year-end, backlog in the Architectural Services Segment was $720.3 million, compared to $807.8 million at the end of the prior year.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Adjusted operating income, adjusted operating margin, adjusted net earnings, adjusted diluted earnings per share (adjusted diluted EPS), adjusted earnings before interest, taxes, depreciation and amortization (adjusted EBITDA), adjusted EBITDA margin, and adjusted return on invested capital (ROIC) are supplemental non-GAAP financial measures provided by the Company to assess performance on a more comparable basis from period-to-period by excluding amounts that management does not consider part of core operating results. Management uses these non-GAAP measures as noted below:</w:t>
      </w:r>
    </w:p>
    <w:p>
      <w:pPr>
        <w:jc w:val="both"/>
        <w:ind w:left="660" w:hanging="328"/>
        <w:spacing w:after="0" w:line="23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operating income, adjusted operating margin, adjusted net earnings, and adjusted diluted EPS to provide meaningful supplemental information about our operating performance by excluding amounts that are not considered part of core operating results to enhance comparability of results from period to period.</w:t>
      </w:r>
    </w:p>
    <w:p>
      <w:pPr>
        <w:spacing w:after="0" w:line="2"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metrics provide useful information to investors and analysts about our core operating performance.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return on invested capital (ROIC) is defined as adjusted operating income net of tax, divided by average invested capital. We believe this measure is useful in understanding operational performance and capital allocation over time, and it is used as a factor in determining executive compensation.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non-GAAP measures should be viewed in addition to, and not as an alternative to, the reported financial results of the Company prepared in accordance with GAAP. Other companies may calculate these measures differently, thereby limiting the usefulness of the measures for comparison with other companies.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Operating Income and Adjusted Operating Margin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(Unaudited)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1, 2025 (52 weeks)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300" w:type="dxa"/>
            <w:vAlign w:val="bottom"/>
            <w:gridSpan w:val="3"/>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80" w:type="dxa"/>
            <w:vAlign w:val="bottom"/>
          </w:tcPr>
          <w:p>
            <w:pPr>
              <w:spacing w:after="0"/>
              <w:rPr>
                <w:sz w:val="14"/>
                <w:szCs w:val="14"/>
                <w:color w:val="auto"/>
              </w:rPr>
            </w:pPr>
          </w:p>
        </w:tc>
        <w:tc>
          <w:tcPr>
            <w:tcW w:w="12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2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Surfaces</w:t>
            </w:r>
          </w:p>
        </w:tc>
        <w:tc>
          <w:tcPr>
            <w:tcW w:w="26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42,466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30,046</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59,274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(33,287)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118,110</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4,424</w:t>
            </w:r>
          </w:p>
        </w:tc>
        <w:tc>
          <w:tcPr>
            <w:tcW w:w="0" w:type="dxa"/>
            <w:vAlign w:val="bottom"/>
          </w:tcPr>
          <w:p>
            <w:pPr>
              <w:spacing w:after="0"/>
              <w:rPr>
                <w:sz w:val="1"/>
                <w:szCs w:val="1"/>
                <w:color w:val="auto"/>
              </w:rPr>
            </w:pPr>
          </w:p>
        </w:tc>
      </w:tr>
      <w:tr>
        <w:trPr>
          <w:trHeight w:val="213"/>
        </w:trPr>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Integration</w:t>
            </w: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2,055</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Backlog amortization</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2,340</w:t>
            </w:r>
          </w:p>
        </w:tc>
        <w:tc>
          <w:tcPr>
            <w:tcW w:w="0" w:type="dxa"/>
            <w:vAlign w:val="bottom"/>
          </w:tcPr>
          <w:p>
            <w:pPr>
              <w:spacing w:after="0"/>
              <w:rPr>
                <w:sz w:val="1"/>
                <w:szCs w:val="1"/>
                <w:color w:val="auto"/>
              </w:rPr>
            </w:pPr>
          </w:p>
        </w:tc>
      </w:tr>
      <w:tr>
        <w:trPr>
          <w:trHeight w:val="213"/>
        </w:trPr>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Inventory step-up</w:t>
            </w: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10,302</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4,323</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Impairment expense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7,634</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Arbitration award expense </w:t>
            </w:r>
            <w:r>
              <w:rPr>
                <w:rFonts w:ascii="Times New Roman" w:cs="Times New Roman" w:eastAsia="Times New Roman" w:hAnsi="Times New Roman"/>
                <w:sz w:val="21"/>
                <w:szCs w:val="21"/>
                <w:color w:val="auto"/>
                <w:vertAlign w:val="superscript"/>
              </w:rPr>
              <w:t>(4)</w:t>
            </w: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9,393</w:t>
            </w:r>
          </w:p>
        </w:tc>
        <w:tc>
          <w:tcPr>
            <w:tcW w:w="0" w:type="dxa"/>
            <w:vAlign w:val="bottom"/>
          </w:tcPr>
          <w:p>
            <w:pPr>
              <w:spacing w:after="0"/>
              <w:rPr>
                <w:sz w:val="1"/>
                <w:szCs w:val="1"/>
                <w:color w:val="auto"/>
              </w:rPr>
            </w:pPr>
          </w:p>
        </w:tc>
      </w:tr>
      <w:tr>
        <w:trPr>
          <w:trHeight w:val="234"/>
        </w:trPr>
        <w:tc>
          <w:tcPr>
            <w:tcW w:w="2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(17,333)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149,762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3"/>
        </w:trPr>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Integration</w:t>
            </w:r>
          </w:p>
        </w:tc>
        <w:tc>
          <w:tcPr>
            <w:tcW w:w="18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Backlog amortization</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3"/>
        </w:trPr>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Inventory step-up</w:t>
            </w:r>
          </w:p>
        </w:tc>
        <w:tc>
          <w:tcPr>
            <w:tcW w:w="18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9"/>
              </w:rPr>
              <w:t>N/M</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Impairment expense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Arbitration award expense </w:t>
            </w:r>
            <w:r>
              <w:rPr>
                <w:rFonts w:ascii="Times New Roman" w:cs="Times New Roman" w:eastAsia="Times New Roman" w:hAnsi="Times New Roman"/>
                <w:sz w:val="21"/>
                <w:szCs w:val="21"/>
                <w:color w:val="auto"/>
                <w:vertAlign w:val="superscript"/>
              </w:rPr>
              <w:t>(4)</w:t>
            </w:r>
          </w:p>
        </w:tc>
        <w:tc>
          <w:tcPr>
            <w:tcW w:w="18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9"/>
              </w:rPr>
              <w:t>N/M</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2, 2024 (53 weeks)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30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80" w:type="dxa"/>
            <w:vAlign w:val="bottom"/>
          </w:tcPr>
          <w:p>
            <w:pPr>
              <w:spacing w:after="0"/>
              <w:rPr>
                <w:sz w:val="13"/>
                <w:szCs w:val="13"/>
                <w:color w:val="auto"/>
              </w:rPr>
            </w:pPr>
          </w:p>
        </w:tc>
        <w:tc>
          <w:tcPr>
            <w:tcW w:w="12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1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5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Surfaces</w:t>
            </w:r>
          </w:p>
        </w:tc>
        <w:tc>
          <w:tcPr>
            <w:tcW w:w="26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64,833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11,840</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68,046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24,233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(35,119)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133,833</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2,526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12,403</w:t>
            </w: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70,803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68,046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24,233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(31,212)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146,236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35"/>
        </w:trPr>
        <w:tc>
          <w:tcPr>
            <w:tcW w:w="2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9"/>
              </w:rPr>
              <w:t>N/M</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ind w:left="520" w:hanging="346"/>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w:t>
      </w:r>
    </w:p>
    <w:p>
      <w:pPr>
        <w:ind w:left="1160" w:hanging="311"/>
        <w:spacing w:after="0" w:line="221" w:lineRule="auto"/>
        <w:tabs>
          <w:tab w:leader="none" w:pos="11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related to the UW Solutions acquisition.</w:t>
      </w:r>
    </w:p>
    <w:p>
      <w:pPr>
        <w:ind w:left="1160" w:hanging="311"/>
        <w:spacing w:after="0" w:line="221" w:lineRule="auto"/>
        <w:tabs>
          <w:tab w:leader="none" w:pos="11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costs related to one-time expenses incurred to integrate the UW Solutions acquisition.</w:t>
      </w:r>
    </w:p>
    <w:p>
      <w:pPr>
        <w:ind w:left="1180" w:right="20" w:hanging="331"/>
        <w:spacing w:after="0" w:line="211" w:lineRule="auto"/>
        <w:tabs>
          <w:tab w:leader="none" w:pos="1176"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amortization is related the value attributed to contracting the backlog purchased in the UW Solutions acquisition. These costs were amortized in SG&amp;A over the period that the contracted backlog was shipped.</w:t>
      </w:r>
    </w:p>
    <w:p>
      <w:pPr>
        <w:ind w:left="1180" w:right="20" w:hanging="331"/>
        <w:spacing w:after="0" w:line="239" w:lineRule="auto"/>
        <w:tabs>
          <w:tab w:leader="none" w:pos="1176"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step-up is related to the incremental cost to value inventory acquired as part of the UW Solutions acquisition at fair value. These costs were expensed to cost of goods sold over the period the inventory was sold.</w:t>
      </w:r>
    </w:p>
    <w:p>
      <w:pPr>
        <w:spacing w:after="0" w:line="14" w:lineRule="exact"/>
        <w:rPr>
          <w:rFonts w:ascii="Times New Roman" w:cs="Times New Roman" w:eastAsia="Times New Roman" w:hAnsi="Times New Roman"/>
          <w:sz w:val="14"/>
          <w:szCs w:val="14"/>
          <w:color w:val="auto"/>
        </w:rPr>
      </w:pPr>
    </w:p>
    <w:p>
      <w:pPr>
        <w:ind w:left="520" w:right="20" w:hanging="346"/>
        <w:spacing w:after="0" w:line="241"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$1.1 million of employee termination costs and $3.2 million of other costs incurred in fiscal 2025. Restructuring charges related to Project Fortify, including $6.2 million of asset impairment charges, $5.9 million of employee termination costs and $0.3 million of other costs incurred in fiscal 2024.</w:t>
      </w:r>
    </w:p>
    <w:p>
      <w:pPr>
        <w:spacing w:after="0" w:line="14"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for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 the impact of the award amount net of existing reserves and estimated insurance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Adjusted Net Earnings and Adjusted Diluted Earnings Per Share</w:t>
      </w:r>
    </w:p>
    <w:p>
      <w:pPr>
        <w:spacing w:after="0" w:line="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(Unaudited)</w:t>
      </w:r>
    </w:p>
    <w:p>
      <w:pPr>
        <w:spacing w:after="0" w:line="30"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Diluted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21590</wp:posOffset>
            </wp:positionV>
            <wp:extent cx="1954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21590</wp:posOffset>
            </wp:positionV>
            <wp:extent cx="1954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ind w:left="5160"/>
        <w:spacing w:after="0"/>
        <w:tabs>
          <w:tab w:leader="none" w:pos="6720" w:val="left"/>
        </w:tabs>
        <w:rPr>
          <w:sz w:val="20"/>
          <w:szCs w:val="20"/>
          <w:color w:val="auto"/>
        </w:rPr>
      </w:pPr>
      <w:r>
        <w:rPr>
          <w:rFonts w:ascii="Times New Roman" w:cs="Times New Roman" w:eastAsia="Times New Roman" w:hAnsi="Times New Roman"/>
          <w:sz w:val="16"/>
          <w:szCs w:val="16"/>
          <w:b w:val="1"/>
          <w:bCs w:val="1"/>
          <w:color w:val="auto"/>
        </w:rPr>
        <w:t>March 1, 2025</w:t>
      </w:r>
      <w:r>
        <w:rPr>
          <w:sz w:val="20"/>
          <w:szCs w:val="20"/>
          <w:color w:val="auto"/>
        </w:rPr>
        <w:tab/>
      </w:r>
      <w:r>
        <w:rPr>
          <w:rFonts w:ascii="Times New Roman" w:cs="Times New Roman" w:eastAsia="Times New Roman" w:hAnsi="Times New Roman"/>
          <w:sz w:val="16"/>
          <w:szCs w:val="16"/>
          <w:b w:val="1"/>
          <w:bCs w:val="1"/>
          <w:color w:val="auto"/>
        </w:rPr>
        <w:t>March 2, 2024</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21590</wp:posOffset>
            </wp:positionV>
            <wp:extent cx="1954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6"/>
          <w:szCs w:val="16"/>
          <w:b w:val="1"/>
          <w:bCs w:val="1"/>
          <w:color w:val="auto"/>
        </w:rPr>
        <w:t>March 1, 2025</w:t>
      </w:r>
      <w:r>
        <w:rPr>
          <w:sz w:val="20"/>
          <w:szCs w:val="20"/>
          <w:color w:val="auto"/>
        </w:rPr>
        <w:tab/>
      </w:r>
      <w:r>
        <w:rPr>
          <w:rFonts w:ascii="Times New Roman" w:cs="Times New Roman" w:eastAsia="Times New Roman" w:hAnsi="Times New Roman"/>
          <w:sz w:val="15"/>
          <w:szCs w:val="15"/>
          <w:b w:val="1"/>
          <w:bCs w:val="1"/>
          <w:color w:val="auto"/>
        </w:rPr>
        <w:t>March 2, 2024</w:t>
      </w:r>
    </w:p>
    <w:p>
      <w:pPr>
        <w:spacing w:after="0" w:line="28" w:lineRule="exact"/>
        <w:rPr>
          <w:sz w:val="20"/>
          <w:szCs w:val="20"/>
          <w:color w:val="auto"/>
        </w:rPr>
      </w:pPr>
    </w:p>
    <w:p>
      <w:pPr>
        <w:sectPr>
          <w:pgSz w:w="11900" w:h="16838" w:orient="portrait"/>
          <w:cols w:equalWidth="0" w:num="2">
            <w:col w:w="7740" w:space="600"/>
            <w:col w:w="2840"/>
          </w:cols>
          <w:pgMar w:left="320" w:top="121" w:right="399" w:bottom="1440" w:gutter="0" w:footer="0" w:header="0"/>
          <w:type w:val="continuous"/>
        </w:sectPr>
      </w:pPr>
    </w:p>
    <w:tbl>
      <w:tblPr>
        <w:tblLayout w:type="fixed"/>
        <w:tblInd w:w="80" w:type="dxa"/>
        <w:tblCellMar>
          <w:top w:w="0" w:type="dxa"/>
          <w:left w:w="0" w:type="dxa"/>
          <w:bottom w:w="0" w:type="dxa"/>
          <w:right w:w="0" w:type="dxa"/>
        </w:tblCellMar>
      </w:tblPr>
      <w:tr>
        <w:trPr>
          <w:trHeight w:val="202"/>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60" w:type="dxa"/>
            <w:vAlign w:val="bottom"/>
          </w:tcPr>
          <w:p>
            <w:pPr>
              <w:spacing w:after="0"/>
              <w:rPr>
                <w:sz w:val="17"/>
                <w:szCs w:val="17"/>
                <w:color w:val="auto"/>
              </w:rPr>
            </w:pPr>
          </w:p>
        </w:tc>
        <w:tc>
          <w:tcPr>
            <w:tcW w:w="12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(53 weeks)</w:t>
            </w:r>
          </w:p>
        </w:tc>
      </w:tr>
      <w:tr>
        <w:trPr>
          <w:trHeight w:val="216"/>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99,613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16"/>
        </w:trPr>
        <w:tc>
          <w:tcPr>
            <w:tcW w:w="48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Transaction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Integration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Backlog amortization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Inventory step-up</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8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r>
      <w:tr>
        <w:trPr>
          <w:trHeight w:val="216"/>
        </w:trPr>
        <w:tc>
          <w:tcPr>
            <w:tcW w:w="48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Impairment expense </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8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Arbitration award expense </w:t>
            </w:r>
            <w:r>
              <w:rPr>
                <w:rFonts w:ascii="Times New Roman" w:cs="Times New Roman" w:eastAsia="Times New Roman" w:hAnsi="Times New Roman"/>
                <w:sz w:val="21"/>
                <w:szCs w:val="21"/>
                <w:color w:val="auto"/>
                <w:vertAlign w:val="superscript"/>
              </w:rPr>
              <w:t>(4)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8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16"/>
        </w:trPr>
        <w:tc>
          <w:tcPr>
            <w:tcW w:w="48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(6)</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3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105,439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52"/>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outstanding for EPS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22,091</w:t>
            </w:r>
          </w:p>
        </w:tc>
      </w:tr>
    </w:tbl>
    <w:p>
      <w:pPr>
        <w:spacing w:after="0" w:line="95" w:lineRule="exact"/>
        <w:rPr>
          <w:sz w:val="20"/>
          <w:szCs w:val="20"/>
          <w:color w:val="auto"/>
        </w:rPr>
      </w:pPr>
    </w:p>
    <w:p>
      <w:pPr>
        <w:ind w:left="460" w:hanging="286"/>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w:t>
      </w:r>
    </w:p>
    <w:p>
      <w:pPr>
        <w:ind w:left="1100" w:hanging="318"/>
        <w:spacing w:after="0" w:line="221" w:lineRule="auto"/>
        <w:tabs>
          <w:tab w:leader="none" w:pos="11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related to the UW Solutions acquisition.</w:t>
      </w:r>
    </w:p>
    <w:p>
      <w:pPr>
        <w:ind w:left="1100" w:hanging="318"/>
        <w:spacing w:after="0" w:line="221" w:lineRule="auto"/>
        <w:tabs>
          <w:tab w:leader="none" w:pos="11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costs related to one-time expenses incurred to integrate the UW Solutions acquisition.</w:t>
      </w:r>
    </w:p>
    <w:p>
      <w:pPr>
        <w:ind w:left="1100" w:right="40" w:hanging="318"/>
        <w:spacing w:after="0" w:line="211" w:lineRule="auto"/>
        <w:tabs>
          <w:tab w:leader="none" w:pos="1096"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amortization is related the value attributed to contracting the backlog purchased in the UW Solutions acquisition. These costs were amortized in SG&amp;A over the period that the contracted backlog was shipped.</w:t>
      </w:r>
    </w:p>
    <w:p>
      <w:pPr>
        <w:ind w:left="1100" w:right="40" w:hanging="318"/>
        <w:spacing w:after="0" w:line="239" w:lineRule="auto"/>
        <w:tabs>
          <w:tab w:leader="none" w:pos="1096"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step-up is related to the incremental cost to value inventory acquired as part of the UW Solutions acquisition at fair value. These costs were expensed to cost of goods sold over the period the inventory was sold.</w:t>
      </w:r>
    </w:p>
    <w:p>
      <w:pPr>
        <w:spacing w:after="0" w:line="14" w:lineRule="exact"/>
        <w:rPr>
          <w:rFonts w:ascii="Times New Roman" w:cs="Times New Roman" w:eastAsia="Times New Roman" w:hAnsi="Times New Roman"/>
          <w:sz w:val="14"/>
          <w:szCs w:val="14"/>
          <w:color w:val="auto"/>
        </w:rPr>
      </w:pPr>
    </w:p>
    <w:p>
      <w:pPr>
        <w:ind w:left="460" w:right="40" w:hanging="286"/>
        <w:spacing w:after="0" w:line="241" w:lineRule="auto"/>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$1.1 million of employee termination costs and $3.2 million of other costs incurred in fiscal 2025. Restructuring charges related to Project Fortify, including $6.2 million of asset impairment charges, $5.9 million of employee termination costs and $0.3 million of other costs incurred in fiscal 2024.</w:t>
      </w:r>
    </w:p>
    <w:p>
      <w:pPr>
        <w:spacing w:after="0" w:line="14" w:lineRule="exact"/>
        <w:rPr>
          <w:rFonts w:ascii="Times New Roman" w:cs="Times New Roman" w:eastAsia="Times New Roman" w:hAnsi="Times New Roman"/>
          <w:sz w:val="14"/>
          <w:szCs w:val="14"/>
          <w:color w:val="auto"/>
        </w:rPr>
      </w:pPr>
    </w:p>
    <w:p>
      <w:pPr>
        <w:ind w:left="460" w:hanging="286"/>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for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460" w:hanging="286"/>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 the impact of the award amount net of existing reserves and estimated insurance proceeds.</w:t>
      </w:r>
    </w:p>
    <w:p>
      <w:pPr>
        <w:spacing w:after="0" w:line="41" w:lineRule="exact"/>
        <w:rPr>
          <w:rFonts w:ascii="Times New Roman" w:cs="Times New Roman" w:eastAsia="Times New Roman" w:hAnsi="Times New Roman"/>
          <w:sz w:val="14"/>
          <w:szCs w:val="14"/>
          <w:color w:val="auto"/>
        </w:rPr>
      </w:pPr>
    </w:p>
    <w:p>
      <w:pPr>
        <w:ind w:left="460" w:hanging="286"/>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a New Markets Tax Credit (NMTC) benefit during the second quarter of fiscal 2024, which was recorded in other (income) expense, net.</w:t>
      </w:r>
    </w:p>
    <w:p>
      <w:pPr>
        <w:spacing w:after="0" w:line="41" w:lineRule="exact"/>
        <w:rPr>
          <w:rFonts w:ascii="Times New Roman" w:cs="Times New Roman" w:eastAsia="Times New Roman" w:hAnsi="Times New Roman"/>
          <w:sz w:val="14"/>
          <w:szCs w:val="14"/>
          <w:color w:val="auto"/>
        </w:rPr>
      </w:pPr>
    </w:p>
    <w:p>
      <w:pPr>
        <w:ind w:left="460" w:hanging="286"/>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reflects the estimated tax rate for the jurisdictions in which the charge or income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20" w:type="dxa"/>
            <w:vAlign w:val="bottom"/>
          </w:tcPr>
          <w:p>
            <w:pPr>
              <w:spacing w:after="0"/>
              <w:rPr>
                <w:sz w:val="18"/>
                <w:szCs w:val="18"/>
                <w:color w:val="auto"/>
              </w:rPr>
            </w:pPr>
          </w:p>
        </w:tc>
        <w:tc>
          <w:tcPr>
            <w:tcW w:w="14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0" w:type="dxa"/>
            <w:vAlign w:val="bottom"/>
          </w:tcPr>
          <w:p>
            <w:pPr>
              <w:spacing w:after="0"/>
              <w:rPr>
                <w:sz w:val="1"/>
                <w:szCs w:val="1"/>
                <w:color w:val="auto"/>
              </w:rPr>
            </w:pPr>
          </w:p>
        </w:tc>
      </w:tr>
      <w:tr>
        <w:trPr>
          <w:trHeight w:val="217"/>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8"/>
                <w:szCs w:val="18"/>
                <w:color w:val="auto"/>
              </w:rPr>
            </w:pPr>
          </w:p>
        </w:tc>
        <w:tc>
          <w:tcPr>
            <w:tcW w:w="14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0" w:type="dxa"/>
            <w:vAlign w:val="bottom"/>
          </w:tcPr>
          <w:p>
            <w:pPr>
              <w:spacing w:after="0"/>
              <w:rPr>
                <w:sz w:val="1"/>
                <w:szCs w:val="1"/>
                <w:color w:val="auto"/>
              </w:rPr>
            </w:pPr>
          </w:p>
        </w:tc>
      </w:tr>
      <w:tr>
        <w:trPr>
          <w:trHeight w:val="213"/>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85,052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99,613</w:t>
            </w:r>
          </w:p>
        </w:tc>
        <w:tc>
          <w:tcPr>
            <w:tcW w:w="0" w:type="dxa"/>
            <w:vAlign w:val="bottom"/>
          </w:tcPr>
          <w:p>
            <w:pPr>
              <w:spacing w:after="0"/>
              <w:rPr>
                <w:sz w:val="1"/>
                <w:szCs w:val="1"/>
                <w:color w:val="auto"/>
              </w:rPr>
            </w:pPr>
          </w:p>
        </w:tc>
      </w:tr>
      <w:tr>
        <w:trPr>
          <w:trHeight w:val="21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27,522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29,640</w:t>
            </w:r>
          </w:p>
        </w:tc>
        <w:tc>
          <w:tcPr>
            <w:tcW w:w="0" w:type="dxa"/>
            <w:vAlign w:val="bottom"/>
          </w:tcPr>
          <w:p>
            <w:pPr>
              <w:spacing w:after="0"/>
              <w:rPr>
                <w:sz w:val="1"/>
                <w:szCs w:val="1"/>
                <w:color w:val="auto"/>
              </w:rPr>
            </w:pPr>
          </w:p>
        </w:tc>
      </w:tr>
      <w:tr>
        <w:trPr>
          <w:trHeight w:val="21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6,669</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44,608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41,588</w:t>
            </w:r>
          </w:p>
        </w:tc>
        <w:tc>
          <w:tcPr>
            <w:tcW w:w="0" w:type="dxa"/>
            <w:vAlign w:val="bottom"/>
          </w:tcPr>
          <w:p>
            <w:pPr>
              <w:spacing w:after="0"/>
              <w:rPr>
                <w:sz w:val="1"/>
                <w:szCs w:val="1"/>
                <w:color w:val="auto"/>
              </w:rPr>
            </w:pPr>
          </w:p>
        </w:tc>
      </w:tr>
      <w:tr>
        <w:trPr>
          <w:trHeight w:val="212"/>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163,341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177,510</w:t>
            </w:r>
          </w:p>
        </w:tc>
        <w:tc>
          <w:tcPr>
            <w:tcW w:w="0" w:type="dxa"/>
            <w:vAlign w:val="bottom"/>
          </w:tcPr>
          <w:p>
            <w:pPr>
              <w:spacing w:after="0"/>
              <w:rPr>
                <w:sz w:val="1"/>
                <w:szCs w:val="1"/>
                <w:color w:val="auto"/>
              </w:rPr>
            </w:pPr>
          </w:p>
        </w:tc>
      </w:tr>
      <w:tr>
        <w:trPr>
          <w:trHeight w:val="216"/>
        </w:trPr>
        <w:tc>
          <w:tcPr>
            <w:tcW w:w="7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Integration</w:t>
            </w:r>
          </w:p>
        </w:tc>
        <w:tc>
          <w:tcPr>
            <w:tcW w:w="200" w:type="dxa"/>
            <w:vAlign w:val="bottom"/>
          </w:tcPr>
          <w:p>
            <w:pPr>
              <w:spacing w:after="0"/>
              <w:rPr>
                <w:sz w:val="18"/>
                <w:szCs w:val="18"/>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 step-up</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200" w:type="dxa"/>
            <w:vAlign w:val="bottom"/>
          </w:tcPr>
          <w:p>
            <w:pPr>
              <w:spacing w:after="0"/>
              <w:rPr>
                <w:sz w:val="17"/>
                <w:szCs w:val="17"/>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7,962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12,403</w:t>
            </w:r>
          </w:p>
        </w:tc>
        <w:tc>
          <w:tcPr>
            <w:tcW w:w="0" w:type="dxa"/>
            <w:vAlign w:val="bottom"/>
          </w:tcPr>
          <w:p>
            <w:pPr>
              <w:spacing w:after="0"/>
              <w:rPr>
                <w:sz w:val="1"/>
                <w:szCs w:val="1"/>
                <w:color w:val="auto"/>
              </w:rPr>
            </w:pPr>
          </w:p>
        </w:tc>
      </w:tr>
      <w:tr>
        <w:trPr>
          <w:trHeight w:val="216"/>
        </w:trPr>
        <w:tc>
          <w:tcPr>
            <w:tcW w:w="7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Impairment expense </w:t>
            </w:r>
            <w:r>
              <w:rPr>
                <w:rFonts w:ascii="Times New Roman" w:cs="Times New Roman" w:eastAsia="Times New Roman" w:hAnsi="Times New Roman"/>
                <w:sz w:val="21"/>
                <w:szCs w:val="21"/>
                <w:color w:val="auto"/>
                <w:vertAlign w:val="superscript"/>
              </w:rPr>
              <w:t>(3)</w:t>
            </w:r>
          </w:p>
        </w:tc>
        <w:tc>
          <w:tcPr>
            <w:tcW w:w="200" w:type="dxa"/>
            <w:vAlign w:val="bottom"/>
          </w:tcPr>
          <w:p>
            <w:pPr>
              <w:spacing w:after="0"/>
              <w:rPr>
                <w:sz w:val="18"/>
                <w:szCs w:val="18"/>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7,634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Arbitration award expense </w:t>
            </w:r>
            <w:r>
              <w:rPr>
                <w:rFonts w:ascii="Times New Roman" w:cs="Times New Roman" w:eastAsia="Times New Roman" w:hAnsi="Times New Roman"/>
                <w:sz w:val="21"/>
                <w:szCs w:val="21"/>
                <w:color w:val="auto"/>
                <w:vertAlign w:val="superscript"/>
              </w:rPr>
              <w:t>(4)</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(5)</w:t>
            </w:r>
          </w:p>
        </w:tc>
        <w:tc>
          <w:tcPr>
            <w:tcW w:w="2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(4,687)</w:t>
            </w:r>
          </w:p>
        </w:tc>
        <w:tc>
          <w:tcPr>
            <w:tcW w:w="0" w:type="dxa"/>
            <w:vAlign w:val="bottom"/>
          </w:tcPr>
          <w:p>
            <w:pPr>
              <w:spacing w:after="0"/>
              <w:rPr>
                <w:sz w:val="1"/>
                <w:szCs w:val="1"/>
                <w:color w:val="auto"/>
              </w:rPr>
            </w:pPr>
          </w:p>
        </w:tc>
      </w:tr>
      <w:tr>
        <w:trPr>
          <w:trHeight w:val="234"/>
        </w:trPr>
        <w:tc>
          <w:tcPr>
            <w:tcW w:w="7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192,653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185,226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0" w:hanging="294"/>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w:t>
      </w:r>
    </w:p>
    <w:p>
      <w:pPr>
        <w:spacing w:after="0" w:line="3" w:lineRule="exact"/>
        <w:rPr>
          <w:rFonts w:ascii="Times New Roman" w:cs="Times New Roman" w:eastAsia="Times New Roman" w:hAnsi="Times New Roman"/>
          <w:sz w:val="14"/>
          <w:szCs w:val="14"/>
          <w:color w:val="auto"/>
        </w:rPr>
      </w:pPr>
    </w:p>
    <w:p>
      <w:pPr>
        <w:ind w:left="1040" w:hanging="326"/>
        <w:spacing w:after="0" w:line="201" w:lineRule="auto"/>
        <w:tabs>
          <w:tab w:leader="none" w:pos="10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related to the UW Solutions acquisition.</w:t>
      </w:r>
    </w:p>
    <w:p>
      <w:pPr>
        <w:ind w:left="1040" w:hanging="326"/>
        <w:spacing w:after="0" w:line="221" w:lineRule="auto"/>
        <w:tabs>
          <w:tab w:leader="none" w:pos="10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costs related to one-time expenses incurred to integrate the UW Solutions acquisition.</w:t>
      </w:r>
    </w:p>
    <w:p>
      <w:pPr>
        <w:ind w:left="1040" w:right="100" w:hanging="326"/>
        <w:spacing w:after="0" w:line="239" w:lineRule="auto"/>
        <w:tabs>
          <w:tab w:leader="none" w:pos="1036"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step-up is related to the incremental cost to value inventory acquired as part of the UW Solutions acquisition at fair value. These costs were expensed to cost of goods sold over the period the inventory was sold.</w:t>
      </w:r>
    </w:p>
    <w:p>
      <w:pPr>
        <w:ind w:left="400" w:right="100" w:hanging="294"/>
        <w:spacing w:after="0" w:line="251" w:lineRule="auto"/>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$1.1 million of employee termination costs and $3.2 million of other costs incurred in fiscal 2025. Restructuring charges related to Project Fortify, including $6.2 million of asset impairment charges, $5.9 million of employee termination costs and $0.3 million of other costs incurred in fiscal 2024.</w:t>
      </w:r>
    </w:p>
    <w:p>
      <w:pPr>
        <w:ind w:left="400" w:hanging="294"/>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for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400" w:hanging="294"/>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 the impact of the award amount net of existing reserves and estimated insurance proceeds.</w:t>
      </w:r>
    </w:p>
    <w:p>
      <w:pPr>
        <w:spacing w:after="0" w:line="41" w:lineRule="exact"/>
        <w:rPr>
          <w:rFonts w:ascii="Times New Roman" w:cs="Times New Roman" w:eastAsia="Times New Roman" w:hAnsi="Times New Roman"/>
          <w:sz w:val="14"/>
          <w:szCs w:val="14"/>
          <w:color w:val="auto"/>
        </w:rPr>
      </w:pPr>
    </w:p>
    <w:p>
      <w:pPr>
        <w:ind w:left="400" w:hanging="294"/>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a New Markets Tax Credit (NMTC) benefit during the second quarter of fiscal 2024, which was recorded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Return on Invested Capital Reconciliation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3900" w:type="dxa"/>
            <w:vAlign w:val="bottom"/>
            <w:gridSpan w:val="3"/>
          </w:tcPr>
          <w:p>
            <w:pPr>
              <w:jc w:val="right"/>
              <w:ind w:right="1779"/>
              <w:spacing w:after="0"/>
              <w:rPr>
                <w:sz w:val="20"/>
                <w:szCs w:val="20"/>
                <w:color w:val="auto"/>
              </w:rPr>
            </w:pPr>
            <w:r>
              <w:rPr>
                <w:rFonts w:ascii="Times New Roman" w:cs="Times New Roman" w:eastAsia="Times New Roman" w:hAnsi="Times New Roman"/>
                <w:sz w:val="16"/>
                <w:szCs w:val="16"/>
                <w:color w:val="auto"/>
              </w:rPr>
              <w:t>(Unaudited)</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39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80" w:type="dxa"/>
            <w:vAlign w:val="bottom"/>
            <w:tcBorders>
              <w:bottom w:val="single" w:sz="8" w:color="auto"/>
            </w:tcBorders>
          </w:tcPr>
          <w:p>
            <w:pPr>
              <w:spacing w:after="0"/>
              <w:rPr>
                <w:sz w:val="19"/>
                <w:szCs w:val="19"/>
                <w:color w:val="auto"/>
              </w:rPr>
            </w:pPr>
          </w:p>
        </w:tc>
      </w:tr>
      <w:tr>
        <w:trPr>
          <w:trHeight w:val="201"/>
        </w:trPr>
        <w:tc>
          <w:tcPr>
            <w:tcW w:w="39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1, 2025</w:t>
            </w:r>
          </w:p>
        </w:tc>
        <w:tc>
          <w:tcPr>
            <w:tcW w:w="380" w:type="dxa"/>
            <w:vAlign w:val="bottom"/>
          </w:tcPr>
          <w:p>
            <w:pPr>
              <w:spacing w:after="0"/>
              <w:rPr>
                <w:sz w:val="17"/>
                <w:szCs w:val="17"/>
                <w:color w:val="auto"/>
              </w:rPr>
            </w:pPr>
          </w:p>
        </w:tc>
        <w:tc>
          <w:tcPr>
            <w:tcW w:w="138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March 2, 2024</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380" w:type="dxa"/>
            <w:vAlign w:val="bottom"/>
          </w:tcPr>
          <w:p>
            <w:pPr>
              <w:spacing w:after="0"/>
              <w:rPr>
                <w:sz w:val="16"/>
                <w:szCs w:val="16"/>
                <w:color w:val="auto"/>
              </w:rPr>
            </w:pPr>
          </w:p>
        </w:tc>
        <w:tc>
          <w:tcPr>
            <w:tcW w:w="13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(53 weeks)</w:t>
            </w:r>
          </w:p>
        </w:tc>
      </w:tr>
      <w:tr>
        <w:trPr>
          <w:trHeight w:val="23"/>
        </w:trPr>
        <w:tc>
          <w:tcPr>
            <w:tcW w:w="39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85,052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99,613</w:t>
            </w:r>
          </w:p>
        </w:tc>
      </w:tr>
      <w:tr>
        <w:trPr>
          <w:trHeight w:val="213"/>
        </w:trPr>
        <w:tc>
          <w:tcPr>
            <w:tcW w:w="3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 net (after tax)</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4,619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5,002</w:t>
            </w:r>
          </w:p>
        </w:tc>
      </w:tr>
      <w:tr>
        <w:trPr>
          <w:trHeight w:val="219"/>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 (after tax)</w:t>
            </w:r>
          </w:p>
        </w:tc>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(1,567)</w:t>
            </w: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operating income after taxes</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89,204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103,048</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39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10,302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12,403</w:t>
            </w:r>
          </w:p>
        </w:tc>
      </w:tr>
      <w:tr>
        <w:trPr>
          <w:trHeight w:val="216"/>
        </w:trPr>
        <w:tc>
          <w:tcPr>
            <w:tcW w:w="39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Impairment expense </w:t>
            </w:r>
            <w:r>
              <w:rPr>
                <w:rFonts w:ascii="Times New Roman" w:cs="Times New Roman" w:eastAsia="Times New Roman" w:hAnsi="Times New Roman"/>
                <w:sz w:val="21"/>
                <w:szCs w:val="21"/>
                <w:color w:val="auto"/>
                <w:vertAlign w:val="superscript"/>
              </w:rPr>
              <w:t>(3)</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7,634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Arbitration award expense </w:t>
            </w:r>
            <w:r>
              <w:rPr>
                <w:rFonts w:ascii="Times New Roman" w:cs="Times New Roman" w:eastAsia="Times New Roman" w:hAnsi="Times New Roman"/>
                <w:sz w:val="21"/>
                <w:szCs w:val="21"/>
                <w:color w:val="auto"/>
                <w:vertAlign w:val="superscript"/>
              </w:rPr>
              <w:t>(4)</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9,393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31,652</w:t>
            </w:r>
          </w:p>
        </w:tc>
        <w:tc>
          <w:tcPr>
            <w:tcW w:w="8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12,403</w:t>
            </w:r>
          </w:p>
        </w:tc>
      </w:tr>
      <w:tr>
        <w:trPr>
          <w:trHeight w:val="219"/>
        </w:trPr>
        <w:tc>
          <w:tcPr>
            <w:tcW w:w="3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Income tax impact on adjustments </w:t>
            </w:r>
            <w:r>
              <w:rPr>
                <w:rFonts w:ascii="Times New Roman" w:cs="Times New Roman" w:eastAsia="Times New Roman" w:hAnsi="Times New Roman"/>
                <w:sz w:val="21"/>
                <w:szCs w:val="21"/>
                <w:color w:val="auto"/>
                <w:vertAlign w:val="superscript"/>
              </w:rPr>
              <w:t>(5)</w:t>
            </w:r>
          </w:p>
        </w:tc>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7,832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3,101</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operating income after taxes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113,024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112,350</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16"/>
        </w:trPr>
        <w:tc>
          <w:tcPr>
            <w:tcW w:w="39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Average invested capital </w:t>
            </w:r>
            <w:r>
              <w:rPr>
                <w:rFonts w:ascii="Times New Roman" w:cs="Times New Roman" w:eastAsia="Times New Roman" w:hAnsi="Times New Roman"/>
                <w:sz w:val="21"/>
                <w:szCs w:val="21"/>
                <w:color w:val="auto"/>
                <w:vertAlign w:val="superscript"/>
              </w:rPr>
              <w:t>(6)</w:t>
            </w:r>
          </w:p>
        </w:tc>
        <w:tc>
          <w:tcPr>
            <w:tcW w:w="39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757,178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668,555</w:t>
            </w:r>
          </w:p>
        </w:tc>
      </w:tr>
      <w:tr>
        <w:trPr>
          <w:trHeight w:val="270"/>
        </w:trPr>
        <w:tc>
          <w:tcPr>
            <w:tcW w:w="3980" w:type="dxa"/>
            <w:vAlign w:val="bottom"/>
            <w:shd w:val="clear" w:color="auto" w:fill="CCEEFF"/>
          </w:tcPr>
          <w:p>
            <w:pPr>
              <w:spacing w:after="0"/>
              <w:rPr>
                <w:sz w:val="23"/>
                <w:szCs w:val="23"/>
                <w:color w:val="auto"/>
              </w:rPr>
            </w:pPr>
          </w:p>
        </w:tc>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16"/>
        </w:trPr>
        <w:tc>
          <w:tcPr>
            <w:tcW w:w="39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Return on invested capital (ROIC) </w:t>
            </w:r>
            <w:r>
              <w:rPr>
                <w:rFonts w:ascii="Times New Roman" w:cs="Times New Roman" w:eastAsia="Times New Roman" w:hAnsi="Times New Roman"/>
                <w:sz w:val="21"/>
                <w:szCs w:val="21"/>
                <w:color w:val="auto"/>
                <w:vertAlign w:val="superscript"/>
              </w:rPr>
              <w:t>(7)</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ROIC </w:t>
            </w:r>
            <w:r>
              <w:rPr>
                <w:rFonts w:ascii="Times New Roman" w:cs="Times New Roman" w:eastAsia="Times New Roman" w:hAnsi="Times New Roman"/>
                <w:sz w:val="21"/>
                <w:szCs w:val="21"/>
                <w:color w:val="auto"/>
                <w:vertAlign w:val="superscript"/>
              </w:rPr>
              <w:t>(8)</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r>
    </w:tbl>
    <w:p>
      <w:pPr>
        <w:spacing w:after="0" w:line="89" w:lineRule="exact"/>
        <w:rPr>
          <w:sz w:val="20"/>
          <w:szCs w:val="20"/>
          <w:color w:val="auto"/>
        </w:rPr>
      </w:pPr>
    </w:p>
    <w:p>
      <w:pPr>
        <w:ind w:left="400" w:hanging="294"/>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w:t>
      </w:r>
    </w:p>
    <w:p>
      <w:pPr>
        <w:ind w:left="1040" w:hanging="326"/>
        <w:spacing w:after="0" w:line="221" w:lineRule="auto"/>
        <w:tabs>
          <w:tab w:leader="none" w:pos="10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related to the UW Solutions acquisition.</w:t>
      </w:r>
    </w:p>
    <w:p>
      <w:pPr>
        <w:ind w:left="1040" w:hanging="326"/>
        <w:spacing w:after="0" w:line="221" w:lineRule="auto"/>
        <w:tabs>
          <w:tab w:leader="none" w:pos="10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costs related to one-time expenses incurred to integrate the UW Solutions acquisition.</w:t>
      </w:r>
    </w:p>
    <w:p>
      <w:pPr>
        <w:ind w:left="1040" w:right="20" w:hanging="326"/>
        <w:spacing w:after="0" w:line="211" w:lineRule="auto"/>
        <w:tabs>
          <w:tab w:leader="none" w:pos="1036"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amortization is related the value attributed to contracting the backlog purchased in the UW Solutions acquisition. These costs were amortized in SG&amp;A over the period that the contracted backlog was shipped.</w:t>
      </w:r>
    </w:p>
    <w:p>
      <w:pPr>
        <w:ind w:left="1040" w:right="20" w:hanging="326"/>
        <w:spacing w:after="0" w:line="239" w:lineRule="auto"/>
        <w:tabs>
          <w:tab w:leader="none" w:pos="1036"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step-up is related to the incremental cost to value inventory acquired as part of the UW Solutions acquisition at fair value. These costs were expensed to cost of goods sold over the period the inventory was sold.</w:t>
      </w:r>
    </w:p>
    <w:p>
      <w:pPr>
        <w:spacing w:after="0" w:line="14" w:lineRule="exact"/>
        <w:rPr>
          <w:rFonts w:ascii="Times New Roman" w:cs="Times New Roman" w:eastAsia="Times New Roman" w:hAnsi="Times New Roman"/>
          <w:sz w:val="14"/>
          <w:szCs w:val="14"/>
          <w:color w:val="auto"/>
        </w:rPr>
      </w:pPr>
    </w:p>
    <w:p>
      <w:pPr>
        <w:ind w:left="400" w:right="20" w:hanging="294"/>
        <w:spacing w:after="0" w:line="241" w:lineRule="auto"/>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$1.1 million of employee termination costs and $3.2 million of other costs incurred in fiscal 2025. Restructuring charges related to Project Fortify, including $6.2 million of asset impairment charges, $5.9 million of employee termination costs and $0.3 million of other costs incurred in fiscal 2024.</w:t>
      </w:r>
    </w:p>
    <w:p>
      <w:pPr>
        <w:spacing w:after="0" w:line="14" w:lineRule="exact"/>
        <w:rPr>
          <w:rFonts w:ascii="Times New Roman" w:cs="Times New Roman" w:eastAsia="Times New Roman" w:hAnsi="Times New Roman"/>
          <w:sz w:val="14"/>
          <w:szCs w:val="14"/>
          <w:color w:val="auto"/>
        </w:rPr>
      </w:pPr>
    </w:p>
    <w:p>
      <w:pPr>
        <w:ind w:left="400" w:hanging="294"/>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for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400" w:hanging="294"/>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 the impact of the award amount net of existing reserves and estimated insurance proceeds.</w:t>
      </w:r>
    </w:p>
    <w:p>
      <w:pPr>
        <w:spacing w:after="0" w:line="41" w:lineRule="exact"/>
        <w:rPr>
          <w:rFonts w:ascii="Times New Roman" w:cs="Times New Roman" w:eastAsia="Times New Roman" w:hAnsi="Times New Roman"/>
          <w:sz w:val="14"/>
          <w:szCs w:val="14"/>
          <w:color w:val="auto"/>
        </w:rPr>
      </w:pPr>
    </w:p>
    <w:p>
      <w:pPr>
        <w:ind w:left="400" w:hanging="294"/>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reflects the estimated tax rate for the jurisdictions in which the charge or income occurred.</w:t>
      </w:r>
    </w:p>
    <w:p>
      <w:pPr>
        <w:spacing w:after="0" w:line="41" w:lineRule="exact"/>
        <w:rPr>
          <w:rFonts w:ascii="Times New Roman" w:cs="Times New Roman" w:eastAsia="Times New Roman" w:hAnsi="Times New Roman"/>
          <w:sz w:val="14"/>
          <w:szCs w:val="14"/>
          <w:color w:val="auto"/>
        </w:rPr>
      </w:pPr>
    </w:p>
    <w:p>
      <w:pPr>
        <w:ind w:left="400" w:hanging="294"/>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invested capital represents a trailing five quarter average of total assets less average current liabilities (excluding current portion long-term debt).</w:t>
      </w:r>
    </w:p>
    <w:p>
      <w:pPr>
        <w:spacing w:after="0" w:line="41" w:lineRule="exact"/>
        <w:rPr>
          <w:rFonts w:ascii="Times New Roman" w:cs="Times New Roman" w:eastAsia="Times New Roman" w:hAnsi="Times New Roman"/>
          <w:sz w:val="14"/>
          <w:szCs w:val="14"/>
          <w:color w:val="auto"/>
        </w:rPr>
      </w:pPr>
    </w:p>
    <w:p>
      <w:pPr>
        <w:ind w:left="400" w:hanging="294"/>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ROIC is calculated by dividing net operating income after taxes by average invested capital.</w:t>
      </w:r>
    </w:p>
    <w:p>
      <w:pPr>
        <w:spacing w:after="0" w:line="41" w:lineRule="exact"/>
        <w:rPr>
          <w:rFonts w:ascii="Times New Roman" w:cs="Times New Roman" w:eastAsia="Times New Roman" w:hAnsi="Times New Roman"/>
          <w:sz w:val="14"/>
          <w:szCs w:val="14"/>
          <w:color w:val="auto"/>
        </w:rPr>
      </w:pPr>
    </w:p>
    <w:p>
      <w:pPr>
        <w:ind w:left="400" w:hanging="294"/>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ROIC is calculated by dividing adjusted net operating income after taxes by average invested capital.</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$125.2 million, compared to $204.2 million. The decrease in net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activities was primarily driven by cash used for working capital.</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by investing activities was $265.9 million, compared to $43.7 million. The increase in net cash used by investing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was primarily related to $232.2 million of cash used for the acquisition of UW Solutions.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$146.0 million, compared to $144.6 million of net cash used by financing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net cash provided by financing activities was primarily driven by the proceeds of</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$250.0 million from the delayed draw term loan utilized to finance the UW Solutions acquisition. We returned $67.1 million of cash to shareholders through share repurchases and dividends, compared to $33.0 million in the prior year.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replaces the previous revolving credit facility with Wells Fargo Bank, N.A., as administrative agent, and other lenders, with maximum borrowings up to $385.0 million, and the two Canadian credit facilities with Bank of Montreal totaling $25.0 million USD.</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execution of the Credit Agreement, in fiscal 2025, we recognized a loss, within interest expense of $0.5 million for the write-off of unamortized financing fees related to the previous revolving credit facility. Additionally, we capitalized $3.0 million of lender fees and $0.8 million of third-party fees incurred in connection with the Credit Agreement, which were recorded as other non-current assets and will be amortized over the term of the Credit Agreement as interest expense.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March 1, 2025, we were in compliance with all covenants as defined under the terms of the Credit Agreement.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unlimited additional amounts. Any lender may elect or decline to participate in the requested increase at their sole discretion.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4, 2024, as part of the acquisition of UW Solutions, and for working capital and general corporate purposes, we executed a drawdown against the delayed draw term loan facility for $250.0 million.</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Outstanding borrowings under the term loan facility were $215.0 million as of March 1, 2025. Outstanding borrowings under the revolving credit facility were $70.0 million as of March 1, 2025. Outstanding borrowings under the previous revolving credit facility were $50.0 million as of March 2, 2024. We had no outstanding borrowings under the Canadian facilities as of March 2, 2024.</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2, 2024, debt included $12.0 million of industrial revenue bonds. We had no outstanding industrial revenue bonds as of March 1, 2025 as in the fourth quarter of fiscal 2025 we paid the remaining balance of these bonds, including principal and interest outstanding, without penalty.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1, 2025, we had a total of $15.0 million of ongoing letters of credit that expire in fiscal year 2026 and reduce borrowing capacity under the revolving credit facility. As of March 1, 2025, the amount available for revolving borrowings was $365.0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$76.9 million at March 1, 2025, with $17.7 million payable within the next 12 months. See Note 8 for further detail surrounding our lease obligations and the timing of expected future payments.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1, 2025, we had $10.2 million of open purchase obligations, of which payments totaling $7.3 million are expected to become due within the next 12 months. These purchase obligations primarily relate to raw material commitments.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approximately $0.4 million to our defined-benefit pension plans in fiscal 2026, which will equal or exceed our minimum funding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 2025, we had reserves of $6.0 million and $0.1 million for long-term unrecognized tax benefits and environmental liabilities,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unable to reasonably estimate in which future periods the remaining unrecognized tax benefits will ultimately be settled.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March 1, 2025, $394.1 million of our backlog was bonded by performance bonds with a face value of $1.2 billion. These bonds have expiration dates that align with completion of the purchase order or contract. We have never been required to make payments under surety or performance bonds with respect to our existing businesses.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facilities,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material acquisitions for the foreseeable future. We also believe we will be able to operate our business so as to continue to be in compliance with our existing debt covenants over the next fiscal year.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for information pertaining to recently issued accounting pronouncements,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analysis of operations and financial condition is based on our consolidated financial statements prepared in accordance with U.S.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Our estimates are evaluated on an ongoing basis and are drawn from historical experience and other assumptions that we believe to be reasonable under the circumstances. Actual results could differ under other assumptions or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the following items in our consolidated financial statements to require significant estimation or judgment.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design, engineering and fabrication of architectural glass, curtainwall, window, storefront and entrance systems, and from installing those products on non-residential buildings. We also manufacture value-added glass, acrylic, and industrial flooring products. Due to the diverse nature of our operations and various types of contracts with customers, we have businesses that recognize revenue over time and businesses that recognize revenue at a point in time. We believe the most significant areas of estimation and judgment are related to our businesses that recognize revenue using the over-time input method.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36% of our total revenue in fiscal 2025 was from longer-term, fixed-price contracts, of which the longer term and most significant contracts are in our Architectural Services Segment. The contracts for this business have a single, bundled performance obligation, as this business generally provides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work required under these long-term contracts, the estimation of total revenue and costs incurred and remaining to complete on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generally accounted for as part of the existing contract. The effect of a contract modification on the transaction price and our measure of progress is recognized as an adjustment to revenue, generally on a cumulative catch-up basis.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significant judgments utilized in our revenue recognition on long-term contracts, if subsequent actual results and/or updated assumptions, estimates, or projections were to change from those utilized at March 1, 2025, our results of operations in the future could be materially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indefinite-lived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evaluate goodwill for impairment annually on the first day in our fiscal fourth quarter, or more frequently if events or changes in circumstances indicate the carrying value of the goodwill may not be recoverable. 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is reviewed by segment management on a regular basis. The reporting units for our fiscal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annual impairment test align with our Architectural Metals, Architectural Services, and Architectural Glass reporting segments. The Performance Surfaces reporting segment consists of the Tru Vue and UW Solutions reporting units.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our fiscal 2025 annual impairment test, we elected to bypass the qualitative assessment process and proceed directly to comparing the fair value of each of our reporting units to carrying value, including goodwill. If fair value exceeds the carrying value, goodwill impairment is not indicated. If the carrying amount of a reporting unit is higher than its estimated fair value, the excess is recognized as an impairment expense.</w:t>
      </w:r>
    </w:p>
    <w:p>
      <w:pPr>
        <w:spacing w:after="0" w:line="2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publicly traded companies.</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these analyses, estimated fair value exceeded carrying value at all of our reporting units. The discounted cash flow projections used in these analyses are dependent upon achieving forecasted levels of revenue and profitability. If revenue or profitability were to fall below forecasted levels, or if market conditions were to decline in a material or sustained manner, impairment could be indicated at our reporting units and we could incur non-cash impairment expense that would negatively impact our net earnings. For example, keeping all other assumptions constant, a 100 basis point increase in the weighted average cost of capital would cause the estimated fair values of our reporting units to decrease in the range of $13 million to $60 million. In addition, keeping all other assumptions constant, a 100 basis point reduction in the long-term growth rate would cause the estimated fair values of our reporting units to decrease in the range of $14 million to $31 million. Given the amounts by which the fair value exceeds the carrying value for each of our reporting units, the decreases in estimated fair values described above would not have significantly impacted the results of our impairment tests.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we have determined to have indefinite useful lives. We evaluate the reasonableness of the useful lives and test indefinite-lived intangible assets for impairment annually at the same measurement date as goodwill, the first day of our fiscal fourth quarter, or more frequently if events or changes in circumstances indicate that it is more likely than not that the asset is impaired.</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our fiscal 2025 annual impairment test, we bypassed a qualitative assessment and performed a quantitative impairment test to compare the fair value of each indefinite-lived intangible asset with its carrying value. If the carrying value of an indefinite-lived intangible asset exceeds its fair value, an impairment expense is recognized in an amount equal to that excess. If an impairment expense is recognized, the adjusted carrying amount becomes the asset's new accounting basis.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In the fair value analysis, we assumed a discount rate of 12.5%, a royalty rate of 1.5%, and long-term growth rates ranging from 0.0% to 1.5%. Based on our annual analysis, the carrying amount for certain of our trade names exceeded the fair value, indicating impairment of $7.6 million.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conclude that the useful lives of our remaining indefinite-lived intangible assets are appropriate. If future revenue were to fall below forecasted levels or if market conditions were to decline in a material or sustained manner, impairment could be indicated on these indefinite-lived intangible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 for disputes and claims regarding product liability, warranties and other project-related contingencies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claims associated with our products and services, principally as a result of disputes with our customers involving the performance or aesthetics of our products, some of which may be covered under our warranty policies. We have in the past and are currently subject to product liability and warranty claims, including certain legal claims related to a commercial sealant product formerly incorporated into our products. We also are subject to project management and installation-related contingencies as a result of our fixed-price material supply and installation service contracts, primarily in our Architectural Services Segment and certain of our Architectural Metals businesses. The time period from when a claim is asserted to when it is resolved, either by negotiation, settlement or litigation, can be several years. While we maintain various types of product liability insurance, the insurance policies include significant self-retention of risk in the form of policy deductibles. In addition, certain claims could be determined to be uninsured. We also actively manage the risk of these exposures through contract negotiations and proactive project management.</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costs, based on similar historical product liability claims, as a ratio of sales. We also reserve for estimated exposures on other claims as they are known and reasonably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make judgments regarding the potential tax effects of various financial transactions and ongoing operations to estimate our obligation to taxing authorities. These tax obligations include income, real estate, franchise and sales/use taxes. Judgments related to income taxes require the recognition in our financial statements that a tax position is more-likely-than-not to be sustained on audit.</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and estimation is required in developing the provision for income taxes and the reporting of tax-related assets and liabilities and, if necessary, any valuation allowances. The interpretation of tax laws can involve uncertainty, since tax authorities may interpret such laws differently. Actual income tax could vary from estimated amounts and may result in favorable or unfavorable impacts to net income, cash flows and tax-related assets and liabilities. In addition, the effective tax rate may be affected by other changes, including the allocation of property, payroll and revenues between states.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the deferred tax assets for recoverability taking into consideration historical and anticipated earnings levels; the reversal of other existing temporary differences; available net operating losses and tax carryforwards; and available tax planning strategies that could be implemented to realize the deferred tax assets. Based on this assessment, management must evaluate the need for, and amount of, a valuation allowance against the deferred tax assets. As facts and circumstances change, adjustment to the valuation allowance may be required.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foreign currency exchange rates and raw material pricing.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We also hedge a portion of the floating interest rate on our long-term line of credit through two floating-to-fixed interest rate swaps.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measure of interest rate risk is the simulation of net income under different interest rate environments. If interest rates were to increase or decrease over the next 12 months by 200 basis points, net earnings would be impacted by approximately $0.6 million. Our debt exceeded investments at March 1, 2025, so as interest rates increase, net earnings decrease; as interest rates decrease, net earnings increase.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market risk related to interest rate changes on our financial instruments, the non-residential construction markets in which our businesses operate are highly affected by changes in interest rates. Increases in interest rates could adversely impact activity in the non-residential construction industry and our operating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market risk due to changes in the value of foreign currencies in relation to our reporting currency, the U.S. dollar.</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operations in Canada, Brazil, Belgium, and Australia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Brazilian Real, Euro, and Australian dollar versus the U.S. dollar, will impact our reported financial results. From time to time, we enter into forward purchase foreign currency contracts, generally with an original maturity date of less than one year, to hedge foreign currency risk (see Note 4). Sales from our domestic operations are generally denominated in U.S. dollars.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 Pricing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market risk exposure related to volatility in the prices of aluminum and lumber, among other raw materials and supplies used in our end products. A significant amount of our cost of sales relates to materials costs. The commodities markets, which include the aluminum industry, are highly cyclical in nature. As a result, commodity costs can be volatile. Commodity costs are influenced by numerous factors beyond our control, including general economic conditions, the availability of raw materials, competition, labor costs, freight and transportation costs, production costs, tariffs, import duties and other trade restrictions.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principally manage our exposures to the market fluctuations in the aluminum industry through forward purchase agreements. Although we have the ability to purchase aluminum from a number of suppliers, a production cutback by one or more of our current suppliers could create challenges in meeting delivery schedules to our customers. The prices we offer to our customers are also impacted by changes in commodity costs. We manage the alignment of the cost of our raw materials and the prices offered to customers, and attempt to pass changes to raw material costs through to our customers. To improve our management of commodity costs, we attempt to maintain inventory levels not in excess of our production requirements.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accurately calculate the pre-tax impact a one percent change in the commodity costs of aluminum and/or lumber would have on our fiscal 2025 operating results, as the change in commodity costs would both impact the cost to purchase materials and the selling prices we offer our customers. The impact to our operating results would significantly depend on the competitive environment and the costs of other alternative products, which could impact our ability to pass commodities costs to our customers.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March 1, 2025, using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2024, we completed our acquisition of UW Solutions. In accordance with Securities Exchange Commission guidance permitting a company to exclude an acquired business from management’s assessment of the effectiveness of internal control over financial reporting for the year in which the acquisition is completed, we have excluded UW Solutions from our assessment of the effectiveness of internal control over financial reporting as of March 1, 2025. The assets and net sales revenue of UW Solutions that were excluded from our assessment constituted approximately 21.5% and 2.4%, respectively, of the related consolidated financial statement amounts as of and for the year ended March 1, 2025. The scope of management’s assessment of the effectiveness of the design and operation of our disclosure controls and procedures as March 1, 2025 includes all of our consolidated operations except for those disclosure controls and procedures of UW Solutions. See Note 17 for additional information regarding the UW Solutions acquisition. Based on our assessment, the Company's management believes that, as of March 1, 2025, the Company's internal control over financial reporting was effective based on those criteria.</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this report are reports from the Company's independent registered public accounting firm, Deloitte &amp; Touche LLP, on the Company's consolidated financial statements and on the effectiveness of the Company's internal control over financial reporting as of March 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Apogee Enterprises, Inc. and subsidiaries (the "Company") as of March 1, 2025 and March 2, 2024, and the related consolidated results of operations, statements of comprehensive earnings, cash flows, and shareholders' equity, for each of the three years in the period ended March 1, 2025, and the related notes (collectively referred to as the "financial statements"). In our opinion, the financial statements present fairly, in all material respects, the financial position of the Company as of March 1, 2025 and March 2, 2024, and the results of its operations and its cash flows for each of the three years in the period ended March 1, 2025, in conformity with accounting principles generally accepted in the United States of America.</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March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24, 2025,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Net Sales — Revenue Recognition for Long-Term Contracts in the Architectural Services Segment — Refer to Notes 1, 2, and 16 to the consolidated financial statements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Architectural Services Segment, which provides building glass and curtainwall installation services and operates under long-term, fixed-price contracts, accounted for approximately $419.9 million, or 31 percent of total net sales for the year ended March 1, 2025. The contracts for this business typically have a single, bundled performance obligation, as the business generally provides interrelated products and services and integrates these products and services into a combined output specified by the customer. The customer obtains control of this combined output, generally integrated window systems or installed window and curtainwall systems, over time. The Company measures progress on these contracts following an input method, by comparing total costs incurred to-date to the total estimated costs for the contract and recording that proportion of the total contract price as revenue.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the judgments necessary to estimate total costs and profit for the contract performance obligations used to recognize revenue for long-term, fixed-price contracts in the Architectural Services Segment, auditing such estimates required extensive audit effort due to the complexity of long-term contracts and a high degree of auditor judgment when performing audit procedures and evaluating the results of those procedures.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audit procedures related to management’s estimates of total costs and profit for the contract performance obligations used to recognize revenue for certain long-term contracts in the Architectural Services Segment included, but were not limited to the following:</w:t>
      </w:r>
    </w:p>
    <w:p>
      <w:pPr>
        <w:spacing w:after="0" w:line="1" w:lineRule="exact"/>
        <w:rPr>
          <w:sz w:val="20"/>
          <w:szCs w:val="20"/>
          <w:color w:val="auto"/>
        </w:rPr>
      </w:pPr>
    </w:p>
    <w:p>
      <w:pPr>
        <w:ind w:left="660" w:hanging="328"/>
        <w:spacing w:after="0" w:line="23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long-term contract revenue, including those over the estimates of total costs and profit for performance obligations.</w:t>
      </w:r>
    </w:p>
    <w:p>
      <w:pPr>
        <w:spacing w:after="0" w:line="1" w:lineRule="exact"/>
        <w:rPr>
          <w:rFonts w:ascii="Times New Roman" w:cs="Times New Roman" w:eastAsia="Times New Roman" w:hAnsi="Times New Roman"/>
          <w:sz w:val="18"/>
          <w:szCs w:val="18"/>
          <w:color w:val="auto"/>
        </w:rPr>
      </w:pPr>
    </w:p>
    <w:p>
      <w:pPr>
        <w:ind w:left="660" w:hanging="328"/>
        <w:spacing w:after="0" w:line="22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expectation of the amount of total long-term contract revenue based on prior year margins applied to cost of sales in the current year and compared our expectation to the amount of long-term contract revenue ultimately recorded by management.</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total costs and profit by comparing actual costs and profit to management’s historical estimates for performance obligations that have been fulfilled.</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long-term contracts from the contract portfolio and performed the following procedures:</w:t>
      </w:r>
    </w:p>
    <w:p>
      <w:pPr>
        <w:jc w:val="both"/>
        <w:ind w:left="1300" w:hanging="320"/>
        <w:spacing w:after="0" w:line="234" w:lineRule="auto"/>
        <w:tabs>
          <w:tab w:leader="none" w:pos="12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long-term contracts were properly included in management’s calculation of long-term contract revenue based on the terms and conditions of each contract, including whether continuous transfer of control to the customer occurred as progress was made toward fulfillment of the performance obligations.</w:t>
      </w:r>
    </w:p>
    <w:p>
      <w:pPr>
        <w:spacing w:after="0" w:line="2" w:lineRule="exact"/>
        <w:rPr>
          <w:rFonts w:ascii="Times New Roman" w:cs="Times New Roman" w:eastAsia="Times New Roman" w:hAnsi="Times New Roman"/>
          <w:sz w:val="18"/>
          <w:szCs w:val="18"/>
          <w:color w:val="auto"/>
        </w:rPr>
      </w:pPr>
    </w:p>
    <w:p>
      <w:pPr>
        <w:ind w:left="1300" w:hanging="320"/>
        <w:spacing w:after="0" w:line="234" w:lineRule="auto"/>
        <w:tabs>
          <w:tab w:leader="none" w:pos="12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transaction prices to the consideration expected to be received based on current rights and obligations under the long-term contracts and any modifications that were agreed upon with the customers.</w:t>
      </w:r>
    </w:p>
    <w:p>
      <w:pPr>
        <w:spacing w:after="0" w:line="1" w:lineRule="exact"/>
        <w:rPr>
          <w:rFonts w:ascii="Times New Roman" w:cs="Times New Roman" w:eastAsia="Times New Roman" w:hAnsi="Times New Roman"/>
          <w:sz w:val="18"/>
          <w:szCs w:val="18"/>
          <w:color w:val="auto"/>
        </w:rPr>
      </w:pPr>
    </w:p>
    <w:p>
      <w:pPr>
        <w:ind w:left="1300" w:hanging="320"/>
        <w:spacing w:after="0" w:line="234" w:lineRule="auto"/>
        <w:tabs>
          <w:tab w:leader="none" w:pos="13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distinct performance obligations by evaluating whether the underlying services are highly interdependent and interrelated.</w:t>
      </w:r>
    </w:p>
    <w:p>
      <w:pPr>
        <w:spacing w:after="0" w:line="1"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costs incurred to date for the performance obligations.</w:t>
      </w:r>
    </w:p>
    <w:p>
      <w:pPr>
        <w:ind w:left="1300" w:hanging="320"/>
        <w:spacing w:after="0" w:line="234"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long-term contract revenue for the performance obligation.</w:t>
      </w:r>
    </w:p>
    <w:p>
      <w:pPr>
        <w:ind w:left="660" w:hanging="328"/>
        <w:spacing w:after="0" w:line="219"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estimates of total cost and profit for the performance obligations by:</w:t>
      </w:r>
    </w:p>
    <w:p>
      <w:pPr>
        <w:ind w:left="1300" w:hanging="320"/>
        <w:spacing w:after="0" w:line="234"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jc w:val="both"/>
        <w:ind w:left="1300" w:hanging="320"/>
        <w:spacing w:after="0" w:line="239" w:lineRule="auto"/>
        <w:tabs>
          <w:tab w:leader="none" w:pos="13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achieve the estimates of total cost and profit by performing corroborating inquiries with the Company’s project managers and engineers, and comparing the estimates to management’s work plans, engineering specifications, and supplier contracts.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fiscal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Apogee Enterprises, Inc. and subsidiaries (the “Company”) as of March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March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March 1, 2025, of the Company and our report dated April 24, 2025, expressed an unqualified opinion on those financial statements.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described in Management's Annual Report on Internal Control over Financial Reporting, management excluded from its assessment the internal control over financial reporting at UW Solutions, which was acquired on November 4, 2024, and whose financial statements constitute approximately 21.5% and 2.4% of assets and net sales revenue, respectively, of the consolidated financial statement amounts as of and for the year ended March 1, 2025. Accordingly, our audit did not include the internal control over financial reporting at UW 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4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173,557</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69,240</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49,502</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358,639</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244,216</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40,221</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129,182</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66,114</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45,692</w:t>
            </w:r>
          </w:p>
        </w:tc>
      </w:tr>
      <w:tr>
        <w:trPr>
          <w:trHeight w:val="223"/>
        </w:trPr>
        <w:tc>
          <w:tcPr>
            <w:tcW w:w="7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884,064</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53,801</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34,755</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59,108</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244,705</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30,552</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43,875</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10)</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Junior preferred stock of $1.00 par value; authorized 200,000 shares; zero issued and outstanding</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760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4"/>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21,417,631 and 22,089,265 shares, respectively</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152,818</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340,375</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471,025</w:t>
            </w:r>
          </w:p>
        </w:tc>
      </w:tr>
      <w:tr>
        <w:trPr>
          <w:trHeight w:val="248"/>
        </w:trPr>
        <w:tc>
          <w:tcPr>
            <w:tcW w:w="76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884,064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1"/>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1, 2025</w:t>
            </w:r>
          </w:p>
        </w:tc>
        <w:tc>
          <w:tcPr>
            <w:tcW w:w="26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2, 2024</w:t>
            </w:r>
          </w:p>
        </w:tc>
        <w:tc>
          <w:tcPr>
            <w:tcW w:w="180" w:type="dxa"/>
            <w:vAlign w:val="bottom"/>
          </w:tcPr>
          <w:p>
            <w:pPr>
              <w:spacing w:after="0"/>
              <w:rPr>
                <w:sz w:val="17"/>
                <w:szCs w:val="17"/>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February 25, 2023</w:t>
            </w: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60" w:type="dxa"/>
            <w:vAlign w:val="bottom"/>
          </w:tcPr>
          <w:p>
            <w:pPr>
              <w:spacing w:after="0"/>
              <w:rPr>
                <w:sz w:val="16"/>
                <w:szCs w:val="16"/>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80" w:type="dxa"/>
            <w:vAlign w:val="bottom"/>
          </w:tcPr>
          <w:p>
            <w:pPr>
              <w:spacing w:after="0"/>
              <w:rPr>
                <w:sz w:val="16"/>
                <w:szCs w:val="16"/>
                <w:color w:val="auto"/>
              </w:rPr>
            </w:pPr>
          </w:p>
        </w:tc>
        <w:tc>
          <w:tcPr>
            <w:tcW w:w="15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23"/>
        </w:trPr>
        <w:tc>
          <w:tcPr>
            <w:tcW w:w="5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1,440,696</w:t>
            </w:r>
          </w:p>
        </w:tc>
      </w:tr>
      <w:tr>
        <w:trPr>
          <w:trHeight w:val="230"/>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1,105,423</w:t>
            </w:r>
          </w:p>
        </w:tc>
      </w:tr>
      <w:tr>
        <w:trPr>
          <w:trHeight w:val="223"/>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335,273</w:t>
            </w:r>
          </w:p>
        </w:tc>
      </w:tr>
      <w:tr>
        <w:trPr>
          <w:trHeight w:val="230"/>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209,485</w:t>
            </w:r>
          </w:p>
        </w:tc>
      </w:tr>
      <w:tr>
        <w:trPr>
          <w:trHeight w:val="223"/>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125,788</w:t>
            </w: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w:t>
            </w: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3"/>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116,621</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r>
      <w:tr>
        <w:trPr>
          <w:trHeight w:val="223"/>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22,007</w:t>
            </w: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8"/>
              </w:rPr>
              <w:t>Year-Ended</w:t>
            </w:r>
          </w:p>
        </w:tc>
        <w:tc>
          <w:tcPr>
            <w:tcW w:w="1880" w:type="dxa"/>
            <w:vAlign w:val="bottom"/>
            <w:tcBorders>
              <w:bottom w:val="single" w:sz="8" w:color="auto"/>
            </w:tcBorders>
          </w:tcPr>
          <w:p>
            <w:pPr>
              <w:spacing w:after="0"/>
              <w:rPr>
                <w:sz w:val="18"/>
                <w:szCs w:val="18"/>
                <w:color w:val="auto"/>
              </w:rPr>
            </w:pPr>
          </w:p>
        </w:tc>
      </w:tr>
      <w:tr>
        <w:trPr>
          <w:trHeight w:val="201"/>
        </w:trPr>
        <w:tc>
          <w:tcPr>
            <w:tcW w:w="57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2, 2024</w:t>
            </w:r>
          </w:p>
        </w:tc>
        <w:tc>
          <w:tcPr>
            <w:tcW w:w="1880" w:type="dxa"/>
            <w:vAlign w:val="bottom"/>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rPr>
              <w:t>February 25, 2023</w:t>
            </w:r>
          </w:p>
        </w:tc>
      </w:tr>
      <w:tr>
        <w:trPr>
          <w:trHeight w:val="190"/>
        </w:trPr>
        <w:tc>
          <w:tcPr>
            <w:tcW w:w="5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80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88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(52 weeks)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color w:val="auto"/>
        </w:rPr>
        <w:t>Net earnings</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520" w:right="1000" w:hanging="161"/>
        <w:spacing w:after="0" w:line="234" w:lineRule="auto"/>
        <w:rPr>
          <w:sz w:val="20"/>
          <w:szCs w:val="20"/>
          <w:color w:val="auto"/>
        </w:rPr>
      </w:pPr>
      <w:r>
        <w:rPr>
          <w:rFonts w:ascii="Times New Roman" w:cs="Times New Roman" w:eastAsia="Times New Roman" w:hAnsi="Times New Roman"/>
          <w:sz w:val="18"/>
          <w:szCs w:val="18"/>
          <w:color w:val="auto"/>
        </w:rPr>
        <w:t>Unrealized gain (loss) on marketable securities, net of $49, $59 and $(131) of tax expense (benefit), respectively</w:t>
      </w:r>
    </w:p>
    <w:p>
      <w:pPr>
        <w:spacing w:after="0" w:line="10" w:lineRule="exact"/>
        <w:rPr>
          <w:sz w:val="20"/>
          <w:szCs w:val="20"/>
          <w:color w:val="auto"/>
        </w:rPr>
      </w:pPr>
    </w:p>
    <w:p>
      <w:pPr>
        <w:ind w:left="360" w:right="1060"/>
        <w:spacing w:after="0" w:line="237" w:lineRule="auto"/>
        <w:rPr>
          <w:sz w:val="20"/>
          <w:szCs w:val="20"/>
          <w:color w:val="auto"/>
        </w:rPr>
      </w:pPr>
      <w:r>
        <w:rPr>
          <w:rFonts w:ascii="Times New Roman" w:cs="Times New Roman" w:eastAsia="Times New Roman" w:hAnsi="Times New Roman"/>
          <w:sz w:val="18"/>
          <w:szCs w:val="18"/>
          <w:color w:val="auto"/>
        </w:rPr>
        <w:t>Unrealized loss on derivative instruments, net of $(135), $(22) and $(672) of tax benefit, respectively</w:t>
      </w:r>
    </w:p>
    <w:p>
      <w:pPr>
        <w:spacing w:after="0" w:line="10" w:lineRule="exact"/>
        <w:rPr>
          <w:sz w:val="20"/>
          <w:szCs w:val="20"/>
          <w:color w:val="auto"/>
        </w:rPr>
      </w:pPr>
    </w:p>
    <w:p>
      <w:pPr>
        <w:ind w:left="360" w:right="680"/>
        <w:spacing w:after="0" w:line="237" w:lineRule="auto"/>
        <w:rPr>
          <w:sz w:val="20"/>
          <w:szCs w:val="20"/>
          <w:color w:val="auto"/>
        </w:rPr>
      </w:pPr>
      <w:r>
        <w:rPr>
          <w:rFonts w:ascii="Times New Roman" w:cs="Times New Roman" w:eastAsia="Times New Roman" w:hAnsi="Times New Roman"/>
          <w:sz w:val="18"/>
          <w:szCs w:val="18"/>
          <w:color w:val="auto"/>
        </w:rPr>
        <w:t>Unrealized gain on pension obligation, net of $23, $261 and $222 of tax expense,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85,052</w:t>
            </w: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120" w:type="dxa"/>
            <w:vAlign w:val="bottom"/>
          </w:tcPr>
          <w:p>
            <w:pPr>
              <w:spacing w:after="0"/>
              <w:rPr>
                <w:sz w:val="21"/>
                <w:szCs w:val="21"/>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104,107</w:t>
            </w:r>
          </w:p>
        </w:tc>
      </w:tr>
      <w:tr>
        <w:trPr>
          <w:trHeight w:val="643"/>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184</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418"/>
        </w:trPr>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414"/>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2"/>
        </w:trPr>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(5,582)</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r>
    </w:tbl>
    <w:p>
      <w:pPr>
        <w:spacing w:after="0" w:line="1" w:lineRule="exact"/>
        <w:rPr>
          <w:sz w:val="20"/>
          <w:szCs w:val="20"/>
          <w:color w:val="auto"/>
        </w:rPr>
      </w:pPr>
    </w:p>
    <w:p>
      <w:pPr>
        <w:sectPr>
          <w:pgSz w:w="11900" w:h="16838" w:orient="portrait"/>
          <w:cols w:equalWidth="0" w:num="2">
            <w:col w:w="6220" w:space="720"/>
            <w:col w:w="43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(5,316)</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79,291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98,791</w:t>
            </w:r>
          </w:p>
        </w:tc>
      </w:tr>
      <w:tr>
        <w:trPr>
          <w:trHeight w:val="20"/>
        </w:trPr>
        <w:tc>
          <w:tcPr>
            <w:tcW w:w="5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24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2, 2024</w:t>
            </w:r>
          </w:p>
        </w:tc>
        <w:tc>
          <w:tcPr>
            <w:tcW w:w="180" w:type="dxa"/>
            <w:vAlign w:val="bottom"/>
          </w:tcPr>
          <w:p>
            <w:pPr>
              <w:spacing w:after="0"/>
              <w:rPr>
                <w:sz w:val="15"/>
                <w:szCs w:val="15"/>
                <w:color w:val="auto"/>
              </w:rPr>
            </w:pPr>
          </w:p>
        </w:tc>
        <w:tc>
          <w:tcPr>
            <w:tcW w:w="14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February 25, 2023</w:t>
            </w:r>
          </w:p>
        </w:tc>
        <w:tc>
          <w:tcPr>
            <w:tcW w:w="0" w:type="dxa"/>
            <w:vAlign w:val="bottom"/>
          </w:tcPr>
          <w:p>
            <w:pPr>
              <w:spacing w:after="0"/>
              <w:rPr>
                <w:sz w:val="1"/>
                <w:szCs w:val="1"/>
                <w:color w:val="auto"/>
              </w:rPr>
            </w:pPr>
          </w:p>
        </w:tc>
      </w:tr>
      <w:tr>
        <w:trPr>
          <w:trHeight w:val="191"/>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80" w:type="dxa"/>
            <w:vAlign w:val="bottom"/>
          </w:tcPr>
          <w:p>
            <w:pPr>
              <w:spacing w:after="0"/>
              <w:rPr>
                <w:sz w:val="16"/>
                <w:szCs w:val="16"/>
                <w:color w:val="auto"/>
              </w:rPr>
            </w:pPr>
          </w:p>
        </w:tc>
        <w:tc>
          <w:tcPr>
            <w:tcW w:w="14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85,052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99,613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104,107</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42,403</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 impairment on property, plant and equipment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Loss (gain) on disposal of property, plant and equipment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on intangible assets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Proceeds from New Markets Tax Credit transaction, net of deferred costs</w:t>
            </w: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Settlement of New Markets Tax Credit transaction</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(19,523)</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11,878</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Receivables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(62,304)</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20,952</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11,813</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125,162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204,154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102,696</w:t>
            </w:r>
          </w:p>
        </w:tc>
        <w:tc>
          <w:tcPr>
            <w:tcW w:w="0" w:type="dxa"/>
            <w:vAlign w:val="bottom"/>
          </w:tcPr>
          <w:p>
            <w:pPr>
              <w:spacing w:after="0"/>
              <w:rPr>
                <w:sz w:val="1"/>
                <w:szCs w:val="1"/>
                <w:color w:val="auto"/>
              </w:rPr>
            </w:pPr>
          </w:p>
        </w:tc>
      </w:tr>
      <w:tr>
        <w:trPr>
          <w:trHeight w:val="19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(45,177)</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Sales/maturities of marketable securities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9,712</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100" w:type="dxa"/>
            <w:vAlign w:val="bottom"/>
            <w:tcBorders>
              <w:top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(265,893)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(27,710)</w:t>
            </w:r>
          </w:p>
        </w:tc>
        <w:tc>
          <w:tcPr>
            <w:tcW w:w="0" w:type="dxa"/>
            <w:vAlign w:val="bottom"/>
          </w:tcPr>
          <w:p>
            <w:pPr>
              <w:spacing w:after="0"/>
              <w:rPr>
                <w:sz w:val="1"/>
                <w:szCs w:val="1"/>
                <w:color w:val="auto"/>
              </w:rPr>
            </w:pPr>
          </w:p>
        </w:tc>
      </w:tr>
      <w:tr>
        <w:trPr>
          <w:trHeight w:val="19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485,879</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 on revolving credit facilities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(327,865)</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term loans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 of debt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(151,000)</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(74,312)</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(19,670)</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146,049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(91,023)</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(16,110)</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37,583</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Total Shareholders'</w:t>
            </w:r>
          </w:p>
        </w:tc>
        <w:tc>
          <w:tcPr>
            <w:tcW w:w="0" w:type="dxa"/>
            <w:vAlign w:val="bottom"/>
          </w:tcPr>
          <w:p>
            <w:pPr>
              <w:spacing w:after="0"/>
              <w:rPr>
                <w:sz w:val="1"/>
                <w:szCs w:val="1"/>
                <w:color w:val="auto"/>
              </w:rPr>
            </w:pPr>
          </w:p>
        </w:tc>
      </w:tr>
      <w:tr>
        <w:trPr>
          <w:trHeight w:val="135"/>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240" w:type="dxa"/>
            <w:vAlign w:val="bottom"/>
            <w:gridSpan w:val="2"/>
            <w:vMerge w:val="continue"/>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26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26, 2022</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23,701</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7,901</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149,713</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254,825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(26,240)</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386,199</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104,107</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(74,312)</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($0.9000 per share)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(19,670)</w:t>
            </w:r>
          </w:p>
        </w:tc>
        <w:tc>
          <w:tcPr>
            <w:tcW w:w="0" w:type="dxa"/>
            <w:vAlign w:val="bottom"/>
          </w:tcPr>
          <w:p>
            <w:pPr>
              <w:spacing w:after="0"/>
              <w:rPr>
                <w:sz w:val="1"/>
                <w:szCs w:val="1"/>
                <w:color w:val="auto"/>
              </w:rPr>
            </w:pPr>
          </w:p>
        </w:tc>
      </w:tr>
      <w:tr>
        <w:trPr>
          <w:trHeight w:val="17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25, 2023</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22,224</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7,408</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146,816</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273,740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(31,556)</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396,408</w:t>
            </w:r>
          </w:p>
        </w:tc>
        <w:tc>
          <w:tcPr>
            <w:tcW w:w="0" w:type="dxa"/>
            <w:vAlign w:val="bottom"/>
          </w:tcPr>
          <w:p>
            <w:pPr>
              <w:spacing w:after="0"/>
              <w:rPr>
                <w:sz w:val="1"/>
                <w:szCs w:val="1"/>
                <w:color w:val="auto"/>
              </w:rPr>
            </w:pPr>
          </w:p>
        </w:tc>
      </w:tr>
      <w:tr>
        <w:trPr>
          <w:trHeight w:val="19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99,613</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(11,821)</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0" w:type="dxa"/>
            <w:vAlign w:val="bottom"/>
          </w:tcPr>
          <w:p>
            <w:pPr>
              <w:spacing w:after="0"/>
              <w:rPr>
                <w:sz w:val="1"/>
                <w:szCs w:val="1"/>
                <w:color w:val="auto"/>
              </w:rPr>
            </w:pPr>
          </w:p>
        </w:tc>
      </w:tr>
      <w:tr>
        <w:trPr>
          <w:trHeight w:val="18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($0.9700 per share)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(21,133)</w:t>
            </w:r>
          </w:p>
        </w:tc>
        <w:tc>
          <w:tcPr>
            <w:tcW w:w="0" w:type="dxa"/>
            <w:vAlign w:val="bottom"/>
          </w:tcPr>
          <w:p>
            <w:pPr>
              <w:spacing w:after="0"/>
              <w:rPr>
                <w:sz w:val="1"/>
                <w:szCs w:val="1"/>
                <w:color w:val="auto"/>
              </w:rPr>
            </w:pPr>
          </w:p>
        </w:tc>
      </w:tr>
      <w:tr>
        <w:trPr>
          <w:trHeight w:val="18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22,089</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7,363</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152,818</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340,375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(29,531)</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471,025</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85,052</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10,725</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(45,364)</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w:t>
            </w:r>
          </w:p>
        </w:tc>
        <w:tc>
          <w:tcPr>
            <w:tcW w:w="0" w:type="dxa"/>
            <w:vAlign w:val="bottom"/>
          </w:tcPr>
          <w:p>
            <w:pPr>
              <w:spacing w:after="0"/>
              <w:rPr>
                <w:sz w:val="1"/>
                <w:szCs w:val="1"/>
                <w:color w:val="auto"/>
              </w:rPr>
            </w:pPr>
          </w:p>
        </w:tc>
      </w:tr>
      <w:tr>
        <w:trPr>
          <w:trHeight w:val="18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($1.0100 per share)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(21,737)</w:t>
            </w:r>
          </w:p>
        </w:tc>
        <w:tc>
          <w:tcPr>
            <w:tcW w:w="0" w:type="dxa"/>
            <w:vAlign w:val="bottom"/>
          </w:tcPr>
          <w:p>
            <w:pPr>
              <w:spacing w:after="0"/>
              <w:rPr>
                <w:sz w:val="1"/>
                <w:szCs w:val="1"/>
                <w:color w:val="auto"/>
              </w:rPr>
            </w:pPr>
          </w:p>
        </w:tc>
      </w:tr>
      <w:tr>
        <w:trPr>
          <w:trHeight w:val="214"/>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1,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156,075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359,976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487,898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Related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balances of Apogee Enterprises, Inc. and its subsidiaries (Apogee, we, us, our or the Company) after elimination of intercompany balances and transactions. We consolidate variable interest entities related to our New Markets Tax Credit transactions as it has been determined that the Company is the primary beneficiary of those entities' operations (refer to Note 10 for more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fiscal year ends on the Saturday closest to the last day of February. Fiscal 2025 and fiscal 2023 each consisted of 52 weeks, while fiscal 2024 consisted of 53 weeks.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Highly liquid investments with an original maturity of three months or less are included in cash equivalents and are stated at cost, which approximates fair value.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held that is specifically dedicated to fund each capital project related to our New Markets Tax Credit transactions.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the extent the amortized cost basis of the available-for-sale securities exceeds the fair value, we assess the debt securities for credit loss. When assessing the risk of credit loss, we consider factors such as the severity and the reason of the decline in value, including any changes to the rating of the security by a rating agency or other adverse conditions specifically related to the security, and management's intended holding period and time horizon for selling. During fiscal 2025, 2024, and 2023, the Company did not recognize any credit losses related to its available-for-sale securities. Further, as of March 1, 2025 and March 2, 2024, the Company did not record an allowance for credit losses related to its available-for-sale securities. Marketable securities are included in other current and non-current assets on the consolidated balance sheets and gross realized gains and losses are included in other (income) expense, net in our consolidated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Inventories, which consist primarily of purchased glass and aluminum, are valued at lower of cost or net realizable value using the first-in, first-out (FIFO) method.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plant and equipment (PP&amp;E) is recorded at cost. Significant improvements and renewals that extend the useful life of the asset are capitalized. Repairs and maintenance items are generally charged to expense when incurred. When an asset is retired or otherwise disposed of, the cost and related accumulated depreciation are removed from the accounts and any related gains or losses are included in selling, general and administrative expenses. Long-lived assets to be held and used, such as PP&amp;E, are reviewed for impairment whenever events or changes in circumstances indicate that the carrying amount may not be recoverable.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computed on a straight-line basis, based on estimated useful lives of 10 to 45 years for buildings and improvements; 3 to 15 years for machinery and equipment; and 3 to 10 years for computer and office equipment and furniture.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Long-lived assets or asset groups, including definite-lived intangible assets subject to amortization and property and equipment, are reviewed for impairment whenever events or changes in circumstances such as asset utilization, physical change, legal factors or other matters indicate that the carrying value of those assets may not be recoverable. When this review indicates the carrying value of an asset or asset group exceeds the sum of the undiscounted cash flows expected to result from the use and eventual disposition of the asset or asset group, an asset impairment expense is recognized in earnings in the period such a determination is made. The amount of the impairment expense recorded is the amount by which the carrying value of the impaired asset or asset group exceeds its fair value based on discounted cash flows.</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restructuring plans announced during the fourth quarter of fiscal 2024, asset impairments on property, plant and equipment and leases in the amount of $6.2 million were recorded for the year ended March 2,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over the net tangible and identified intangible assets of acquired businesses. We evaluate goodwill for impairment annually on the first day in our fiscal fourth quarter, or more frequently if events or changes in circumstances indicate the carrying value of the goodwill may not be recoverable.</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third quarter of fiscal 2025, we acquired UW Interco, LLC (UW Solutions). As a result, we reassessed our reporting units. The reporting units for our fiscal 2025 annual impairment test align with our reporting segments for Architectural Metals, Architectural Services, and Architectural Glass. The Performance Surfaces reporting segment consists of the Tru Vue and UW Solutions reporting units. No qualitative indicators of impairment were identified during the fourth quarter of fiscal 2025.</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Intangible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If the carrying amount of an indefinite-lived intangible asset exceeds its fair value, an impairment expense is recognized in an amount equal to that excess. If an impairment expense is recognized, the adjusted carrying amount becomes the asset's new accounting basis.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Fair value of indefinite-lived intangible assets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Based on our annual impairment analysis and changes to our branding strategies in the fourth quarter of fiscal 2025, the carrying amount for certain of our trade names exceeded the fair value. As a result, we recorded a non-cash impairment charge of $7.6 million in the fourth quarter of fiscal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intangible assets are amortized based on estimated useful lives ranging from 18 months to 30 years and are reviewed for impairment whenever events or changes in circumstances indicate that the carrying amount may not be recoverable. We use undiscounted cash flows to determine whether impairment exists and measure any impairment loss using discounted cash flows to determine the fair value of long-lived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useful lives of all intangible assets are reviewed annually, and we have determined that the remaining lives were appropriate. Refer to Note 6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commercially negotiated leases where we recognize a right-of-use asset and lease liability on our consolidated balance sheet at lease commencement for leases with terms greater than twelve months. The initial lease liability is recognized at the present value of remaining lease payments over the lease term. Leases with an initial term of twelve months or less are not recorded on our consolidated balance sheet. We recognize lease expense for operating leases on a straight-line basis over the lease term. We combine lease and non-lease components, such as common area maintenance costs, in calculating the related asset and lease liabilities for all underlying asset groups. Refer to Note 8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other current liabilities or non-current self-insurance reserves based on expectations of when the estimated loss will be paid.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maintain a self-insurance reserve for health insurance programs offered to eligible employees, included within other current liabilities on the consolidated balance sheets. The reserve includes an estimate for losses on reported claims as well as for amounts incurred but not yet reported, based on historical trends.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claims associated with our products and services, principally as a result of disputes with our customers involving the performance or aesthetics of our architectural products and services. We reserve estimated exposures on known claims, as well as on a portion of anticipated claims for product warranty and rework costs, based on historical product liability claims as a ratio of sales. We also reserve for estimated backcharge exposures or other claims as they are known and reasonably estimable. Reserves are included in other current and non-current liabilities based on the estimated timing of dispute resolution.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in the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 activities</w:t>
      </w:r>
    </w:p>
    <w:p>
      <w:pPr>
        <w:spacing w:after="0" w:line="2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are exposed to, among other risks, the impact of changes in aluminum prices, foreign currency exchange rates, and interest rates in the normal course of business. In order to manage the exposure and volatility arising from these risks, we may utilize derivative financial instruments to offset a portion of these risks. We use derivative financial instruments to hedge identified business risks, and do not hold or issue derivative financial instruments for trading purposes and are not a party to leveraged derivatives.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derivative instruments within the scope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are recorded as either assets or liabilities at fair value on the consolidated balance sheets. All hedging instruments that qualify for hedge accounting are designated and effective as hedges with changes recognized in other comprehensive earnings (loss). Instruments that do not qualify for hedge accounting are marked to market with changes recognized directly in net earnings. Cash flows from derivative instruments are classified in the statements of cash flows in the same category as the cash flows from the items subject to designated hedge or undesignated (economic) hedge relationships. Refer to Note 4 for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accounting policy for revenue recognition follows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generate revenue from the design, engineering and fabrication of architectural glass, curtainwall, window, storefront and entrance systems, and from installing those products on non-residential buildings. We also coat and fabricate value-added glass, aluminum, acrylic and medium-density fiberboard products. Due to the diverse nature of our operations and various types of arrangements with customers, we have businesses that recognize revenue at shipment, businesses that recognize revenue following an over-time input method and businesses that recognize revenue following an over-time output method.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42% of our fiscal 2025 revenue was recognized at the time products were shipped from our manufacturing facilities, which is when control is transferred to our customer. These businesses do not generate contract-related assets or liabilities. Variable consideration associated with these contracts and orders, generally related to early pay discounts or volume rebates, is not considered significant.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36% of our fiscal 2025 revenue was from fixed-price contracts, following an over-time input method.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these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most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cumulative catch-up adjustments on our longer-term contracts for changes in estimates had the following effect on the respective periods shown: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89"/>
        </w:trPr>
        <w:tc>
          <w:tcPr>
            <w:tcW w:w="6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2, 2024</w:t>
            </w:r>
          </w:p>
        </w:tc>
        <w:tc>
          <w:tcPr>
            <w:tcW w:w="160" w:type="dxa"/>
            <w:vAlign w:val="bottom"/>
          </w:tcPr>
          <w:p>
            <w:pPr>
              <w:spacing w:after="0"/>
              <w:rPr>
                <w:sz w:val="24"/>
                <w:szCs w:val="24"/>
                <w:color w:val="auto"/>
              </w:rPr>
            </w:pPr>
          </w:p>
        </w:tc>
        <w:tc>
          <w:tcPr>
            <w:tcW w:w="14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February 25, 2023</w:t>
            </w:r>
          </w:p>
        </w:tc>
      </w:tr>
      <w:tr>
        <w:trPr>
          <w:trHeight w:val="27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earnings per share data)</w:t>
            </w:r>
          </w:p>
        </w:tc>
        <w:tc>
          <w:tcPr>
            <w:tcW w:w="240" w:type="dxa"/>
            <w:vAlign w:val="bottom"/>
          </w:tcPr>
          <w:p>
            <w:pPr>
              <w:spacing w:after="0"/>
              <w:rPr>
                <w:sz w:val="23"/>
                <w:szCs w:val="2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60" w:type="dxa"/>
            <w:vAlign w:val="bottom"/>
          </w:tcPr>
          <w:p>
            <w:pPr>
              <w:spacing w:after="0"/>
              <w:rPr>
                <w:sz w:val="23"/>
                <w:szCs w:val="23"/>
                <w:color w:val="auto"/>
              </w:rPr>
            </w:pPr>
          </w:p>
        </w:tc>
        <w:tc>
          <w:tcPr>
            <w:tcW w:w="14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23"/>
        </w:trPr>
        <w:tc>
          <w:tcPr>
            <w:tcW w:w="6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4"/>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22% of our fiscal 2025 revenue was recognized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have made the following policy elections associated with revenue recognition:</w:t>
      </w:r>
    </w:p>
    <w:p>
      <w:pPr>
        <w:spacing w:after="0" w:line="27" w:lineRule="exact"/>
        <w:rPr>
          <w:sz w:val="20"/>
          <w:szCs w:val="20"/>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shipping and handling activities that occur after control of the related goods transfers to the customer as fulfillment activities, instead of assessing such activities as performance obligations.</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from the transaction price all sales taxes related to revenue-producing transactions that are collected from the customer for a government authority. We are considered a pass-through conduit for collecting and remitting sales taxes.</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adjust contract price for a significant financing component, as we expect the period between when our goods and services are transferred to the customer and when the customer pays for those goods and services to be less than a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Amounts billed to a customer in a sales transaction related to shipping and handling are reported as revenue. Costs we incur for shipping and handling are reported as cost of sales.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Restructuring charges are recorded as a result of fundamental changes in the manner in which certain business functions are conducted, including initiatives to drive earnings and cash flow growth and to realign and simplify our business structure. These charges primarily consist of employee severance benefits, asset impairments on property, plant and equipment and operating lease assets and termination penalties for facility closures and consolidations. We record restructuring accruals when it is probable that a liability has been incurred and the amount of the liability is reasonably estimable. To the extent our assumptions and estimates differ from our actual costs, subsequent adjustments to restructuring accruals have been, and will be, required. Restructuring accruals for severance-related costs are included in accrued compensation and related benefits and accruals for remaining obligations and termination penalties are included in other current liabilities in our consolidated balance sheets. Refer to Note 18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include the development of new products, the modification of existing product designs, and research related to process improvements. Our research and development expenses were $29.0 million, $30.3 million and $25.5 million for fiscal 2025, 2024 and 2023, respectively. These costs are expensed as incurred.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Advertising costs are expensed as incurred within selling, general and administrative expenses, and were $1.0 million in fiscal 2025, $1.3 million in fiscal 2024, and $1.2 million in fiscal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upon the future tax consequences of temporary differences between financial statement carrying amounts of assets and liabilities and their respective tax bases. Refer to Note 14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evaluated subsequent events for potential recognition and disclosure through the date of this filing and determined that an arbitration award (refer to Note 10) is a subsequent event that required recognition and disclosure in our fiscal 2025 consolidated financial statements and that the announcement of the extension of our restructuring program, Project Fortify Phase 2, (refer to Note 18) required disclosure in the consolidated financial statements. There were no other events that required recognition or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fourth quarter of fiscal 2025, we adopted the guidance in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expands the required disclosure for reportable segments. This guidance requires entities to disclose significant segment expenses and other segment items on an annual and interim basis and to provide in interim periods all segment disclosures which are currently required annually. This ASU additionally requires entities to disclose the title and position of the individual or the name of the group or committee identified as its chief operating decision-maker.</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At the beginning of fiscal 2024, we adopted the guidance in ASU 2022-04, </w:t>
      </w:r>
      <w:r>
        <w:rPr>
          <w:rFonts w:ascii="Times New Roman" w:cs="Times New Roman" w:eastAsia="Times New Roman" w:hAnsi="Times New Roman"/>
          <w:sz w:val="18"/>
          <w:szCs w:val="18"/>
          <w:i w:val="1"/>
          <w:iCs w:val="1"/>
          <w:color w:val="auto"/>
        </w:rPr>
        <w:t>Liabilities – Supplier Finance Programs, Disclosure of Supplier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Program Obligations. </w:t>
      </w:r>
      <w:r>
        <w:rPr>
          <w:rFonts w:ascii="Times New Roman" w:cs="Times New Roman" w:eastAsia="Times New Roman" w:hAnsi="Times New Roman"/>
          <w:sz w:val="18"/>
          <w:szCs w:val="18"/>
          <w:color w:val="auto"/>
        </w:rPr>
        <w:t>The guidance requires that entities that use supplier finance programs disclose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nature and potential magnitude of the programs, activity during the period, and changes from period to period. The adoption of this ASU did not have a significant impact on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This ASU, which is required to be applied prospectively, is effective for fiscal years beginning after December 15, 2024, although early adoption and retrospective application is permitted. While the adoption of this ASU will not have an impact on our financial position and/or results of operations, we are currently evaluating the impact on our income tax disclosures, including the processes and controls around the collection of this information.</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 impact on our financial position and/or results of operations, we are currently evaluating the impact this ASU may have on our consolidated financial statement disclosures, including the processes and controls around the collection of this information.</w:t>
      </w:r>
    </w:p>
    <w:p>
      <w:pPr>
        <w:spacing w:after="0" w:line="210"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16 for disclosure of revenue by segment):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571,140</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596,270</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649,792</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over time (input method)</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514,826</w:t>
            </w: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 (output method)</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276,078</w:t>
            </w: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1,440,696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40" w:type="dxa"/>
            <w:vAlign w:val="bottom"/>
          </w:tcPr>
          <w:p>
            <w:pPr>
              <w:spacing w:after="0"/>
              <w:rPr>
                <w:sz w:val="18"/>
                <w:szCs w:val="18"/>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115,061</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61,879</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176,940</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charges against costs and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 from acquisitions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1"/>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unearned revenue on contracts.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when payment is due is not significant. In certain of our businesses that recognize revenue over time, progress billings follow an agreed-upon schedule of values.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40" w:type="dxa"/>
            <w:vAlign w:val="bottom"/>
          </w:tcPr>
          <w:p>
            <w:pPr>
              <w:spacing w:after="0"/>
              <w:rPr>
                <w:sz w:val="18"/>
                <w:szCs w:val="18"/>
                <w:color w:val="auto"/>
              </w:rPr>
            </w:pPr>
          </w:p>
        </w:tc>
        <w:tc>
          <w:tcPr>
            <w:tcW w:w="15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49,502</w:t>
            </w: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34,755</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contract assets and contract liabilities was due to timing of project activity from businesses that operate under long-term contracts.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25,342</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w:t>
            </w: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 associated with unsatisfied performance obligations at March 1, 2025 are expected to be satisfied, and the corresponding revenue to be recognized, over the following estimated time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9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555,900</w:t>
            </w:r>
          </w:p>
        </w:tc>
      </w:tr>
      <w:tr>
        <w:trPr>
          <w:trHeight w:val="230"/>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More than one but less than two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238,754</w:t>
            </w:r>
          </w:p>
        </w:tc>
      </w:tr>
      <w:tr>
        <w:trPr>
          <w:trHeight w:val="229"/>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 two years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81,331</w:t>
            </w:r>
          </w:p>
        </w:tc>
      </w:tr>
      <w:tr>
        <w:trPr>
          <w:trHeight w:val="22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875,985</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40" w:type="dxa"/>
            <w:vAlign w:val="bottom"/>
          </w:tcPr>
          <w:p>
            <w:pPr>
              <w:spacing w:after="0"/>
              <w:rPr>
                <w:sz w:val="18"/>
                <w:szCs w:val="18"/>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0" w:type="dxa"/>
            <w:vAlign w:val="bottom"/>
          </w:tcPr>
          <w:p>
            <w:pPr>
              <w:spacing w:after="0"/>
              <w:rPr>
                <w:sz w:val="1"/>
                <w:szCs w:val="1"/>
                <w:color w:val="auto"/>
              </w:rPr>
            </w:pPr>
          </w:p>
        </w:tc>
      </w:tr>
      <w:tr>
        <w:trPr>
          <w:trHeight w:val="226"/>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31,363</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25,586</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96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5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0" w:type="dxa"/>
            <w:vAlign w:val="bottom"/>
          </w:tcPr>
          <w:p>
            <w:pPr>
              <w:spacing w:after="0"/>
              <w:rPr>
                <w:sz w:val="1"/>
                <w:szCs w:val="1"/>
                <w:color w:val="auto"/>
              </w:rPr>
            </w:pPr>
          </w:p>
        </w:tc>
      </w:tr>
      <w:tr>
        <w:trPr>
          <w:trHeight w:val="226"/>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Arbitration award payable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and backcharges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benefit from New Markets Tax Credit transactions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0" w:type="dxa"/>
            <w:vAlign w:val="bottom"/>
          </w:tcPr>
          <w:p>
            <w:pPr>
              <w:spacing w:after="0"/>
              <w:rPr>
                <w:sz w:val="1"/>
                <w:szCs w:val="1"/>
                <w:color w:val="auto"/>
              </w:rPr>
            </w:pPr>
          </w:p>
        </w:tc>
      </w:tr>
      <w:tr>
        <w:trPr>
          <w:trHeight w:val="226"/>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warranty revenue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from New Markets Tax Credit transactions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municipal and corporate bonds: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Gross Unrealized Gains</w:t>
            </w:r>
          </w:p>
        </w:tc>
        <w:tc>
          <w:tcPr>
            <w:tcW w:w="1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Gross Unrealized Losses</w:t>
            </w:r>
          </w:p>
        </w:tc>
        <w:tc>
          <w:tcPr>
            <w:tcW w:w="160" w:type="dxa"/>
            <w:vAlign w:val="bottom"/>
          </w:tcPr>
          <w:p>
            <w:pPr>
              <w:spacing w:after="0"/>
              <w:rPr>
                <w:sz w:val="18"/>
                <w:szCs w:val="18"/>
                <w:color w:val="auto"/>
              </w:rPr>
            </w:pP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Estimated Fair Value</w:t>
            </w:r>
          </w:p>
        </w:tc>
      </w:tr>
      <w:tr>
        <w:trPr>
          <w:trHeight w:val="227"/>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2024</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amortized cost and estimated fair values of our municipal and corporate bonds at March 1, 2025,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use interest rate swaps, currency put options, forward purchase contracts, or other instruments to manage risks generally associated with foreign exchange rate, interest rate and commodity price fluctuations. The information that follows explains the various types of derivatives and financial instruments used, how such instruments are accounted for, and how such instruments impact our financial position and performance.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fiscal 2020, we entered into an interest rate swap with a notional value of $30 million with an expiration date of February 5, 2026, to hedge a portion of our exposure to variability in cash flows from interest payments on our floating-rate revolving credit facility.</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fiscal 2025, we entered into an interest rate swap with a notional value of $75 million with an expiration date of January 5, 2027, to hedge a portion of our exposure to variability in cash flows from interest payments on our floating-rate revolving credit facility.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enter into forward purchase contracts to manage the risk associated with fluctuations in foreign currency rates (primarily related to the Canadian dollar and Euro) and aluminum prices, generally with an original maturity date of less than one year. As of March 1, 2025, we held foreign exchange option contracts with U.S. dollar notional values of $1.5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 to market adjustments on these derivative instruments are recorded within our consolidated balance sheets within other current assets and other current liabilities. Gains or losses associated with these instruments are recorded as a component of accumulated other comprehensive loss until which time the hedged transaction is settled and gains or losses are reclassified to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were: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80" w:type="dxa"/>
            <w:vAlign w:val="bottom"/>
          </w:tcPr>
          <w:p>
            <w:pPr>
              <w:spacing w:after="0"/>
              <w:rPr>
                <w:sz w:val="16"/>
                <w:szCs w:val="16"/>
                <w:color w:val="auto"/>
              </w:rPr>
            </w:pPr>
          </w:p>
        </w:tc>
        <w:tc>
          <w:tcPr>
            <w:tcW w:w="1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 Observable</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0" w:type="dxa"/>
            <w:vAlign w:val="bottom"/>
          </w:tcPr>
          <w:p>
            <w:pPr>
              <w:spacing w:after="0"/>
              <w:rPr>
                <w:sz w:val="1"/>
                <w:szCs w:val="1"/>
                <w:color w:val="auto"/>
              </w:rPr>
            </w:pPr>
          </w:p>
        </w:tc>
      </w:tr>
      <w:tr>
        <w:trPr>
          <w:trHeight w:val="21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option contract</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26,529</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10,905</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option contracts</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Aluminum hedging contracts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These assets are included within cash and cash equivalents on our consolidated balance sheets.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Municipal bonds were measured at fair value based on market prices from recent trades of similar securities and are classified within our consolidated balance sheets as other current or other non-current assets based on maturity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interest rate swaps are measured at fair value using other observable market inputs, based off benchmark interest rates. Forward foreign exchange and forward purchase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observable market parameters. Industry standard data providers are our primary source for forward and spot rate information for interest and currency rates and aluminum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 Fair value measurements for long-lived assets or asset groups, including intangible assets subject to amortization, property and equipment and right-of-use lease assets, are valued using undiscounted cash flows to determine whether impairment exists and measure any impairment loss using discounted cash flows to determine the fair value of long-lived assets.</w:t>
      </w: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40" w:type="dxa"/>
            <w:vAlign w:val="bottom"/>
          </w:tcPr>
          <w:p>
            <w:pPr>
              <w:spacing w:after="0"/>
              <w:rPr>
                <w:sz w:val="18"/>
                <w:szCs w:val="18"/>
                <w:color w:val="auto"/>
              </w:rPr>
            </w:pPr>
          </w:p>
        </w:tc>
        <w:tc>
          <w:tcPr>
            <w:tcW w:w="15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189,675</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391,236</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 and furniture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62,586</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42,099</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689,233</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445,017</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244,216</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$35.7 million, $37.6 million, and $38.2 million in fiscal 2025, 2024, and 2023, respectively.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Refer to Note 1 for a description of the Accounting Policy related to Goodwill. Goodwill represents the excess of the cost over the net tangible and identified intangible assets of acquired businesses. We evaluate goodwill for impairment annually as of the first day of our fiscal fourth quarter, or more frequently if events or changes in circumstances indicate the carrying value of goodwill may not be recoverable, as described in Note 1. Based on the impairment analysis performed in the fourth quarter, estimated fair value was in excess of carrying value at all of our reporting units.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attributable to each reportable segment was: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25,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129,026</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 2024</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129,182</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107,826</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235,775</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56</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as described in Note 1. Based on our annual analysis and changes to our strategic branding in the 4th quarter of fiscal 2025, we recorded impairment expense of $7.6 million related to trademarks within Selling, general and administrative expenses (SG&amp;A) in the Architectural Metals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Long-lived assets or asset groups, including intangible assets subject to amortization and property and equipment, are reviewed for impairment whenever events or changes in circumstances indicate that the carrying value of those assets may not be recoverable, as described in Note 1.</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2025, $79.7 million of intangible assets were acquired as part of the UW Interco, LLC (UW Solutions) acquisition. The gross carrying amount of our intangible assets and related accumulated amortization was: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98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0" w:type="dxa"/>
            <w:vAlign w:val="bottom"/>
          </w:tcPr>
          <w:p>
            <w:pPr>
              <w:spacing w:after="0"/>
              <w:rPr>
                <w:sz w:val="1"/>
                <w:szCs w:val="1"/>
                <w:color w:val="auto"/>
              </w:rPr>
            </w:pPr>
          </w:p>
        </w:tc>
      </w:tr>
      <w:tr>
        <w:trPr>
          <w:trHeight w:val="229"/>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33,867</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109,421</w:t>
            </w: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(7,634)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23"/>
        </w:trPr>
        <w:tc>
          <w:tcPr>
            <w:tcW w:w="4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8"/>
              </w:rPr>
              <w:t>(7,634)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128,417</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March 2, 2024</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0" w:type="dxa"/>
            <w:vAlign w:val="bottom"/>
          </w:tcPr>
          <w:p>
            <w:pPr>
              <w:spacing w:after="0"/>
              <w:rPr>
                <w:sz w:val="1"/>
                <w:szCs w:val="1"/>
                <w:color w:val="auto"/>
              </w:rPr>
            </w:pPr>
          </w:p>
        </w:tc>
      </w:tr>
      <w:tr>
        <w:trPr>
          <w:trHeight w:val="230"/>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39,249</w:t>
            </w: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0" w:type="dxa"/>
            <w:vAlign w:val="bottom"/>
          </w:tcPr>
          <w:p>
            <w:pPr>
              <w:spacing w:after="0"/>
              <w:rPr>
                <w:sz w:val="1"/>
                <w:szCs w:val="1"/>
                <w:color w:val="auto"/>
              </w:rPr>
            </w:pPr>
          </w:p>
        </w:tc>
      </w:tr>
      <w:tr>
        <w:trPr>
          <w:trHeight w:val="223"/>
        </w:trPr>
        <w:tc>
          <w:tcPr>
            <w:tcW w:w="4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151,154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finite-lived intangible assets was $8.9 million, $4.9 million and $4.2 million in fiscal 2025, 2024 and 2023, respectively. All amortization expense is included within selling, general and administrative expenses. Estimated future amortization expense for finite-lived intangible assets is: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2030</w:t>
            </w:r>
          </w:p>
        </w:tc>
      </w:tr>
      <w:tr>
        <w:trPr>
          <w:trHeight w:val="226"/>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replaces the previous revolving credit facility with Wells Fargo Bank, N.A., as administrative agent, and other lenders, with maximum borrowings up to $385.0 million, and the two Canadian credit facilities with Bank of Montreal totaling $25.0 million USD.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execution of the Credit Agreement in fiscal 2025, we recognized a loss, within interest expense, of $0.5 million for the write-off of unamortized financing fees related to the previous revolving credit facility. Additionally, we capitalized $3.0 million of lender fees and $0.8 million of third-party fees incurred in connection with the Credit Agreement, which were recorded as other non-current assets and will be amortized over the term of the credit facility as interest expense.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March 1, 2025, we were in compliance with all covenants as defined under the terms of the Credit Agreement.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unlimited additional amounts. Any lender may elect or decline to participate in the requested increase at their sole discretion.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4, 2024, as part of the acquisition of UW Solutions, and for working capital and general corporate purposes, we executed a drawdown against the delayed draw term loan facility for 250.0 million.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Outstanding borrowings under the term loan facility were $215.0 million as of March 1, 2025. Outstanding borrowings under the current revolving credit facility were $70.0 million as of March 1, 2025. Outstanding borrowings under the previous revolving credit facility were $50.0 million as of March 2, 2024. We had no outstanding borrowings under the Canadian facilities as of March 2, 2024.</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2, 2024, debt included $12.0 million of industrial revenue bonds. We had no outstanding industrial revenue bonds as of March 1, 2025 as in the fourth quarter of fiscal 2025 we paid the remaining balance of these bonds, including principal and interest outstanding, without penalty.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1, 2025, we had a total of $15.0 million of ongoing letters of credit related to the senior credit facility, amounts that remained on the industrial revenue bonds that were not extinguished when payment was made, construction contracts and insurance collateral that expire in fiscal year 2026 and reduce borrowing capacity under the revolving credit facility. As of March 1, 2025, the amount available for revolving borrowings was $365.0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senior credit facility approximated carrying values at March 1, 2025, and would be classified as Level 2 within the fair value hierarchy described in Note 4, due to the variable interest rates on these instruments.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maturities and other selected information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r>
      <w:tr>
        <w:trPr>
          <w:trHeight w:val="658"/>
        </w:trPr>
        <w:tc>
          <w:tcPr>
            <w:tcW w:w="2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36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daily borrowings during the year</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134,565</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130,939</w:t>
            </w:r>
          </w:p>
        </w:tc>
      </w:tr>
      <w:tr>
        <w:trPr>
          <w:trHeight w:val="234"/>
        </w:trPr>
        <w:tc>
          <w:tcPr>
            <w:tcW w:w="36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during the year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r>
    </w:tbl>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on borrowings outstanding, inclusive of the impact of our interest rate swap as of March 1, 2025 and March 2, 2024 were 4.32% and 4.90%, respectively.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gain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4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$8.1 million in fiscal 2025, $9.3 million in fiscal 2024 and $8.2 million in fiscal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operating leases for certain buildings and equipment used in our operations. We determine if an arrangement contains a lease at inception. Under ASU 2016-20,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have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 the lease term. Our leases have remaining lease terms of one to seventeen years, some of which include renewal options that can extend the lease for up to an additional ten years, at our sole discretion. We have made an accounting policy election not to record leases with an original term of twelve months or less on our consolidated balance sheet; such leases are expensed on a straight-line basis over the lease term.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are as follows:</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6"/>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14,656</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21,810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11,883</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 years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years</w:t>
            </w:r>
          </w:p>
        </w:tc>
        <w:tc>
          <w:tcPr>
            <w:tcW w:w="0" w:type="dxa"/>
            <w:vAlign w:val="bottom"/>
          </w:tcPr>
          <w:p>
            <w:pPr>
              <w:spacing w:after="0"/>
              <w:rPr>
                <w:sz w:val="1"/>
                <w:szCs w:val="1"/>
                <w:color w:val="auto"/>
              </w:rPr>
            </w:pPr>
          </w:p>
        </w:tc>
      </w:tr>
      <w:tr>
        <w:trPr>
          <w:trHeight w:val="23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549"/>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lease liabilities are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Retirement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sponsor a single 401(k) retirement plan covering substantially all full-time, non-union employees, as well as union employees at two of our manufacturing facilities. Under the plan, employees are allowed to contribute up to 60% of eligible earnings to the plan, up to statutory limits. On January 1, 2023, we began matching 100% of the first two percent contributed and 50% of the next four percent contributed on eligible compensation that non-union employees contribute. Previously, we matched 100% of the first one percent contributed and 50% of the next five percent contributed on eligible compensation that non-union employees contribute. We contribute to the union plans based on the contractual terms. In total, our matching contributions were $9.1 million in fiscal 2025, $9.6 million in fiscal 2024 and $8.6 million in fiscal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plan that allows participants to defer compensation. The deferred compensation liability was $5.6 million and $5.9 million at March 1, 2025 and March 2, 2024, respectively. We have investments in corporate-owned life insurance policies (COLI) of $9.5 million and money market funds (classified as cash equivalents) of $0.3 million with the intention of utilizing them as long-term funding sources for this plan. The COLI assets are recorded at their net cash surrender values and are included in other non-current assets in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Plans under Collective Bargaining Agreements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contribute to a number of multi-employer union retirement plans, which provide retirement benefits to the majority of our union-represented employees; none of the plans are considered significant. However, the risks of participating in these multi-employer plans are different from single-employer plans in the following aspects:</w:t>
      </w:r>
    </w:p>
    <w:p>
      <w:pPr>
        <w:spacing w:after="0" w:line="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these plans by one employer may be used to provide benefits to employees of other participating employers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choose to stop participating in some of these plans, we may be required to pay those plans an amount based on the underfunded status of the plan, referred to as a withdrawal liability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Pension Protection Act, multiemployer pension plans are categorized into zones (green, yellow, red, and deep red). Among other factors, plans in the red zone are generally less than 65% funded, plans in the yellow zone are between 65% and 80% funded, and plans in the green zone are at least 80% funded. The most recent Pension Protection Act zone status available for fiscals 2025 and 2024 relates to the plan years ending December 31, 2024 and December 31,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participation in these plans is outlined in the following table.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Protection Act</w:t>
            </w:r>
          </w:p>
        </w:tc>
        <w:tc>
          <w:tcPr>
            <w:tcW w:w="140" w:type="dxa"/>
            <w:vAlign w:val="bottom"/>
          </w:tcPr>
          <w:p>
            <w:pPr>
              <w:spacing w:after="0"/>
              <w:rPr>
                <w:sz w:val="15"/>
                <w:szCs w:val="15"/>
                <w:color w:val="auto"/>
              </w:rPr>
            </w:pPr>
          </w:p>
        </w:tc>
        <w:tc>
          <w:tcPr>
            <w:tcW w:w="1440" w:type="dxa"/>
            <w:vAlign w:val="bottom"/>
            <w:gridSpan w:val="6"/>
          </w:tcPr>
          <w:p>
            <w:pPr>
              <w:jc w:val="center"/>
              <w:ind w:left="307"/>
              <w:spacing w:after="0" w:line="175"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Zone Status</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FIP/RP Status</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8"/>
        </w:trPr>
        <w:tc>
          <w:tcPr>
            <w:tcW w:w="1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100" w:type="dxa"/>
            <w:vAlign w:val="bottom"/>
            <w:gridSpan w:val="2"/>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203"/>
        </w:trPr>
        <w:tc>
          <w:tcPr>
            <w:tcW w:w="1720" w:type="dxa"/>
            <w:vAlign w:val="bottom"/>
            <w:gridSpan w:val="2"/>
            <w:vMerge w:val="continue"/>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Pending/Implemented</w:t>
            </w:r>
            <w:r>
              <w:rPr>
                <w:rFonts w:ascii="Times New Roman" w:cs="Times New Roman" w:eastAsia="Times New Roman" w:hAnsi="Times New Roman"/>
                <w:sz w:val="18"/>
                <w:szCs w:val="18"/>
                <w:b w:val="1"/>
                <w:bCs w:val="1"/>
                <w:color w:val="auto"/>
                <w:w w:val="99"/>
                <w:vertAlign w:val="superscript"/>
              </w:rPr>
              <w:t>(2)</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1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Agreement</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33"/>
        </w:trPr>
        <w:tc>
          <w:tcPr>
            <w:tcW w:w="16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Iron Workers Local Union</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No. 5 and Iron Workers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Employers Association</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Employees Pension Trust</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521075473</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Green</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No</w:t>
            </w: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5/31/2017</w:t>
            </w:r>
          </w:p>
        </w:tc>
        <w:tc>
          <w:tcPr>
            <w:tcW w:w="0" w:type="dxa"/>
            <w:vAlign w:val="bottom"/>
          </w:tcPr>
          <w:p>
            <w:pPr>
              <w:spacing w:after="0"/>
              <w:rPr>
                <w:sz w:val="1"/>
                <w:szCs w:val="1"/>
                <w:color w:val="auto"/>
              </w:rPr>
            </w:pPr>
          </w:p>
        </w:tc>
      </w:tr>
      <w:tr>
        <w:trPr>
          <w:trHeight w:val="198"/>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International Painters and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Allied Trades Industry</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526073909</w:t>
            </w:r>
          </w:p>
        </w:tc>
        <w:tc>
          <w:tcPr>
            <w:tcW w:w="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7"/>
              </w:rPr>
              <w:t>Red</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Red</w:t>
            </w: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2"/>
                <w:szCs w:val="12"/>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Implemented</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3"/>
              </w:rPr>
              <w:t>No</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11/30/2017</w:t>
            </w:r>
          </w:p>
        </w:tc>
        <w:tc>
          <w:tcPr>
            <w:tcW w:w="0" w:type="dxa"/>
            <w:vAlign w:val="bottom"/>
          </w:tcPr>
          <w:p>
            <w:pPr>
              <w:spacing w:after="0"/>
              <w:rPr>
                <w:sz w:val="1"/>
                <w:szCs w:val="1"/>
                <w:color w:val="auto"/>
              </w:rPr>
            </w:pPr>
          </w:p>
        </w:tc>
      </w:tr>
      <w:tr>
        <w:trPr>
          <w:trHeight w:val="195"/>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Pension Fund</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Ironworkers Local 580</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136178514</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Green</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Implemented</w:t>
            </w:r>
          </w:p>
        </w:tc>
        <w:tc>
          <w:tcPr>
            <w:tcW w:w="11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No</w:t>
            </w: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Yes</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6/30/2023</w:t>
            </w:r>
          </w:p>
        </w:tc>
        <w:tc>
          <w:tcPr>
            <w:tcW w:w="0" w:type="dxa"/>
            <w:vAlign w:val="bottom"/>
          </w:tcPr>
          <w:p>
            <w:pPr>
              <w:spacing w:after="0"/>
              <w:rPr>
                <w:sz w:val="1"/>
                <w:szCs w:val="1"/>
                <w:color w:val="auto"/>
              </w:rPr>
            </w:pPr>
          </w:p>
        </w:tc>
      </w:tr>
      <w:tr>
        <w:trPr>
          <w:trHeight w:val="198"/>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Fund</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Western Glaziers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Retirement Plan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916123685</w:t>
            </w:r>
          </w:p>
        </w:tc>
        <w:tc>
          <w:tcPr>
            <w:tcW w:w="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Green</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3"/>
              </w:rPr>
              <w:t>No</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0" w:type="dxa"/>
            <w:vAlign w:val="bottom"/>
          </w:tcPr>
          <w:p>
            <w:pPr>
              <w:spacing w:after="0"/>
              <w:rPr>
                <w:sz w:val="1"/>
                <w:szCs w:val="1"/>
                <w:color w:val="auto"/>
              </w:rPr>
            </w:pPr>
          </w:p>
        </w:tc>
      </w:tr>
      <w:tr>
        <w:trPr>
          <w:trHeight w:val="195"/>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Iron Workers Mid-America</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366488227</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Green</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No</w:t>
            </w: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5/31/2017</w:t>
            </w:r>
          </w:p>
        </w:tc>
        <w:tc>
          <w:tcPr>
            <w:tcW w:w="0" w:type="dxa"/>
            <w:vAlign w:val="bottom"/>
          </w:tcPr>
          <w:p>
            <w:pPr>
              <w:spacing w:after="0"/>
              <w:rPr>
                <w:sz w:val="1"/>
                <w:szCs w:val="1"/>
                <w:color w:val="auto"/>
              </w:rPr>
            </w:pPr>
          </w:p>
        </w:tc>
      </w:tr>
      <w:tr>
        <w:trPr>
          <w:trHeight w:val="198"/>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Fund</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Western Glaziers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Retirement Fund (Oregon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and Southwest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936074376</w:t>
            </w:r>
          </w:p>
        </w:tc>
        <w:tc>
          <w:tcPr>
            <w:tcW w:w="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Green</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3"/>
              </w:rPr>
              <w:t>No</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11/30/2017</w:t>
            </w:r>
          </w:p>
        </w:tc>
        <w:tc>
          <w:tcPr>
            <w:tcW w:w="0" w:type="dxa"/>
            <w:vAlign w:val="bottom"/>
          </w:tcPr>
          <w:p>
            <w:pPr>
              <w:spacing w:after="0"/>
              <w:rPr>
                <w:sz w:val="1"/>
                <w:szCs w:val="1"/>
                <w:color w:val="auto"/>
              </w:rPr>
            </w:pPr>
          </w:p>
        </w:tc>
      </w:tr>
      <w:tr>
        <w:trPr>
          <w:trHeight w:val="18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72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Glazier's Union Local 27</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Pension and Retirement</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366034076</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Green</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No</w:t>
            </w: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5/31/2017</w:t>
            </w:r>
          </w:p>
        </w:tc>
        <w:tc>
          <w:tcPr>
            <w:tcW w:w="0" w:type="dxa"/>
            <w:vAlign w:val="bottom"/>
          </w:tcPr>
          <w:p>
            <w:pPr>
              <w:spacing w:after="0"/>
              <w:rPr>
                <w:sz w:val="1"/>
                <w:szCs w:val="1"/>
                <w:color w:val="auto"/>
              </w:rPr>
            </w:pPr>
          </w:p>
        </w:tc>
      </w:tr>
      <w:tr>
        <w:trPr>
          <w:trHeight w:val="203"/>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Atlanta Ironworkers Local</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586051152</w:t>
            </w:r>
          </w:p>
        </w:tc>
        <w:tc>
          <w:tcPr>
            <w:tcW w:w="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Green</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3"/>
              </w:rPr>
              <w:t>No</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1/31/2017</w:t>
            </w:r>
          </w:p>
        </w:tc>
        <w:tc>
          <w:tcPr>
            <w:tcW w:w="0" w:type="dxa"/>
            <w:vAlign w:val="bottom"/>
          </w:tcPr>
          <w:p>
            <w:pPr>
              <w:spacing w:after="0"/>
              <w:rPr>
                <w:sz w:val="1"/>
                <w:szCs w:val="1"/>
                <w:color w:val="auto"/>
              </w:rPr>
            </w:pPr>
          </w:p>
        </w:tc>
      </w:tr>
      <w:tr>
        <w:trPr>
          <w:trHeight w:val="19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Union 387 Pension Plan</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funds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contributions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-1905</wp:posOffset>
            </wp:positionV>
            <wp:extent cx="13201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ind w:left="20" w:right="540" w:firstLine="6"/>
        <w:spacing w:after="0"/>
        <w:tabs>
          <w:tab w:leader="none" w:pos="152"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Plans include contributions required by collective bargaining agreements which have expired, but contain provisions automatically renewing their terms in the absence of a subsequent negotiated agreement.</w:t>
      </w:r>
    </w:p>
    <w:p>
      <w:pPr>
        <w:spacing w:after="0" w:line="152" w:lineRule="exact"/>
        <w:rPr>
          <w:rFonts w:ascii="Times New Roman" w:cs="Times New Roman" w:eastAsia="Times New Roman" w:hAnsi="Times New Roman"/>
          <w:sz w:val="16"/>
          <w:szCs w:val="16"/>
          <w:color w:val="auto"/>
          <w:vertAlign w:val="superscript"/>
        </w:rPr>
      </w:pPr>
    </w:p>
    <w:p>
      <w:pPr>
        <w:ind w:left="160" w:hanging="134"/>
        <w:spacing w:after="0" w:line="232" w:lineRule="auto"/>
        <w:tabs>
          <w:tab w:leader="none" w:pos="16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FIP is defined as Funding Improvement Plan; RP is defined as Rehabilitation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-318770</wp:posOffset>
            </wp:positionV>
            <wp:extent cx="13201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listed in the plans' Forms 5500 as providing more than 5% of the total contributions for the following plans and plan years: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ind w:left="342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contributions to Plan Exceeded More Than 5</w:t>
            </w:r>
          </w:p>
        </w:tc>
        <w:tc>
          <w:tcPr>
            <w:tcW w:w="0" w:type="dxa"/>
            <w:vAlign w:val="bottom"/>
          </w:tcPr>
          <w:p>
            <w:pPr>
              <w:spacing w:after="0"/>
              <w:rPr>
                <w:sz w:val="1"/>
                <w:szCs w:val="1"/>
                <w:color w:val="auto"/>
              </w:rPr>
            </w:pPr>
          </w:p>
        </w:tc>
      </w:tr>
      <w:tr>
        <w:trPr>
          <w:trHeight w:val="196"/>
        </w:trPr>
        <w:tc>
          <w:tcPr>
            <w:tcW w:w="7780" w:type="dxa"/>
            <w:vAlign w:val="bottom"/>
            <w:gridSpan w:val="2"/>
            <w:vMerge w:val="continue"/>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Total Contributions</w:t>
            </w:r>
          </w:p>
        </w:tc>
        <w:tc>
          <w:tcPr>
            <w:tcW w:w="0" w:type="dxa"/>
            <w:vAlign w:val="bottom"/>
          </w:tcPr>
          <w:p>
            <w:pPr>
              <w:spacing w:after="0"/>
              <w:rPr>
                <w:sz w:val="1"/>
                <w:szCs w:val="1"/>
                <w:color w:val="auto"/>
              </w:rPr>
            </w:pPr>
          </w:p>
        </w:tc>
      </w:tr>
      <w:tr>
        <w:trPr>
          <w:trHeight w:val="202"/>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Iron Workers Local Union No. 5 and Iron Workers Employers Association Employees Pension Trust Fund</w:t>
            </w:r>
          </w:p>
        </w:tc>
        <w:tc>
          <w:tcPr>
            <w:tcW w:w="10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 2024 and 2023</w:t>
            </w:r>
          </w:p>
        </w:tc>
        <w:tc>
          <w:tcPr>
            <w:tcW w:w="0" w:type="dxa"/>
            <w:vAlign w:val="bottom"/>
          </w:tcPr>
          <w:p>
            <w:pPr>
              <w:spacing w:after="0"/>
              <w:rPr>
                <w:sz w:val="1"/>
                <w:szCs w:val="1"/>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Western Glaziers Retirement Fund (Oregon and Southwest Washington)</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Iron Workers Mid-America Pension Fund</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18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Atlanta Ironworkers Local Union 387 Pension Plan</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contributed in fiscal 2025, 2024, and 2023 to defined contribution multiemployer plans were $3.6 million, $2.2 million and $2.2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 of Defined-Benefit Pension Plans</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sponsor the Tubelite Inc. Hourly Employees' Pension Plan, a defined-benefit pension plan that was frozen to new entrants in fiscal 2004, with no additional benefits accruing to plan participants after such time. We also sponsor an unfunded Supplemental Executive Retirement Plan (SERP), a defined-benefit pension plan that was frozen to new entrants in fiscal 2009, with no additional benefits accruing to plan participants after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reconciliations of the benefit obligation and the funded status of these plans. The Tubelite plan uses a measurement date as of the calendar month-end closest to our fiscal year-end, while the SERP uses a measurement date aligned with our fiscal year-end.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40" w:type="dxa"/>
            <w:vAlign w:val="bottom"/>
          </w:tcPr>
          <w:p>
            <w:pPr>
              <w:spacing w:after="0"/>
              <w:rPr>
                <w:sz w:val="18"/>
                <w:szCs w:val="18"/>
                <w:color w:val="auto"/>
              </w:rPr>
            </w:pPr>
          </w:p>
        </w:tc>
        <w:tc>
          <w:tcPr>
            <w:tcW w:w="15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obligation at measurement date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measurement date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Underfunded status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funded status was recognized in the consolidated balance sheets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40" w:type="dxa"/>
            <w:vAlign w:val="bottom"/>
          </w:tcPr>
          <w:p>
            <w:pPr>
              <w:spacing w:after="0"/>
              <w:rPr>
                <w:sz w:val="20"/>
                <w:szCs w:val="20"/>
                <w:color w:val="auto"/>
              </w:rPr>
            </w:pPr>
          </w:p>
        </w:tc>
        <w:tc>
          <w:tcPr>
            <w:tcW w:w="15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was included in accumulated other comprehensive loss and has not yet been recognized as a component of net periodic benefit cost: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actuarial gain recognized in comprehensive earnings, net of tax expense, was $0.1 million in fiscal 2025, and $0.9 million in fiscal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defined-benefit pension plans' net periodic benefit cost: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(84)</w:t>
            </w: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550</w:t>
            </w:r>
          </w:p>
        </w:tc>
      </w:tr>
      <w:tr>
        <w:trPr>
          <w:trHeight w:val="21"/>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net periodic pension benefit cost is expected to be approximately $0.5 million in fiscal 2026. The estimated net actuarial gain for the defined-benefit pension plans that will be amortized from accumulated other comprehensive loss into net periodic benefit cost for fiscal 2026 is $0.2 million, net of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Benefit Obligation Weighted-Average Assumptions</w:t>
            </w: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321"/>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Periodic Benefit Expense Weighted-Average Assumptions</w:t>
            </w: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4"/>
                <w:szCs w:val="24"/>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r>
    </w:tbl>
    <w:p>
      <w:pPr>
        <w:spacing w:after="0" w:line="3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The discount rate reflects the current rate at which the defined-benefit plans' pension liabilities could be effectively settled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based on the measurement date. The discount rate was determined by matching the expected benefit payments to payments from the Principal Discount Yield Curve.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return on assets. </w:t>
      </w:r>
      <w:r>
        <w:rPr>
          <w:rFonts w:ascii="Times New Roman" w:cs="Times New Roman" w:eastAsia="Times New Roman" w:hAnsi="Times New Roman"/>
          <w:sz w:val="18"/>
          <w:szCs w:val="18"/>
          <w:color w:val="auto"/>
        </w:rPr>
        <w:t>The expected long-term rate of return on assets is based on historical long-term rates of return achieved by the plan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plan's investment strategy, and current and projected market conditions. During fiscal 2019, the assets of the Tubelite plan were moved from investment in a short-term bond fund to various duration fixed income funds. The investments are carried at fair value based on prices from recent trades of similar securities, which would be classified as Level 2 in the valuation hierarchy. We do not maintain assets intended for the future use of the SERP.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 contributions to the plans for fiscal 2025 were $0.4 million and fiscal 2024 were $0.6 million, which equaled or exceeded the minimum funding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benefit payments, which reflect expected future service, are expected to be paid by the plans: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2031-2035</w:t>
            </w:r>
          </w:p>
        </w:tc>
      </w:tr>
      <w:tr>
        <w:trPr>
          <w:trHeight w:val="22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future benefit payments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bl>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the Architectural Services and Architectural Metals Segments, we are required to provide surety or performance bonds that commit payments to our customers for any non-performance. At March 1, 2025, $1.2 billion of these types of bonds were outstanding, of which, $394.1 million is on our backlog. These bonds have expiration dates that align with completion of the purchase order or contract.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costs,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6"/>
              </w:rPr>
              <w:t>17,893</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6"/>
              </w:rPr>
              <w:t>15,775</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rPr>
              <w:t>(12,306)</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6"/>
              </w:rPr>
              <w:t>21,362</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Metals businesses. We manage the risk of these exposures through contract negotiations, proactive project management and insurance coverages.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March 1, 2025, we had $15.0 million of ongoing letters of credit, all of which have been issued under our revolving credit facility, as discussed in Note 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$10.2 million as of March 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fiscal 2008, we acquired one manufacturing facility which has certain historical environmental conditions. Remediation of these conditions is ongoing without significant disruption to our operations. The estimated remaining liability for these remediation activities was $0.1 million and $0.4 million at March 1, 2025 and March 2, 2024,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two outstanding NMTC arrangements which help to support operational expansion. Proceeds received from investors on these transactions are included within other current liabilities on our consolidated balance sheets. The NMTC arrangements are subject to 100%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current assets on our consolidated balance sheets. These costs will be recognized in conjunction with the recognition of the related proceeds on each arrangement. During the construction phase or for working capital purposes for each project,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2024, one NMTC transaction was settled as expected and resulted in a $4.7 million benefit, which was recorded in other (income) expense,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our outstanding NMTC transactions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1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Proceeds received</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May 2022</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30"/>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9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2025</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48"/>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Continuation of the August 2018 NMTC financing transaction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2022, the claimant in an arbitration of one such claim was awarded $20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The Company paid the final arbitration award, including accrued post-judgment interest, in the amount of $24.7 million, on April 7, 2025. As a result of the judgment, we recorded expense of $9.4 million, which represents the impact of the award amount net of existing reserves and estimated insurance proceeds. This impact was recorded in cost of goods sold in the fourth quarter of fiscal 2025.</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 Obligations</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has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in the consolidated balance sheets and are reflected in net cash provided by operating activities in our consolidated statements of cash flows when settled.</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obligation activity for the years ended March 1, 2025 and March 2, 2024 and outstanding balance as of March 1, 2025 and March 2, 2024 that we have confirmed as valid to the administrators of our program: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added to the program</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3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352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9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paid dividends totaling $21.7 million ($1.01 per share) in fiscal 2025, $21.1 million ($0.97 per share) in fiscal 2024 and $19.7 million ($0.90 per share) in fiscal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with subsequent increases in authorization. We repurchased 786,690 shares under the program during fiscal 2025, for a total cost of $45.4 million. We repurchased 279,916 shares under the program, for a total cost of $11.8 million, in fiscal 2024, and repurchased 1,571,139 shares under the program, for a total cost of $74.3 million, in fiscal 2023. We have repurchased a total of 12,063,207 shares, at a total cost of $438.5 million, since the inception of this program. On October 6, 2023, the Board of Directors increased the share repurchase authorization by 2 million shares. We have remaining authority to repurchase 2,186,793 shares under this program, which has no expiration date.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shares repurchased under this repurchase plan, during fiscal 2025, 2024 and 2023, the Company also withheld $6.1 million, $2.5 million and $2.3 million, respectively, of Company stock from employees in order to satisfy stock-for-stock option exercises or tax obligations related to stock-based compensation, pursuant to terms of Board and shareholder-approved compensation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accumulated other comprehensive loss, net of tax, at March 1, 2025 and March 2,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unrealized gain on derivative instruments</w:t>
            </w:r>
          </w:p>
        </w:tc>
        <w:tc>
          <w:tcPr>
            <w:tcW w:w="42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(27,456)</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 2019 Stock Incentive Plan and a 2019 Non-Employee Director Stock Plan (the Plans) that provide for the issuance of 1,150,000 and 300,000 shares, respectively, for various forms of stock-based compensation to employees and non-employee directors. Awards under these Plans may be in the form of incentive stock options (to employees only), non-statutory options, stock-settled stock appreciation rights (SARs), or nonvested share awards and units, all of which are granted at a price or with an exercise price equal to the fair market value of the Company’s stock at the date of award. We also have 2009 Non-Employee Director Stock Incentive Plan under which deferred restricted stock units were allocated, in addition to deferred restricted stock units acquired pursuant to a dividend equivalent reinvestment feature. As of June 23, 2019, no additional awards can be made under the 2009 Non-Employee Director Stock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share-based compensation expense, in which we account for any forfeitures as they occur,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3"/>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fiscal 2024, there were no cash proceeds from the exercise of stock options as all stock options were exercised on a stock-for-stock basis. The aggregate intrinsic value of securities exercised (the amount by which the stock price on the date of exercise exceeded the stock price of the award on the date of grant) was $1.8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Condition Awards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Nonvested share awards and units generally vest over a two, three or four-year period. The following table summarizes nonvested restricted stock awards and restricted stock units activity for fiscal 2025: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and Units</w:t>
            </w:r>
          </w:p>
        </w:tc>
        <w:tc>
          <w:tcPr>
            <w:tcW w:w="160" w:type="dxa"/>
            <w:vAlign w:val="bottom"/>
          </w:tcPr>
          <w:p>
            <w:pPr>
              <w:spacing w:after="0"/>
              <w:rPr>
                <w:sz w:val="13"/>
                <w:szCs w:val="13"/>
                <w:color w:val="auto"/>
              </w:rPr>
            </w:pPr>
          </w:p>
        </w:tc>
        <w:tc>
          <w:tcPr>
            <w:tcW w:w="16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2,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1,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Condition Awards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2022, the Compensation Committee of the Board of Directors implemented an executive compensation program for certain key employees. In each of the first quarters of fiscal 2025, fiscal 2024 and fiscal 2023, we issued performance shares in the form of nonvested share unit awards, which give the recipient the right to receive shares earned at the end of the respective three-fiscal-year performance period. The number of share units issued at grant is equal to the target number of performance shares and allows for the right to receive a variable number of shares, ranging from 0% to 200% of target, dependent on achieving defined performance goals and being employed at the end of the performance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nonvested performance share units granted and outstanding for which plans are at 100% to 200% of target: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and Units</w:t>
            </w:r>
          </w:p>
        </w:tc>
        <w:tc>
          <w:tcPr>
            <w:tcW w:w="160" w:type="dxa"/>
            <w:vAlign w:val="bottom"/>
          </w:tcPr>
          <w:p>
            <w:pPr>
              <w:spacing w:after="0"/>
              <w:rPr>
                <w:sz w:val="13"/>
                <w:szCs w:val="13"/>
                <w:color w:val="auto"/>
              </w:rPr>
            </w:pPr>
          </w:p>
        </w:tc>
        <w:tc>
          <w:tcPr>
            <w:tcW w:w="16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5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2,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1,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373"/>
        <w:spacing w:after="0" w:line="213" w:lineRule="auto"/>
        <w:tabs>
          <w:tab w:leader="none" w:pos="56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39,763 shares for performance goals component of the fiscal 2022-2024 performance period.</w:t>
      </w: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1, 2025, there was $11.8 million of total unrecognized compensation cost related to nonvested share and nonvested share unit awards, which is expected to be recognized over a weighted average period of approximately 21 months. The total fair value of shares vested during fiscal 2025 was $10.0 million.</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126,859</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(10,238)</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116,621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840" w:type="dxa"/>
            <w:vAlign w:val="bottom"/>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expense for each of the last three fiscal years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r>
      <w:tr>
        <w:trPr>
          <w:trHeight w:val="22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r>
      <w:tr>
        <w:trPr>
          <w:trHeight w:val="229"/>
        </w:trPr>
        <w:tc>
          <w:tcPr>
            <w:tcW w:w="5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w:t>
            </w: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r>
      <w:tr>
        <w:trPr>
          <w:trHeight w:val="229"/>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2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w:t>
            </w: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w:t>
            </w:r>
          </w:p>
        </w:tc>
      </w:tr>
      <w:tr>
        <w:trPr>
          <w:trHeight w:val="21"/>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net of refunds, were $29.6 million, $33.0 million and $27.4 million in fiscal 2025, 2024 and 2023,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statutory federal income tax rate to our consolidated effective tax rates: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gridSpan w:val="2"/>
          </w:tcPr>
          <w:p>
            <w:pPr>
              <w:ind w:left="6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4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(loss) gain on life insurance policies</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Deduction for foreign derived intangible income</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&amp; development tax credit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§162(m) Executive Compensation Limitation</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of share based awards</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Worthless stock deduction</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effective income tax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0"/>
        </w:trPr>
        <w:tc>
          <w:tcPr>
            <w:tcW w:w="55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fiscal 2025 increased 1.5 percentage points from fiscal 2024, primarily due to an increase in taxes for nondeductible executive compensation in fiscal 2025. The effective tax rate for fiscal 2024 increased 12.2 percentage points from fiscal 2023, primarily due to the impact of discrete items in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deferred tax liabilities at March 1, 2025 and March 2, 2024 were: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29"/>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174 capitalized costs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w:t>
            </w:r>
          </w:p>
        </w:tc>
      </w:tr>
      <w:tr>
        <w:trPr>
          <w:trHeight w:val="229"/>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29"/>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Liability for unrecognized tax benefits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income</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w:t>
            </w:r>
          </w:p>
        </w:tc>
      </w:tr>
      <w:tr>
        <w:trPr>
          <w:trHeight w:val="229"/>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r>
      <w:tr>
        <w:trPr>
          <w:trHeight w:val="229"/>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 and tax credits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r>
      <w:tr>
        <w:trPr>
          <w:trHeight w:val="230"/>
        </w:trPr>
        <w:tc>
          <w:tcPr>
            <w:tcW w:w="7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70,253</w:t>
            </w: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(10,803)</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59,450</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20,510</w:t>
            </w:r>
          </w:p>
        </w:tc>
      </w:tr>
      <w:tr>
        <w:trPr>
          <w:trHeight w:val="229"/>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r>
      <w:tr>
        <w:trPr>
          <w:trHeight w:val="229"/>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29"/>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45,407</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state and foreign net operating loss carryforwards with a tax effect of $11.7 million. A valuation allowance of $8.7 million has been established for these net operating loss carryforwards due to the uncertainty of the use of the tax benefits in future periods.</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use of the existing Deferred Tax Assets. This has resulted in valuation allowances being recorded against Deferred Tax Assets in prior years in Brazil, Canada and various states.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Canada, Brazil and other international jurisdictions. The Company is no longer subject to U.S. federal tax examinations or state and local tax examinations for years prior to fiscal 2022, or state and local tax examinations for years prior to fiscal 2021. The Company is not currently under U.S. federal examination for years subsequent to fiscal 2021.</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adjust the income tax provision in the period it was determined that the earnings will no longer be indefinitely invested outside the U.S.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were to prevail on all unrecognized tax benefits recorded, $3.8 million, $3.3 million and $3.8 million for fiscal 2025, 2024 and 2023, respectively, would benefit the effective tax rate. Also included in the balance of unrecognized tax benefits for fiscal 2025, 2024 and 2023 are $2.2 million, $1.8 million, and $1.5 million, respectively, of tax benefits that, if recognized, would result in decreases to deferred taxes.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Penalties and interest related to unrecognized tax benefits are recorded in income tax expense. For fiscal 2025, 2024 and 2023, we accrued penalties and interest related to unrecognized tax benefits of $1.0 million, $0.6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total amounts of gross unrecognized tax benefits: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 in tax positions for prior years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2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in tax positions for prior years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 based on tax positions related to the current year</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based on tax positions related to the current year</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Statute of limitations expiration</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end of year</w:t>
            </w:r>
          </w:p>
        </w:tc>
        <w:tc>
          <w:tcPr>
            <w:tcW w:w="108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1"/>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December 2021, the OECD issued model rules for a new global minimum tax framework (“Pillar Two”), and various governments around the world have issued, or are in the process of issuing, legislation to implement these rules. The Company is within the scope of the OECD Pillar Two model rules and has assessed the impact thereof. Based on available legislation, we concluded there was no material impact on income taxes with respect to Pillar Two for the year ended March 1, 2025. We will continue to evaluate the potential future impacts and will monitor and review the issuance of additional guidance.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3"/>
        </w:trPr>
        <w:tc>
          <w:tcPr>
            <w:tcW w:w="7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per share - weighted average common shares outstanding</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21,871</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22,007</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Weighted average effect of nonvested share grants and assumed exercise of stock options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earnings per share - weighted average common shares and potential common shares outstanding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180"/>
              <w:spacing w:after="0" w:line="152" w:lineRule="exact"/>
              <w:rPr>
                <w:sz w:val="20"/>
                <w:szCs w:val="20"/>
                <w:color w:val="auto"/>
              </w:rPr>
            </w:pPr>
            <w:r>
              <w:rPr>
                <w:rFonts w:ascii="Times New Roman" w:cs="Times New Roman" w:eastAsia="Times New Roman" w:hAnsi="Times New Roman"/>
                <w:sz w:val="16"/>
                <w:szCs w:val="16"/>
                <w:color w:val="auto"/>
              </w:rPr>
              <w:t>Stock awards excluded from the calculation of earnings per share because the award price was greater than the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860" w:type="dxa"/>
            <w:vAlign w:val="bottom"/>
            <w:gridSpan w:val="2"/>
            <w:vMerge w:val="continue"/>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average market price of the common shares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Segment Data</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four operating segments which are also reportable segments. Each of our four segments have distinct economic characteristics, including products and services provided, production processes and varying ranges in performance and results:</w:t>
      </w:r>
    </w:p>
    <w:p>
      <w:pPr>
        <w:ind w:left="460" w:hanging="331"/>
        <w:spacing w:after="0" w:line="250" w:lineRule="auto"/>
        <w:tabs>
          <w:tab w:leader="none" w:pos="4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used primarily in non-residential construction.</w:t>
      </w:r>
    </w:p>
    <w:p>
      <w:pPr>
        <w:ind w:left="460" w:hanging="331"/>
        <w:spacing w:after="0" w:line="250" w:lineRule="auto"/>
        <w:tabs>
          <w:tab w:leader="none" w:pos="4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architectural curtainwall and other façade-related systems primarily in non-residential construction.</w:t>
      </w:r>
    </w:p>
    <w:p>
      <w:pPr>
        <w:ind w:left="460" w:hanging="331"/>
        <w:spacing w:after="0" w:line="250" w:lineRule="auto"/>
        <w:tabs>
          <w:tab w:leader="none" w:pos="4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cuts, treats, coats and fabricates high-performance glass used in custom window and wall systems primarily for non-residential buildings.</w:t>
      </w:r>
    </w:p>
    <w:p>
      <w:pPr>
        <w:ind w:left="460" w:hanging="331"/>
        <w:spacing w:after="0" w:line="260" w:lineRule="auto"/>
        <w:tabs>
          <w:tab w:leader="none" w:pos="4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 Segment</w:t>
      </w:r>
      <w:r>
        <w:rPr>
          <w:rFonts w:ascii="Times New Roman" w:cs="Times New Roman" w:eastAsia="Times New Roman" w:hAnsi="Times New Roman"/>
          <w:sz w:val="18"/>
          <w:szCs w:val="18"/>
          <w:color w:val="auto"/>
        </w:rPr>
        <w:t xml:space="preserve"> develops and manufactures high-performance coated materials for a variety of applications, including wall decor, museums, graphic design, digital displays, architectural interiors, and industrial flooring.</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w:t>
      </w:r>
      <w:r>
        <w:rPr>
          <w:rFonts w:ascii="Arial" w:cs="Arial" w:eastAsia="Arial" w:hAnsi="Arial"/>
          <w:sz w:val="17"/>
          <w:szCs w:val="17"/>
          <w:color w:val="auto"/>
        </w:rPr>
        <w:t>.</w:t>
      </w:r>
      <w:r>
        <w:rPr>
          <w:rFonts w:ascii="Times New Roman" w:cs="Times New Roman" w:eastAsia="Times New Roman" w:hAnsi="Times New Roman"/>
          <w:sz w:val="18"/>
          <w:szCs w:val="18"/>
          <w:color w:val="auto"/>
        </w:rPr>
        <w:t xml:space="preserve"> The CODM utilizes net sales and adjusted earnings before interest and taxes (EBIT) to assess segment performance and make decisions about the allocation of operating and capital resources by analyzing recent results, trends, and variances of each segment in relation to forecasts and historical performance.</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sales, adjusted cost of sales, adjusted SG&amp;A, adjusted other income (expense), and the resulting adjusted EBIT for each of the Company’s four reportable segments are presented below. Segment net sales is defined as net sales for a certain segment and includes revenue related to intersegment transactions. We report net sales intersegment eliminations separately to exclude these sales from our consolidated total. Segment EBIT includes intersegment sales transactions and excludes certain corporate costs that are not allocated at a segment level. We report these unallocated corporate costs in Corporate and 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60" w:type="dxa"/>
            <w:vAlign w:val="bottom"/>
          </w:tcPr>
          <w:p>
            <w:pPr>
              <w:spacing w:after="0"/>
              <w:rPr>
                <w:sz w:val="16"/>
                <w:szCs w:val="16"/>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52-Weeks Ended March 1, 2025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27,904</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524,709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419,861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322,197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1,388,898</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(1,015,727)</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(206,083)</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(expense), net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42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54,120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29,555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59,389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24,139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167,203</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53-Weeks Ended March 2, 2024</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377,443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1,416,942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1,457,830</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(1,077,290)</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(expense), net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21"/>
        </w:trPr>
        <w:tc>
          <w:tcPr>
            <w:tcW w:w="42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175,185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52-Weeks Ended February 25, 2023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1,440,696</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40,478</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649,778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410,627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316,554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1,481,174</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(1,127,912)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(199,292)</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(expense), net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60" w:right="60" w:hanging="366"/>
        <w:spacing w:after="0" w:line="181" w:lineRule="auto"/>
        <w:tabs>
          <w:tab w:leader="none" w:pos="56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cost of sales excludes $4.2 million and $5.5 million of adjustments related to acquisition and restructuring costs as described in more detail within the reconciliation presented below, respectively, for the years ended March 1, 2025 and March 2, 2024.</w:t>
      </w:r>
    </w:p>
    <w:p>
      <w:pPr>
        <w:spacing w:after="0" w:line="10" w:lineRule="exact"/>
        <w:rPr>
          <w:rFonts w:ascii="Times New Roman" w:cs="Times New Roman" w:eastAsia="Times New Roman" w:hAnsi="Times New Roman"/>
          <w:sz w:val="29"/>
          <w:szCs w:val="29"/>
          <w:color w:val="auto"/>
          <w:vertAlign w:val="superscript"/>
        </w:rPr>
      </w:pPr>
    </w:p>
    <w:p>
      <w:pPr>
        <w:ind w:left="560" w:right="60" w:hanging="366"/>
        <w:spacing w:after="0" w:line="181" w:lineRule="auto"/>
        <w:tabs>
          <w:tab w:leader="none" w:pos="56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SG&amp;A expenses excludes $11.5 million and $3.0 million of adjustments related to acquisition and restructuring costs and impairment expense as described in more detail within the reconciliation presented below, respectively, for the years ended March 1, 2025 and March 2, 2024.</w:t>
      </w:r>
    </w:p>
    <w:p>
      <w:pPr>
        <w:spacing w:after="0" w:line="10" w:lineRule="exact"/>
        <w:rPr>
          <w:rFonts w:ascii="Times New Roman" w:cs="Times New Roman" w:eastAsia="Times New Roman" w:hAnsi="Times New Roman"/>
          <w:sz w:val="29"/>
          <w:szCs w:val="29"/>
          <w:color w:val="auto"/>
          <w:vertAlign w:val="superscript"/>
        </w:rPr>
      </w:pPr>
    </w:p>
    <w:p>
      <w:pPr>
        <w:ind w:left="560" w:right="40" w:hanging="366"/>
        <w:spacing w:after="0" w:line="181" w:lineRule="auto"/>
        <w:tabs>
          <w:tab w:leader="none" w:pos="56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Other (income) expense, net excludes $4.7 million of NMTC benefit recorded for the year ended March 2, 2024 as described in more detail within the reconciliation presented below.</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adjusted EBIT to income before income taxes, the nearest measurement under GAAP: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1700" w:type="dxa"/>
            <w:vAlign w:val="bottom"/>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153,923</w:t>
            </w: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(29,642)</w:t>
            </w:r>
          </w:p>
        </w:tc>
      </w:tr>
      <w:tr>
        <w:trPr>
          <w:trHeight w:val="230"/>
        </w:trPr>
        <w:tc>
          <w:tcPr>
            <w:tcW w:w="5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acquisition-related costs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restructuring costs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expense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NMTC settlement gain </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116,621</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58"/>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ind w:right="129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560" w:hanging="366"/>
        <w:spacing w:after="0"/>
        <w:tabs>
          <w:tab w:leader="none" w:pos="56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Segment acquisition-related costs include:</w:t>
      </w:r>
    </w:p>
    <w:p>
      <w:pPr>
        <w:ind w:left="880" w:hanging="152"/>
        <w:spacing w:after="0" w:line="234" w:lineRule="auto"/>
        <w:tabs>
          <w:tab w:leader="none" w:pos="8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related to the UW Solutions acquisition.</w:t>
      </w:r>
    </w:p>
    <w:p>
      <w:pPr>
        <w:ind w:left="880" w:hanging="152"/>
        <w:spacing w:after="0" w:line="234" w:lineRule="auto"/>
        <w:tabs>
          <w:tab w:leader="none" w:pos="8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costs related to one-time expenses incurred to integrate the UW Solutions acquisition.</w:t>
      </w:r>
    </w:p>
    <w:p>
      <w:pPr>
        <w:ind w:left="900" w:right="40" w:hanging="172"/>
        <w:spacing w:after="0" w:line="234"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amortization is related the value attributed to contracting the backlog purchased in the UW Solutions acquisition. These costs were amortized in SG&amp;A over the period that the contracted backlog was shipped.</w:t>
      </w:r>
    </w:p>
    <w:p>
      <w:pPr>
        <w:spacing w:after="0" w:line="1" w:lineRule="exact"/>
        <w:rPr>
          <w:rFonts w:ascii="Times New Roman" w:cs="Times New Roman" w:eastAsia="Times New Roman" w:hAnsi="Times New Roman"/>
          <w:sz w:val="18"/>
          <w:szCs w:val="18"/>
          <w:color w:val="auto"/>
        </w:rPr>
      </w:pPr>
    </w:p>
    <w:p>
      <w:pPr>
        <w:ind w:left="900" w:right="60" w:hanging="172"/>
        <w:spacing w:after="0" w:line="243"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step-up is related to the incremental cost to value inventory acquired as part of the UW Solutions acquisition at fair value. These costs were expensed to cost of goods sold over the period the inventory was sold.</w:t>
      </w:r>
    </w:p>
    <w:p>
      <w:pPr>
        <w:ind w:left="560" w:hanging="366"/>
        <w:spacing w:after="0" w:line="184" w:lineRule="auto"/>
        <w:tabs>
          <w:tab w:leader="none" w:pos="56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Segment restructuring charges related to Project Fortify. Refer to Note 18.</w:t>
      </w:r>
    </w:p>
    <w:p>
      <w:pPr>
        <w:spacing w:after="0" w:line="15" w:lineRule="exact"/>
        <w:rPr>
          <w:rFonts w:ascii="Times New Roman" w:cs="Times New Roman" w:eastAsia="Times New Roman" w:hAnsi="Times New Roman"/>
          <w:sz w:val="29"/>
          <w:szCs w:val="29"/>
          <w:color w:val="auto"/>
          <w:vertAlign w:val="superscript"/>
        </w:rPr>
      </w:pPr>
    </w:p>
    <w:p>
      <w:pPr>
        <w:ind w:left="560" w:hanging="366"/>
        <w:spacing w:after="0" w:line="186" w:lineRule="auto"/>
        <w:tabs>
          <w:tab w:leader="none" w:pos="56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Impairment expense on intangible assets in the Architectural Metals Segment. Refer to Note 6.</w:t>
      </w:r>
    </w:p>
    <w:p>
      <w:pPr>
        <w:spacing w:after="0" w:line="15" w:lineRule="exact"/>
        <w:rPr>
          <w:rFonts w:ascii="Times New Roman" w:cs="Times New Roman" w:eastAsia="Times New Roman" w:hAnsi="Times New Roman"/>
          <w:sz w:val="24"/>
          <w:szCs w:val="24"/>
          <w:color w:val="auto"/>
          <w:vertAlign w:val="superscript"/>
        </w:rPr>
      </w:pPr>
    </w:p>
    <w:p>
      <w:pPr>
        <w:ind w:left="560" w:hanging="366"/>
        <w:spacing w:after="0" w:line="186" w:lineRule="auto"/>
        <w:tabs>
          <w:tab w:leader="none" w:pos="56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Realization of a NMTC benefit which was recorded in other income (expense), net. Refer to Note 10.</w:t>
      </w:r>
    </w:p>
    <w:p>
      <w:pPr>
        <w:spacing w:after="0" w:line="3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capital expenditures, depreciation and amortization and identifiable assets by reportable segments and the reconciliation to amounts reported for GAAP:</w:t>
      </w:r>
    </w:p>
    <w:tbl>
      <w:tblPr>
        <w:tblLayout w:type="fixed"/>
        <w:tblInd w:w="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4"/>
                <w:szCs w:val="14"/>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Surfaces</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44,608</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1,175,269</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884,064</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45,177</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42,403</w:t>
            </w:r>
          </w:p>
        </w:tc>
        <w:tc>
          <w:tcPr>
            <w:tcW w:w="0" w:type="dxa"/>
            <w:vAlign w:val="bottom"/>
          </w:tcPr>
          <w:p>
            <w:pPr>
              <w:spacing w:after="0"/>
              <w:rPr>
                <w:sz w:val="1"/>
                <w:szCs w:val="1"/>
                <w:color w:val="auto"/>
              </w:rPr>
            </w:pP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915,365</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based on the location in which the sale originated, and long-lived assets, representing property, plant and equipment, net of related depreciation, by geographic region.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r>
      <w:tr>
        <w:trPr>
          <w:trHeight w:val="230"/>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1,301,168</w:t>
            </w:r>
          </w:p>
        </w:tc>
      </w:tr>
      <w:tr>
        <w:trPr>
          <w:trHeight w:val="230"/>
        </w:trPr>
        <w:tc>
          <w:tcPr>
            <w:tcW w:w="5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120,565</w:t>
            </w:r>
          </w:p>
        </w:tc>
      </w:tr>
      <w:tr>
        <w:trPr>
          <w:trHeight w:val="229"/>
        </w:trPr>
        <w:tc>
          <w:tcPr>
            <w:tcW w:w="5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18,963</w:t>
            </w:r>
          </w:p>
        </w:tc>
      </w:tr>
      <w:tr>
        <w:trPr>
          <w:trHeight w:val="248"/>
        </w:trPr>
        <w:tc>
          <w:tcPr>
            <w:tcW w:w="51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1,440,696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552"/>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240" w:type="dxa"/>
            <w:vAlign w:val="bottom"/>
          </w:tcPr>
          <w:p>
            <w:pPr>
              <w:spacing w:after="0"/>
              <w:rPr>
                <w:sz w:val="24"/>
                <w:szCs w:val="24"/>
                <w:color w:val="auto"/>
              </w:rPr>
            </w:pPr>
          </w:p>
        </w:tc>
        <w:tc>
          <w:tcPr>
            <w:tcW w:w="17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February 25, 2023</w:t>
            </w:r>
          </w:p>
        </w:tc>
      </w:tr>
      <w:tr>
        <w:trPr>
          <w:trHeight w:val="226"/>
        </w:trPr>
        <w:tc>
          <w:tcPr>
            <w:tcW w:w="5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r>
      <w:tr>
        <w:trPr>
          <w:trHeight w:val="230"/>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239,847</w:t>
            </w:r>
          </w:p>
        </w:tc>
      </w:tr>
      <w:tr>
        <w:trPr>
          <w:trHeight w:val="230"/>
        </w:trPr>
        <w:tc>
          <w:tcPr>
            <w:tcW w:w="5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r>
      <w:tr>
        <w:trPr>
          <w:trHeight w:val="230"/>
        </w:trPr>
        <w:tc>
          <w:tcPr>
            <w:tcW w:w="5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48"/>
        </w:trPr>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248,867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export net sales from U.S. operations were $54.1 million, $47.6 million and $56.2 million in fiscal 2025, 2024 and 2023, respectively, representing approximately 4%, 3% and 4% of consolidated net sales in each of these fiscal years, respectively. Due to the varying combinations and integration of individual window, storefront and curtainwall systems, it is impractical to report product revenues generated by class of product beyond the segment revenues currently reported.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Acquisitions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we completed the acquisition of UW Solutions for $240.9 million in cash. UW Solutions is a U.S. based, vertically integrated manufacturer of high-performance coated substrates with a portfolio of well-known brands, including ResinDEK, ChromaLuxe, RDC Coatings, and Unisub, each known as a leader in its specified applications. The UW Solutions business activity is included in our Performance Surfaces Segment.</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total purchase consideration was $232.2 million in cash, net of a favorable net working capital adjustment of $0.9 million and cash acquired of $8.7 million. The acquisition was funded with cash on hand and borrowings under our existing credit agreement. During fiscal 2025, we incurred pre-tax acquisition-related expenses of $10.3 million associated with the UW Solutions acquisition. We incurred $1.5 million for inventory step-up expense and $0.2 million of transaction costs which were included in costs of sales as well as $4.2 million of transaction costs, $2.1 million of integration costs, and $2.3 million of amortization of acquired backlog, which were included in SG&amp;A within our consolidated results of operations.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accounted for the acquisition as a purchase of a business and recorded the excess of the purchase price over the estimated fair value of the assets acquired and liabilities assumed as goodwill of $107.8 million. The goodwill recognized is attributable primarily to expected synergies by integrating UW Solutions into our Performance Surfaces Segment and by creating a scalable growth platform in the specialty coatings and materials market. The acquired goodwill is expected to be amortized and deductible for income tax purposes. We have provisionally determined the appropriate fair values of the acquired intangible assets and completed our analysis of the economic lives of the assets acquired. We assigned $21.0 million to a tradename asset and are amortizing it over a 15-year expected life. We assigned $2.3 million to a contract backlog asset and amortized it over a 4-month life. We assigned $47.4 million to a customer relationship asset and are amortizing a portion over a 10-year expected life and the remainder over a 15-year expected life, based on historical customer attrition rates. We assigned $7.8 million to a developed technology asset and are amortizing over a 7.5-year expected life.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assets acquired and liabilities assumed at the acquisition date: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107,826</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79,679</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268,578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r>
      <w:tr>
        <w:trPr>
          <w:trHeight w:val="223"/>
        </w:trPr>
        <w:tc>
          <w:tcPr>
            <w:tcW w:w="9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recorded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impact of the acquisition of UW Solutions on our consolidated results of operations for fiscal 2025 was $32.0 million of net sales and $7.4 million of net loss, respectively. The net sales and net loss represent approximately 17 weeks of operating results.</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following supplemental unaudited pro forma information presents our financial results as if the acquisition of UW Solutions had occurred on February 26, 2023. This supplemental pro forma information has been prepared for comparative purposes and would not necessarily indicate what may have occurred if the acquisition had been completed on February 26, 2023, and this information is not intended to be indicative of future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earnings per share data)</w:t>
            </w:r>
          </w:p>
        </w:tc>
        <w:tc>
          <w:tcPr>
            <w:tcW w:w="280" w:type="dxa"/>
            <w:vAlign w:val="bottom"/>
          </w:tcPr>
          <w:p>
            <w:pPr>
              <w:spacing w:after="0"/>
              <w:rPr>
                <w:sz w:val="13"/>
                <w:szCs w:val="13"/>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7"/>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1,513,734</w:t>
            </w:r>
          </w:p>
        </w:tc>
        <w:tc>
          <w:tcPr>
            <w:tcW w:w="0" w:type="dxa"/>
            <w:vAlign w:val="bottom"/>
          </w:tcPr>
          <w:p>
            <w:pPr>
              <w:spacing w:after="0"/>
              <w:rPr>
                <w:sz w:val="1"/>
                <w:szCs w:val="1"/>
                <w:color w:val="auto"/>
              </w:rPr>
            </w:pP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83,256</w:t>
            </w:r>
          </w:p>
        </w:tc>
        <w:tc>
          <w:tcPr>
            <w:tcW w:w="0" w:type="dxa"/>
            <w:vAlign w:val="bottom"/>
          </w:tcPr>
          <w:p>
            <w:pPr>
              <w:spacing w:after="0"/>
              <w:rPr>
                <w:sz w:val="1"/>
                <w:szCs w:val="1"/>
                <w:color w:val="auto"/>
              </w:rPr>
            </w:pP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8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Nonrecurring charges of $4.4 million of transaction costs, $2.1 million of integration costs, $2.3 million of amortization of acquired backlog, and $1.5 million of inventory step-up expense incurred in fiscal 2025 are reflected as if those charges were incurred in the first and second quarters of the fiscal 2024 supplemental pro forma earnings.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amounts have been calculated after applying our accounting policies and adjusting the results of UW Solutions to reflect the effect of definite-lived intangible assets recognized as part of the business combination on amortization expense as if the acquisition had occurred on February 26,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fourth quarter of fiscal 2024, we announced strategic actions to streamline our business operations, enable a more efficient cost model, and better position the Company for profitable growth (referred to as “Project Fortify”). Project Fortify primarily impacted the Architectural Metals Segment and included:</w:t>
      </w:r>
    </w:p>
    <w:p>
      <w:pPr>
        <w:spacing w:after="0" w:line="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certain lower-margin product and service offerings, enabling consolidation into a single operating entity.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production operations from the Company’s facility in Walker, Michigan, to the Company’s facilities in Monett, Missouri and Wausau, Wisconsin.</w:t>
      </w:r>
    </w:p>
    <w:p>
      <w:pPr>
        <w:ind w:left="660" w:right="2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Simplifying the segment’s brand portfolio and commercial model to improve flexibility, better leverage the Company’s capabilities, and enhance customer service.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implemented actions to optimize processes and streamline resources in its Architectural Services and Corporate and Other.</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2025, we incurred $4.3 million of pre-tax costs associated with Project Fortify, of which $2.5 million is included in cost of sales and $1.8 million is included within SG&amp;A expenses. During fiscal 2024, we incurred $12.4 million of pre-tax costs associated with Project Fortify, of which $5.5 million is included within cost of sales and $6.9 million is included within SG&amp;A expenses. The Company completed Project Fortify during the fourth quarter of fiscal 2025 and incurred at total of $16.7 million of restructuring changes, which included:</w:t>
      </w:r>
    </w:p>
    <w:p>
      <w:pPr>
        <w:spacing w:after="0" w:line="3" w:lineRule="exact"/>
        <w:rPr>
          <w:sz w:val="20"/>
          <w:szCs w:val="20"/>
          <w:color w:val="auto"/>
        </w:rPr>
      </w:pPr>
    </w:p>
    <w:p>
      <w:pPr>
        <w:ind w:left="700" w:hanging="368"/>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of severance and employee related costs;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contract termination costs: and</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of other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actions have led to estimated annualized pre-tax cost savings of approximately $14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Corporate &amp;</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February 25, 2023</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in the consolidated balance sheets. All remaining accrual balances are expected to be paid within fiscal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Corporate &amp;</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25, 2023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2,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charges presented in the rollforward of our restructuring accruals do not include items charged directly to expense as incurred, as those items are not reflected in accrued payroll and related benefits and other current liabilities in the consolidated balance sheets.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April 23, 2025, we announced a second phase of Project Fortify to drive further cost efficiencies, primarily in the Architectural Metals and Architectural Services Segments. Phase 2 will focus on further optimizing our operating footprint and aligning resources to enable a more effective operating model. We expect the actions of Phase 2 to incur approximately $24 million to $26 million of pre-tax charges, of which approximately $8 million are expected to be non-cash charges. The charges include the following:</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to $10 million of severance and employee related costs;</w:t>
      </w:r>
    </w:p>
    <w:p>
      <w:pPr>
        <w:ind w:left="660" w:hanging="328"/>
        <w:spacing w:after="0" w:line="23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to $3 million of contract termination costs; and</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to $13 million of other expenses.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the actions associated with Phase 2 to be substantially completed by the end of the fourth quarter of fiscal 2026 and expects them to deliver annualized pre-tax cost savings from Phase 2 of approximately $13 million to $15 million.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fiscal 2022, we announced plans to realign and simplify our business structure, which resulted in the closure of two facilities within the Architectural Glass Segment, in Dallas, Texas and Statesboro, Georgia. These closures were made in order to concentrate this segment on premium, high-performance products. Additionally, employee termination costs were incurred related to these facility closures, realignment of the Architectural Metals Segment, and within the Corporate office.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2023, we completed the execution of these plans with the sale of the remaining manufacturing assets at our Architectural Glass location, in Dallas, Texas, for $4.1 million. The remaining assets had a carrying value of $3.4 million, and we recognized a gain on the sale of approximately $0.6 million, net of associated transaction costs, which is included as a reduction of cost of sales within our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xml:space="preserve">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r>
        <w:rPr>
          <w:rFonts w:ascii="Times New Roman" w:cs="Times New Roman" w:eastAsia="Times New Roman" w:hAnsi="Times New Roman"/>
          <w:sz w:val="18"/>
          <w:szCs w:val="18"/>
          <w:color w:val="auto"/>
        </w:rPr>
        <w:t xml:space="preserve"> The report of management required under this Item 9A is contained on page 32 in Item 8 of this Annual Report on Form 10-K under the caption “Management's Annual Report on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Attestation Report of Independent Registered Public Accounting Firm.</w:t>
      </w:r>
      <w:r>
        <w:rPr>
          <w:rFonts w:ascii="Times New Roman" w:cs="Times New Roman" w:eastAsia="Times New Roman" w:hAnsi="Times New Roman"/>
          <w:sz w:val="18"/>
          <w:szCs w:val="18"/>
          <w:color w:val="auto"/>
        </w:rPr>
        <w:t xml:space="preserve"> The attestation report required under this Item 9A is contained on page 33 in Item 8 of this Annual Report on Form 10-K under the caption “Report of Independent Registered Public Accounting Firm.”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xml:space="preserve"> 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During the fiscal quarter ended March 1, 2025, none of our directors or officers (as defined in Rule 16a-1(f) of the Exchange Act) adopted or terminated any "Rule 10b5-1 trading arrangement" or any "non-Rule 10b5-1 trading arrangement", as each term is defined in Item 408(c) of Regulation 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CODE OF ETHICS AND CORPORATE GOVERNANCE</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adopted a Code of Business Ethics and Conduct that applies to all of our employees, including our principal executive officer, president, principal financial officer and principal accounting officer, and Board of Directors. The Code of Business Ethics and Conduct is published on the “Investors-Governance” section of our website at www.apog.com. Any amendments to the Code of Business Ethics and Conduct and waivers of the Code of Business Ethics and Conduct for our Chief Executive Officer and Chief Financial Officer will be published on our website.</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other information required by this item, other than the information set forth in Part I above under the heading “Information About Our Executive Officers,” is set forth under the headings “Proposal 1: Election of Directors,” “Frequently Asked Questions - How Can I Recommend or Nominate a Director Candidate?”, “Corporate Governance - Board Meetings and 2025 Annual Meeting of Shareholders,” and “Corporate Governance - Board Committee Responsibilities, Meetings and Membership” in the Proxy Statement for the Company's Annual Meeting of Shareholders to be held on June 25, 2025, which will be filed with the Securities and Exchange Commission within 120 days after our fiscal year-end (our 2025 Proxy Statement). This information is incorporated herein by reference.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the Company's securities that applies to all personnel of the Company and its subsidiaries, including directors, officers, employees and other covered persons. The Company believes that its insider trading policy is reasonably designed to promote compliance with insider trading laws, rules and regulations, as well as applicable listing standards. A copy of the Company’s insider trading policy is filed as Exhibit 19.1 to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AND DIRECTOR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headings “Executive Compensation,” "CEO Pay Ratio Disclosure" and “Non-Employee Director Compensation" in our 2025 Proxy Statement. This information is incorporated herein by reference.</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with respect to our equity compensation plans, the number of shares of our common stock to be issued upon exercise of outstanding options, warrants and other rights to acquire shares, the weighted-average exercise price of these outstanding options, warrants and rights, and the number of shares remaining available for future issuance under our equity compensation plans as of March 1, 2025, the last day of fiscal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0745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3" w:lineRule="exact"/>
        <w:rPr>
          <w:sz w:val="20"/>
          <w:szCs w:val="20"/>
          <w:color w:val="auto"/>
        </w:rPr>
      </w:pPr>
    </w:p>
    <w:p>
      <w:pPr>
        <w:ind w:left="20" w:right="260"/>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26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62"/>
        </w:trPr>
        <w:tc>
          <w:tcPr>
            <w:tcW w:w="2680" w:type="dxa"/>
            <w:vAlign w:val="bottom"/>
            <w:gridSpan w:val="2"/>
            <w:vMerge w:val="continue"/>
          </w:tcPr>
          <w:p>
            <w:pPr>
              <w:spacing w:after="0"/>
              <w:rPr>
                <w:sz w:val="14"/>
                <w:szCs w:val="14"/>
                <w:color w:val="auto"/>
              </w:rPr>
            </w:pPr>
          </w:p>
        </w:tc>
        <w:tc>
          <w:tcPr>
            <w:tcW w:w="2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3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 Equity</w:t>
            </w:r>
          </w:p>
        </w:tc>
        <w:tc>
          <w:tcPr>
            <w:tcW w:w="0" w:type="dxa"/>
            <w:vAlign w:val="bottom"/>
          </w:tcPr>
          <w:p>
            <w:pPr>
              <w:spacing w:after="0"/>
              <w:rPr>
                <w:sz w:val="1"/>
                <w:szCs w:val="1"/>
                <w:color w:val="auto"/>
              </w:rPr>
            </w:pPr>
          </w:p>
        </w:tc>
      </w:tr>
      <w:tr>
        <w:trPr>
          <w:trHeight w:val="162"/>
        </w:trPr>
        <w:tc>
          <w:tcPr>
            <w:tcW w:w="268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58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162"/>
        </w:trPr>
        <w:tc>
          <w:tcPr>
            <w:tcW w:w="268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5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3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214"/>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500" w:type="dxa"/>
            <w:vAlign w:val="bottom"/>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400" w:type="dxa"/>
            <w:vAlign w:val="bottom"/>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the First Column)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6"/>
        </w:trPr>
        <w:tc>
          <w:tcPr>
            <w:tcW w:w="26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xml:space="preserve">310,904 </w:t>
            </w:r>
            <w:r>
              <w:rPr>
                <w:rFonts w:ascii="Times New Roman" w:cs="Times New Roman" w:eastAsia="Times New Roman" w:hAnsi="Times New Roman"/>
                <w:sz w:val="23"/>
                <w:szCs w:val="23"/>
                <w:color w:val="auto"/>
                <w:vertAlign w:val="superscript"/>
              </w:rPr>
              <w:t>(1) (2)</w:t>
            </w:r>
          </w:p>
        </w:tc>
        <w:tc>
          <w:tcPr>
            <w:tcW w:w="25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color w:val="auto"/>
                <w:vertAlign w:val="superscript"/>
              </w:rPr>
              <w:t>(3)</w:t>
            </w:r>
          </w:p>
        </w:tc>
        <w:tc>
          <w:tcPr>
            <w:tcW w:w="23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6"/>
              </w:rPr>
              <w:t xml:space="preserve">868,847 </w:t>
            </w:r>
            <w:r>
              <w:rPr>
                <w:rFonts w:ascii="Times New Roman" w:cs="Times New Roman" w:eastAsia="Times New Roman" w:hAnsi="Times New Roman"/>
                <w:sz w:val="23"/>
                <w:szCs w:val="23"/>
                <w:color w:val="auto"/>
                <w:w w:val="96"/>
                <w:vertAlign w:val="superscript"/>
              </w:rPr>
              <w:t>(4)</w:t>
            </w:r>
          </w:p>
        </w:tc>
        <w:tc>
          <w:tcPr>
            <w:tcW w:w="0" w:type="dxa"/>
            <w:vAlign w:val="bottom"/>
          </w:tcPr>
          <w:p>
            <w:pPr>
              <w:spacing w:after="0"/>
              <w:rPr>
                <w:sz w:val="1"/>
                <w:szCs w:val="1"/>
                <w:color w:val="auto"/>
              </w:rPr>
            </w:pPr>
          </w:p>
        </w:tc>
      </w:tr>
      <w:tr>
        <w:trPr>
          <w:trHeight w:val="377"/>
        </w:trPr>
        <w:tc>
          <w:tcPr>
            <w:tcW w:w="21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None</w:t>
            </w:r>
          </w:p>
        </w:tc>
        <w:tc>
          <w:tcPr>
            <w:tcW w:w="50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00" w:type="dxa"/>
            <w:vAlign w:val="bottom"/>
          </w:tcPr>
          <w:p>
            <w:pPr>
              <w:spacing w:after="0"/>
              <w:rPr>
                <w:sz w:val="24"/>
                <w:szCs w:val="24"/>
                <w:color w:val="auto"/>
              </w:rPr>
            </w:pPr>
          </w:p>
        </w:tc>
        <w:tc>
          <w:tcPr>
            <w:tcW w:w="22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310,904</w:t>
            </w:r>
          </w:p>
        </w:tc>
        <w:tc>
          <w:tcPr>
            <w:tcW w:w="500" w:type="dxa"/>
            <w:vAlign w:val="bottom"/>
          </w:tcPr>
          <w:p>
            <w:pPr>
              <w:spacing w:after="0"/>
              <w:rPr>
                <w:sz w:val="19"/>
                <w:szCs w:val="19"/>
                <w:color w:val="auto"/>
              </w:rPr>
            </w:pPr>
          </w:p>
        </w:tc>
        <w:tc>
          <w:tcPr>
            <w:tcW w:w="2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22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868,847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180" w:space="200"/>
            <w:col w:w="7860"/>
          </w:cols>
          <w:pgMar w:left="320" w:top="121" w:right="339" w:bottom="1440" w:gutter="0" w:footer="0" w:header="0"/>
          <w:type w:val="continuous"/>
        </w:sectPr>
      </w:pP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Includes 202,240 shares underlying performance share unit awards granted under our 2019 Stock Incentive Plan, assuming maximum performance; 77,522 restricted stock unit awards</w:t>
      </w:r>
    </w:p>
    <w:p>
      <w:pPr>
        <w:jc w:val="both"/>
        <w:ind w:left="440" w:right="80" w:hanging="298"/>
        <w:spacing w:after="0" w:line="233" w:lineRule="auto"/>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granted under our 2019 Stock Incentive Plan, 2009 Non-Employee Director Stock Plan, and 2019 Non-Employee Director Stock Plan, and 31,142 phantom shares under our Deferred Compensation Plan for Non-Employee Directors. Dividends accrue on the outstanding performance share units during the three-year performance periods but will be paid only on shares earned at the end of each performance cycle. Certain outstanding restricted stock units have dividend rights attached, but none of the restricted stock units are transferable.</w:t>
      </w:r>
    </w:p>
    <w:p>
      <w:pPr>
        <w:spacing w:after="0" w:line="4"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At the beginning of fiscal years 2023, 2024 and 2025, performance share units were awarded to plan participants which will vest based on our Company’s performance over each three-</w:t>
      </w:r>
    </w:p>
    <w:p>
      <w:pPr>
        <w:jc w:val="both"/>
        <w:ind w:left="440" w:right="80" w:hanging="298"/>
        <w:spacing w:after="0" w:line="233" w:lineRule="auto"/>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year performance period. The performance share units represent the right to receive shares of our common stock at the end of each three-year performance period. Pursuant to SEC rules and the reporting requirements for this table, we have included in this column 202,240 shares underlying the outstanding performance share units at maximum performance, assuming our Company performed at the maximum level during the applicable performance periods. Only 101,120 shares underly the performance awards at target level performance.</w:t>
      </w:r>
    </w:p>
    <w:p>
      <w:pPr>
        <w:spacing w:after="0" w:line="14" w:lineRule="exact"/>
        <w:rPr>
          <w:rFonts w:ascii="Times New Roman" w:cs="Times New Roman" w:eastAsia="Times New Roman" w:hAnsi="Times New Roman"/>
          <w:sz w:val="12"/>
          <w:szCs w:val="12"/>
          <w:color w:val="auto"/>
        </w:rPr>
      </w:pPr>
    </w:p>
    <w:p>
      <w:pPr>
        <w:ind w:left="440" w:right="80" w:hanging="298"/>
        <w:spacing w:after="0"/>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 calculating the weighted-average exercise price of outstanding options, warrants and rights, we have not included in this column shares of restricted stock that are issued and outstanding, performance share units or restricted stock units.</w:t>
      </w:r>
    </w:p>
    <w:p>
      <w:pPr>
        <w:spacing w:after="0" w:line="15" w:lineRule="exact"/>
        <w:rPr>
          <w:rFonts w:ascii="Times New Roman" w:cs="Times New Roman" w:eastAsia="Times New Roman" w:hAnsi="Times New Roman"/>
          <w:sz w:val="12"/>
          <w:szCs w:val="12"/>
          <w:color w:val="auto"/>
        </w:rPr>
      </w:pPr>
    </w:p>
    <w:p>
      <w:pPr>
        <w:jc w:val="both"/>
        <w:ind w:left="440" w:right="80" w:hanging="298"/>
        <w:spacing w:after="0" w:line="193" w:lineRule="auto"/>
        <w:tabs>
          <w:tab w:leader="none" w:pos="440" w:val="left"/>
        </w:tabs>
        <w:numPr>
          <w:ilvl w:val="0"/>
          <w:numId w:val="38"/>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4"/>
          <w:szCs w:val="14"/>
          <w:color w:val="auto"/>
        </w:rPr>
        <w:t>Pursuant to SEC Rules and the reporting requirements for this table, of these shares, 3,822 are available for issuance under our Legacy Partnership Plan; 696,893 are available for grant under our 2019 Stock Incentive Plan; 152,602 are available for grant under our 2019 Non-Employee Director Stock Plan; and 15,530 are available for grant under our Deferred Compensation Plan for Non-Employee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headings “Corporate Governance - Director Independence” and "Corporate Governance - Certain Relationships and Related Transactions" in our 2025 Proxy Statement. This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 34) will be presented under the headings “Audit Committee Report" and "Fees Paid to Independent Registered Public Accounting Firm - Audit Fees, Audit-Related Fees, Tax Fees and All Other Fees” and “Policy on Audit Committee Pre-Approval of Audit and Permissible Non-Audit Services” in our 2025 Proxy Statement. This information is incorporated herein by reference.</w:t>
      </w:r>
    </w:p>
    <w:p>
      <w:pPr>
        <w:spacing w:after="0" w:line="20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List of documents filed as a part of this report:</w:t>
      </w:r>
    </w:p>
    <w:p>
      <w:pPr>
        <w:spacing w:after="0" w:line="252"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 The consolidated financial statements listed below are set forth in Item 8 of Part II of this report.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March 1, 2025 and March 2, 2024</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Results of Operations for the Years Ended March 1, 2025, March 2, 2024 and February 25, 2023</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Comprehensive Earnings for the Years Ended March 1, 2025, March 2, 2024 and February 25, 2023</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March 1, 2025, March 2, 2024 and February 25, 2023</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March 1, 2025, March 2, 2024 and February 25,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All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88"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10460" w:type="dxa"/>
            <w:vAlign w:val="bottom"/>
            <w:tcBorders>
              <w:right w:val="single" w:sz="8" w:color="CCEEFF"/>
            </w:tcBorders>
            <w:gridSpan w:val="31"/>
            <w:shd w:val="clear" w:color="auto" w:fill="CCEEFF"/>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Membership Interest Purchase Agreement, dated as of September 23, 2024, by and among UW Holdings, LLC, UW Interco, LLC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10200" w:type="dxa"/>
            <w:vAlign w:val="bottom"/>
            <w:tcBorders>
              <w:top w:val="single" w:sz="8" w:color="0000FF"/>
              <w:bottom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Apogee Enterprises, Inc.* Incorporated by reference to Exhibit 2.1 to the Registrant’s Current Report on Form 8-K filed on September 25,</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2024.</w:t>
              </w:r>
            </w:hyperlink>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460" w:type="dxa"/>
            <w:vAlign w:val="bottom"/>
            <w:gridSpan w:val="31"/>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Restated Articles of Incorporation. Incorporated by reference to Exhibit 3.1 to Registrant's Annual Report on Form 10-K for the year-ended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February 28, 2004.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460" w:type="dxa"/>
            <w:vAlign w:val="bottom"/>
            <w:tcBorders>
              <w:right w:val="single" w:sz="8" w:color="CCEEFF"/>
            </w:tcBorders>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Articles of Amendment to Restated Articles of Incorporation. Incorporated by reference to Exhibit 3.1 to Registrant's Current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8-K filed on January 16,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0460" w:type="dxa"/>
            <w:vAlign w:val="bottom"/>
            <w:gridSpan w:val="31"/>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Bylaws of Apogee Enterprises, Inc. Incorporated by reference to Exhibit 3.3 to the Registrant’s Quarterly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10-Q filed on July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460" w:type="dxa"/>
            <w:vAlign w:val="bottom"/>
            <w:tcBorders>
              <w:right w:val="single" w:sz="8" w:color="CCEEFF"/>
            </w:tcBorders>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Specimen certificate for shares of common stock of Apogee Enterprises, Inc. Incorporated by reference to Exhibit 4.1 to Registrant's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3880" w:type="dxa"/>
            <w:vAlign w:val="bottom"/>
            <w:tcBorders>
              <w:top w:val="single" w:sz="8" w:color="0000FF"/>
              <w:bottom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Quarterly Report on Form 10-Q filed on July 1, 2021.</w:t>
              </w:r>
            </w:hyperlink>
          </w:p>
        </w:tc>
        <w:tc>
          <w:tcPr>
            <w:tcW w:w="640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480" w:type="dxa"/>
            <w:vAlign w:val="bottom"/>
            <w:gridSpan w:val="32"/>
          </w:tcPr>
          <w:p>
            <w:pPr>
              <w:spacing w:after="0" w:line="20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Description of Securities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Incorporated by reference to Exhibit 4.2 to Registrant's Annual Report on Form 10-K for the year ended February</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29, 2020.</w:t>
            </w: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5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460" w:type="dxa"/>
            <w:vAlign w:val="bottom"/>
            <w:tcBorders>
              <w:right w:val="single" w:sz="8" w:color="CCEEFF"/>
            </w:tcBorders>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Apogee Enterprises, Inc. Deferred Compensation Plan for Non-Employee Directors (2014 Restatement). Incorporated by reference to Exhibit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38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Registrant's Registration Statement on Form S-8 filed on July 24, 2014.</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460" w:type="dxa"/>
            <w:vAlign w:val="bottom"/>
            <w:gridSpan w:val="31"/>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Apogee Enterprises, Inc. 2021 Deferred Compensation Plan for Non-Employee Directors. Incorporated by reference to Exhibit 4.5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Apogee’s Registration Statement on Form S-8 filed on October 13, 2021.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460" w:type="dxa"/>
            <w:vAlign w:val="bottom"/>
            <w:tcBorders>
              <w:right w:val="single" w:sz="8" w:color="CCEEFF"/>
            </w:tcBorders>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Apogee Enterprises, Inc. 2000 Employee Stock Purchase Plan (Amended and Restated Effective as of April 21, 2021).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664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reference to Exhibit 10.4 to Apogee’s Annual Report on Form 10-K filed on April 22, 2021.</w:t>
              </w:r>
            </w:hyperlink>
          </w:p>
        </w:tc>
        <w:tc>
          <w:tcPr>
            <w:tcW w:w="36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460" w:type="dxa"/>
            <w:vAlign w:val="bottom"/>
            <w:gridSpan w:val="31"/>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Apogee Enterprises, Inc. Non-Employee Director Charitable Matching Contribution Program. Incorporated by reference to Exhibit 10.25 to</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3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Registrant's Annual Report on Form 10-K for the year-ended February 26, 2005.</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460" w:type="dxa"/>
            <w:vAlign w:val="bottom"/>
            <w:tcBorders>
              <w:right w:val="single" w:sz="8" w:color="CCEEFF"/>
            </w:tcBorders>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Apogee Enterprises, Inc. Deferred Incentive Compensation Plan (2005 Restatement). Incorporated by reference to Exhibit 10.3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28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Registrant's Current Report on Form 8-K filed on October 17, 2006.</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460" w:type="dxa"/>
            <w:vAlign w:val="bottom"/>
            <w:gridSpan w:val="31"/>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Apogee Enterprises, Inc. 2009 Stock Incentive Plan, as amended and restated (2011). Incorporated by reference to Exhibit 10.1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Registrant's Current Report on Form 8-K filed on June 28, 2011.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460" w:type="dxa"/>
            <w:vAlign w:val="bottom"/>
            <w:tcBorders>
              <w:right w:val="single" w:sz="8" w:color="CCEEFF"/>
            </w:tcBorders>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Apogee Enterprises, Inc. 2009 Non-Employee Director Stock Incentive Plan, as amended and restated (2014).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0000FF"/>
              <w:right w:val="single" w:sz="8" w:color="CCEE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Exhibit 4.4 to Registrant's Registration Statement on Form S-8 filed on July 24, 2014.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460" w:type="dxa"/>
            <w:vAlign w:val="bottom"/>
            <w:gridSpan w:val="31"/>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Restricted Stock Agreement under the Apogee Enterprises, Inc. 2009 Non-Employee Director Stock Incentive Plan.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reference to Exhibit 10.3 to Registrant's Current Report on Form 8-K filed on June 30, 2009.</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460" w:type="dxa"/>
            <w:vAlign w:val="bottom"/>
            <w:tcBorders>
              <w:right w:val="single" w:sz="8" w:color="CCEEFF"/>
            </w:tcBorders>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Restricted Stock Deferral Program under the Apogee Enterprises, Inc. 2009 Non-Employee Director Stock Incentive Plan, as Amended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10260" w:type="dxa"/>
            <w:vAlign w:val="bottom"/>
            <w:tcBorders>
              <w:top w:val="single" w:sz="8" w:color="0000FF"/>
              <w:bottom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Restated (2014) (2015 Statement). Incorporated by reference to Exhibit 10.1 to Registrant's Current Report on Form 8-K filed on June 30,</w:t>
              </w:r>
            </w:hyperlink>
          </w:p>
        </w:tc>
        <w:tc>
          <w:tcPr>
            <w:tcW w:w="200" w:type="dxa"/>
            <w:vAlign w:val="bottom"/>
            <w:tcBorders>
              <w:top w:val="single" w:sz="8" w:color="CCEEFF"/>
              <w:bottom w:val="single" w:sz="8" w:color="CCEEFF"/>
              <w:right w:val="single" w:sz="8" w:color="CCEEFF"/>
            </w:tcBorders>
            <w:gridSpan w:val="9"/>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2015.</w:t>
              </w:r>
            </w:hyperlink>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460" w:type="dxa"/>
            <w:vAlign w:val="bottom"/>
            <w:gridSpan w:val="31"/>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Deferred Restricted Stock Unit Agreement under the Apogee Enterprises, Inc. 2009 Non-Employee Director Stock Incentive Plan,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as Amended and Restated (2014) (2015 Statement). Incorporated by reference to Exhibit 10.2 to Registrant's Current Report on Form 8-K</w:t>
              </w:r>
            </w:hyperlink>
          </w:p>
        </w:tc>
        <w:tc>
          <w:tcPr>
            <w:tcW w:w="60" w:type="dxa"/>
            <w:vAlign w:val="bottom"/>
            <w:tcBorders>
              <w:bottom w:val="single" w:sz="8" w:color="0000FF"/>
            </w:tcBorders>
            <w:gridSpan w:val="3"/>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filed on June 30, 2015.</w:t>
              </w:r>
            </w:hyperlink>
          </w:p>
        </w:tc>
        <w:tc>
          <w:tcPr>
            <w:tcW w:w="8580" w:type="dxa"/>
            <w:vAlign w:val="bottom"/>
            <w:gridSpan w:val="17"/>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00" w:type="dxa"/>
            <w:vAlign w:val="bottom"/>
            <w:gridSpan w:val="11"/>
          </w:tcPr>
          <w:p>
            <w:pPr>
              <w:ind w:left="454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24">
        <w:r>
          <w:rPr>
            <w:rFonts w:ascii="Times New Roman" w:cs="Times New Roman" w:eastAsia="Times New Roman" w:hAnsi="Times New Roman"/>
            <w:sz w:val="18"/>
            <w:szCs w:val="18"/>
            <w:u w:val="single" w:color="auto"/>
            <w:color w:val="0000FF"/>
          </w:rPr>
          <w:t>Form of Restricted Stock Agreement under the Apogee Enterprises, Inc. 2009 Stock Incentive Plan for awards made on or after April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5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2011. Incorporated by reference to Exhibit 10.3 to Registrant's Current Report on Form 8-K filed on May 2, 2011.</w:t>
        </w:r>
      </w:hyperlink>
    </w:p>
    <w:p>
      <w:pPr>
        <w:spacing w:after="0" w:line="16"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26">
        <w:r>
          <w:rPr>
            <w:rFonts w:ascii="Times New Roman" w:cs="Times New Roman" w:eastAsia="Times New Roman" w:hAnsi="Times New Roman"/>
            <w:sz w:val="18"/>
            <w:szCs w:val="18"/>
            <w:u w:val="single" w:color="auto"/>
            <w:color w:val="0000FF"/>
          </w:rPr>
          <w:t>Apogee Enterprises, Inc. 2011 Deferred Compensation Plan, effective January 1, 2011.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Registrant's Current Report on Form 8-K filed on October 12, 2010.</w:t>
        </w:r>
      </w:hyperlink>
    </w:p>
    <w:p>
      <w:pPr>
        <w:spacing w:after="0" w:line="10"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27">
        <w:r>
          <w:rPr>
            <w:rFonts w:ascii="Times New Roman" w:cs="Times New Roman" w:eastAsia="Times New Roman" w:hAnsi="Times New Roman"/>
            <w:sz w:val="18"/>
            <w:szCs w:val="18"/>
            <w:u w:val="single" w:color="auto"/>
            <w:color w:val="0000FF"/>
          </w:rPr>
          <w:t>First Amendment to the Apogee Enterprises, Inc. 2011 Deferred Compensation Plan.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Registrant's Current Report on Form 8-K filed July 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29">
        <w:r>
          <w:rPr>
            <w:rFonts w:ascii="Times New Roman" w:cs="Times New Roman" w:eastAsia="Times New Roman" w:hAnsi="Times New Roman"/>
            <w:sz w:val="18"/>
            <w:szCs w:val="18"/>
            <w:u w:val="single" w:color="auto"/>
            <w:color w:val="0000FF"/>
          </w:rPr>
          <w:t>Second Amendment to the Apogee Enterprises, Inc. 2011 Deferred Compensation Plan. Incorporated herein by reference to Exhibit 10.2 to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Registrant’s Current Report on Form 8-K filed on June 29, 2016.</w:t>
        </w:r>
      </w:hyperlink>
    </w:p>
    <w:p>
      <w:pPr>
        <w:spacing w:after="0" w:line="10"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30">
        <w:r>
          <w:rPr>
            <w:rFonts w:ascii="Times New Roman" w:cs="Times New Roman" w:eastAsia="Times New Roman" w:hAnsi="Times New Roman"/>
            <w:sz w:val="18"/>
            <w:szCs w:val="18"/>
            <w:u w:val="single" w:color="auto"/>
            <w:color w:val="0000FF"/>
          </w:rPr>
          <w:t>Third Amendment to the Apogee Enterprises, Inc. 2011 Deferred Compensation Plan, dated October 5, 2017. Incorporated by reference to</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Exhibit 10.1 to the Registrant's Current Report on Form 8-K filed on October 10,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32">
        <w:r>
          <w:rPr>
            <w:rFonts w:ascii="Times New Roman" w:cs="Times New Roman" w:eastAsia="Times New Roman" w:hAnsi="Times New Roman"/>
            <w:sz w:val="18"/>
            <w:szCs w:val="18"/>
            <w:u w:val="single" w:color="auto"/>
            <w:color w:val="0000FF"/>
          </w:rPr>
          <w:t>Fourth Amendment to the Apogee Enterprises, Inc. 2011 Deferred Compensation Plan, dated June 28, 2018. Incorporated by reference to</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Exhibit 10.2 to Registrant's Current Report on Form 8-K filed on July 3, 2018.</w:t>
        </w:r>
      </w:hyperlink>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33">
        <w:r>
          <w:rPr>
            <w:rFonts w:ascii="Times New Roman" w:cs="Times New Roman" w:eastAsia="Times New Roman" w:hAnsi="Times New Roman"/>
            <w:sz w:val="18"/>
            <w:szCs w:val="18"/>
            <w:u w:val="single" w:color="auto"/>
            <w:color w:val="0000FF"/>
          </w:rPr>
          <w:t>Fifth Amendment to the Apogee Enterprises, Inc. Deferred Incentive Compensation Plan (2005 Restatement), dated June 26,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Incorporated by reference to Exhibit 10.2 to Registrant's Current Report on Form 8-K filed on June 27, 2023.</w:t>
        </w:r>
      </w:hyperlink>
    </w:p>
    <w:p>
      <w:pPr>
        <w:spacing w:after="0" w:line="5" w:lineRule="exact"/>
        <w:rPr>
          <w:sz w:val="20"/>
          <w:szCs w:val="20"/>
          <w:color w:val="auto"/>
        </w:rPr>
      </w:pPr>
    </w:p>
    <w:p>
      <w:pPr>
        <w:ind w:left="4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35">
        <w:r>
          <w:rPr>
            <w:rFonts w:ascii="Times New Roman" w:cs="Times New Roman" w:eastAsia="Times New Roman" w:hAnsi="Times New Roman"/>
            <w:sz w:val="18"/>
            <w:szCs w:val="18"/>
            <w:u w:val="single" w:color="auto"/>
            <w:color w:val="0000FF"/>
          </w:rPr>
          <w:t>Form of Change-in-Control Severance Agreement. Incorporated herein by reference to Exhibit 10.38 to Registrant's Annual Report on Form</w:t>
        </w:r>
      </w:hyperlink>
    </w:p>
    <w:p>
      <w:pPr>
        <w:ind w:left="100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10-K filed on April 30, 2018.</w:t>
        </w:r>
      </w:hyperlink>
    </w:p>
    <w:p>
      <w:pPr>
        <w:spacing w:after="0" w:line="16" w:lineRule="exact"/>
        <w:rPr>
          <w:sz w:val="20"/>
          <w:szCs w:val="20"/>
          <w:color w:val="auto"/>
        </w:rPr>
      </w:pPr>
    </w:p>
    <w:p>
      <w:pPr>
        <w:ind w:left="1000" w:right="2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36">
        <w:r>
          <w:rPr>
            <w:rFonts w:ascii="Times New Roman" w:cs="Times New Roman" w:eastAsia="Times New Roman" w:hAnsi="Times New Roman"/>
            <w:sz w:val="18"/>
            <w:szCs w:val="18"/>
            <w:u w:val="single" w:color="auto"/>
            <w:color w:val="0000FF"/>
          </w:rPr>
          <w:t>Apogee Enterprises, Inc. 2019 Non-Employee Director Stock Plan. Incorporated by reference to Exhibit 4.6 to Registrant's Registration</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Statement on Form S-8 filed on February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38">
        <w:r>
          <w:rPr>
            <w:rFonts w:ascii="Times New Roman" w:cs="Times New Roman" w:eastAsia="Times New Roman" w:hAnsi="Times New Roman"/>
            <w:sz w:val="18"/>
            <w:szCs w:val="18"/>
            <w:u w:val="single" w:color="auto"/>
            <w:color w:val="0000FF"/>
          </w:rPr>
          <w:t>Apogee Enterprises, Inc. 2019 Stock Incentive Plan. Incorporated by reference to Exhibit 4.5 to Registrant's Registration Statement on Form</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S-8 filed on February 12, 2020.</w:t>
        </w:r>
      </w:hyperlink>
    </w:p>
    <w:p>
      <w:pPr>
        <w:spacing w:after="0" w:line="10"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39">
        <w:r>
          <w:rPr>
            <w:rFonts w:ascii="Times New Roman" w:cs="Times New Roman" w:eastAsia="Times New Roman" w:hAnsi="Times New Roman"/>
            <w:sz w:val="18"/>
            <w:szCs w:val="18"/>
            <w:u w:val="single" w:color="auto"/>
            <w:color w:val="0000FF"/>
          </w:rPr>
          <w:t>Form of Restricted Stock Agreement under the Apogee Enterprises, Inc. 2019 Stock Plan.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Registrant’s Current Report on Form 8-K filed on January 16,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41">
        <w:r>
          <w:rPr>
            <w:rFonts w:ascii="Times New Roman" w:cs="Times New Roman" w:eastAsia="Times New Roman" w:hAnsi="Times New Roman"/>
            <w:sz w:val="18"/>
            <w:szCs w:val="18"/>
            <w:u w:val="single" w:color="auto"/>
            <w:color w:val="0000FF"/>
          </w:rPr>
          <w:t>Form of Stock Option Agreement under the Apogee Enterprises, Inc. 2019 Stock Incentive Plan.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Registrant's Current Report on Form 8-K filed on July 7, 2020.</w:t>
        </w:r>
      </w:hyperlink>
    </w:p>
    <w:p>
      <w:pPr>
        <w:spacing w:after="0" w:line="10"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42">
        <w:r>
          <w:rPr>
            <w:rFonts w:ascii="Times New Roman" w:cs="Times New Roman" w:eastAsia="Times New Roman" w:hAnsi="Times New Roman"/>
            <w:sz w:val="18"/>
            <w:szCs w:val="18"/>
            <w:u w:val="single" w:color="auto"/>
            <w:color w:val="0000FF"/>
          </w:rPr>
          <w:t>Apogee Enterprises, Inc. 2019 Stock Incentive Plan, as Amended and Restated (2021). Incorporated by reference to Exhibit 4.5 to Apogee’s</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Registration Statement on Form S-8 filed on June 25,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44">
        <w:r>
          <w:rPr>
            <w:rFonts w:ascii="Times New Roman" w:cs="Times New Roman" w:eastAsia="Times New Roman" w:hAnsi="Times New Roman"/>
            <w:sz w:val="18"/>
            <w:szCs w:val="18"/>
            <w:u w:val="single" w:color="auto"/>
            <w:color w:val="0000FF"/>
          </w:rPr>
          <w:t>Amended Form of Restricted Stock Agreement under the Apogee Enterprises, Inc. 2019 Stock Incentive Plan, as Amended and Restated</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(2021). Incorporated by reference to Exhibit 10.2 to Registrant's Current Report on Form 8-K filed on May 7, 2024.</w:t>
        </w:r>
      </w:hyperlink>
    </w:p>
    <w:p>
      <w:pPr>
        <w:spacing w:after="0" w:line="16"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45">
        <w:r>
          <w:rPr>
            <w:rFonts w:ascii="Times New Roman" w:cs="Times New Roman" w:eastAsia="Times New Roman" w:hAnsi="Times New Roman"/>
            <w:sz w:val="18"/>
            <w:szCs w:val="18"/>
            <w:u w:val="single" w:color="auto"/>
            <w:color w:val="0000FF"/>
          </w:rPr>
          <w:t>Amended Form of Restricted Stock Unit Agreement under the Apogee Enterprises, Inc. 2019 Stock Incentive Plan, as Amended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Restated (2021). Incorporated by reference to Exhibit 10.3 to Registrant's Current Report on Form 8-K filed on May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hanging="957"/>
        <w:spacing w:after="0" w:line="237" w:lineRule="auto"/>
        <w:tabs>
          <w:tab w:leader="none" w:pos="9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10.26*</w:t>
      </w:r>
      <w:r>
        <w:rPr>
          <w:sz w:val="20"/>
          <w:szCs w:val="20"/>
          <w:color w:val="auto"/>
        </w:rPr>
        <w:tab/>
      </w:r>
      <w:hyperlink r:id="rId147">
        <w:r>
          <w:rPr>
            <w:rFonts w:ascii="Times New Roman" w:cs="Times New Roman" w:eastAsia="Times New Roman" w:hAnsi="Times New Roman"/>
            <w:sz w:val="18"/>
            <w:szCs w:val="18"/>
            <w:u w:val="single" w:color="auto"/>
            <w:color w:val="0000FF"/>
          </w:rPr>
          <w:t>Executive Equity Deferral Program Under the Apogee Enterprises, Inc. 2019 Stock Incentive Plan dated May 1, 2024. Incorporated by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reference to Exhibit 10.7 to Registrant's Current Report on Form 8-K filed on May 7, 2024</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48">
        <w:r>
          <w:rPr>
            <w:rFonts w:ascii="Times New Roman" w:cs="Times New Roman" w:eastAsia="Times New Roman" w:hAnsi="Times New Roman"/>
            <w:sz w:val="18"/>
            <w:szCs w:val="18"/>
            <w:u w:val="single" w:color="auto"/>
            <w:color w:val="0000FF"/>
          </w:rPr>
          <w:t>Apogee Enterprises, Inc. 2019 Non-Employee Stock Plan, as Amended and Restated (2024). Incorporated by reference to Exhibit 4.5 to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Apogee's Registration Statement on Form S-8 filed on June 20,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50">
        <w:r>
          <w:rPr>
            <w:rFonts w:ascii="Times New Roman" w:cs="Times New Roman" w:eastAsia="Times New Roman" w:hAnsi="Times New Roman"/>
            <w:sz w:val="18"/>
            <w:szCs w:val="18"/>
            <w:u w:val="single" w:color="auto"/>
            <w:color w:val="0000FF"/>
          </w:rPr>
          <w:t>Form of Restricted Stock Agreement under the Apogee Enterprises, Inc. 2019 Non-Employee Director Stock Plan. Incorporated by reference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to Exhibit 10.2 to Registrant’s Current Report on Form 8-K filed on January 16, 2020.</w:t>
        </w:r>
      </w:hyperlink>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51">
        <w:r>
          <w:rPr>
            <w:rFonts w:ascii="Times New Roman" w:cs="Times New Roman" w:eastAsia="Times New Roman" w:hAnsi="Times New Roman"/>
            <w:sz w:val="18"/>
            <w:szCs w:val="18"/>
            <w:u w:val="single" w:color="auto"/>
            <w:color w:val="0000FF"/>
          </w:rPr>
          <w:t>Form of Deferred Restricted Stock Unit Agreement under the Apogee Enterprises, Inc. 2019 Non-Employee Director Stock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Incorporated by reference to Exhibit 10.3 to Registrant’s Current Report on Form 8-K filed on January 16, 2020.</w:t>
        </w:r>
      </w:hyperlink>
    </w:p>
    <w:p>
      <w:pPr>
        <w:spacing w:after="0" w:line="16"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53">
        <w:r>
          <w:rPr>
            <w:rFonts w:ascii="Times New Roman" w:cs="Times New Roman" w:eastAsia="Times New Roman" w:hAnsi="Times New Roman"/>
            <w:sz w:val="18"/>
            <w:szCs w:val="18"/>
            <w:u w:val="single" w:color="auto"/>
            <w:color w:val="0000FF"/>
          </w:rPr>
          <w:t>Restricted Stock Deferral Program Under the Apogee Enterprises, Inc. 2019 Non-Employee Director Stock Incentive Plan. Incorporated by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reference to Exhibit 10.1 to Registrant's Current Report on Form 8-K filed on April 29, 2020.</w:t>
        </w:r>
      </w:hyperlink>
    </w:p>
    <w:p>
      <w:pPr>
        <w:spacing w:after="0" w:line="10"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54">
        <w:r>
          <w:rPr>
            <w:rFonts w:ascii="Times New Roman" w:cs="Times New Roman" w:eastAsia="Times New Roman" w:hAnsi="Times New Roman"/>
            <w:sz w:val="18"/>
            <w:szCs w:val="18"/>
            <w:u w:val="single" w:color="auto"/>
            <w:color w:val="0000FF"/>
          </w:rPr>
          <w:t>Form of Restricted Stock Unit Agreement under the Apogee Enterprises, Inc. 2019 Non-Employee Director Stock Plan. Incorporated by</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reference to Exhibit 10.2 to Registrant's Current Report on Form 8-K filed on April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right="2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56">
        <w:r>
          <w:rPr>
            <w:rFonts w:ascii="Times New Roman" w:cs="Times New Roman" w:eastAsia="Times New Roman" w:hAnsi="Times New Roman"/>
            <w:sz w:val="18"/>
            <w:szCs w:val="18"/>
            <w:u w:val="single" w:color="auto"/>
            <w:color w:val="0000FF"/>
          </w:rPr>
          <w:t>Form of CEO Evaluation-Based Incentive Agreement. Incorporated by reference to Exhibit 10.2 to Registrant’s Current Report on Form 8-K</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filed on April 30, 2019.</w:t>
        </w:r>
      </w:hyperlink>
    </w:p>
    <w:p>
      <w:pPr>
        <w:spacing w:after="0" w:line="10"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57">
        <w:r>
          <w:rPr>
            <w:rFonts w:ascii="Times New Roman" w:cs="Times New Roman" w:eastAsia="Times New Roman" w:hAnsi="Times New Roman"/>
            <w:sz w:val="18"/>
            <w:szCs w:val="18"/>
            <w:u w:val="single" w:color="auto"/>
            <w:color w:val="0000FF"/>
          </w:rPr>
          <w:t>Form of Annual Cash Incentive Award Agreement. Incorporated by reference to Exhibit 10.2 to Registrant's Current Report on Form 8-K</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filed on July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59">
        <w:r>
          <w:rPr>
            <w:rFonts w:ascii="Times New Roman" w:cs="Times New Roman" w:eastAsia="Times New Roman" w:hAnsi="Times New Roman"/>
            <w:sz w:val="18"/>
            <w:szCs w:val="18"/>
            <w:u w:val="single" w:color="auto"/>
            <w:color w:val="0000FF"/>
          </w:rPr>
          <w:t>Employment Agreement between Apogee Enterprises, Inc. and Ty R. Silberhorn, dated December 15, 2020. Incorporated by reference to</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Exhibit 10.1 to Registrant’s Current Report on Form 8-K filed on December 21, 2020.</w:t>
        </w:r>
      </w:hyperlink>
    </w:p>
    <w:p>
      <w:pPr>
        <w:spacing w:after="0" w:line="10" w:lineRule="exact"/>
        <w:rPr>
          <w:sz w:val="20"/>
          <w:szCs w:val="20"/>
          <w:color w:val="auto"/>
        </w:rPr>
      </w:pPr>
    </w:p>
    <w:p>
      <w:pPr>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60">
        <w:r>
          <w:rPr>
            <w:rFonts w:ascii="Times New Roman" w:cs="Times New Roman" w:eastAsia="Times New Roman" w:hAnsi="Times New Roman"/>
            <w:sz w:val="18"/>
            <w:szCs w:val="18"/>
            <w:u w:val="single" w:color="auto"/>
            <w:color w:val="0000FF"/>
          </w:rPr>
          <w:t>Form of Restricted Stock Award Agreement entered into by Apogee Enterprises, Inc. and Ty R. Silberhorn on January 4, 2021. Incorporated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by reference to Exhibit 10.2 to Registrant’s Current Report on Form 8-K filed on December 21,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62">
        <w:r>
          <w:rPr>
            <w:rFonts w:ascii="Times New Roman" w:cs="Times New Roman" w:eastAsia="Times New Roman" w:hAnsi="Times New Roman"/>
            <w:sz w:val="18"/>
            <w:szCs w:val="18"/>
            <w:u w:val="single" w:color="auto"/>
            <w:color w:val="0000FF"/>
          </w:rPr>
          <w:t>Form of Restricted Stock Agreement. Incorporated by reference to Exhibit 10.1 to Registrant's Current Report on Form 8-K filed on April</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26, 2021.</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10.37*</w:t>
            </w:r>
          </w:p>
        </w:tc>
        <w:tc>
          <w:tcPr>
            <w:tcW w:w="10480" w:type="dxa"/>
            <w:vAlign w:val="bottom"/>
            <w:gridSpan w:val="32"/>
            <w:shd w:val="clear" w:color="auto" w:fill="CCEEFF"/>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Performance Award Agreement. Incorporated by reference to Exhibit 10.2 to Registrant's Current Report on Form 8-K filed on April</w:t>
              </w:r>
            </w:hyperlink>
          </w:p>
        </w:tc>
      </w:tr>
      <w:tr>
        <w:trPr>
          <w:trHeight w:val="190"/>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0000FF"/>
              <w:bottom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26, 2021.</w:t>
              </w:r>
            </w:hyperlink>
          </w:p>
        </w:tc>
        <w:tc>
          <w:tcPr>
            <w:tcW w:w="640" w:type="dxa"/>
            <w:vAlign w:val="bottom"/>
            <w:tcBorders>
              <w:top w:val="single" w:sz="8" w:color="0000FF"/>
              <w:bottom w:val="single" w:sz="8" w:color="CCEEFF"/>
            </w:tcBorders>
            <w:shd w:val="clear" w:color="auto" w:fill="CCEEFF"/>
          </w:tcPr>
          <w:p>
            <w:pPr>
              <w:spacing w:after="0"/>
              <w:rPr>
                <w:sz w:val="16"/>
                <w:szCs w:val="16"/>
                <w:color w:val="auto"/>
              </w:rPr>
            </w:pPr>
          </w:p>
        </w:tc>
        <w:tc>
          <w:tcPr>
            <w:tcW w:w="86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62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12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236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4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10.38*</w:t>
            </w:r>
          </w:p>
        </w:tc>
        <w:tc>
          <w:tcPr>
            <w:tcW w:w="10480" w:type="dxa"/>
            <w:vAlign w:val="bottom"/>
            <w:gridSpan w:val="32"/>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Executive Short-Term Incentive Plan Memorandum. Incorporated by reference to Exhibit 10.3 to Registrant's Current Report on</w:t>
              </w:r>
            </w:hyperlink>
          </w:p>
        </w:tc>
      </w:tr>
      <w:tr>
        <w:trPr>
          <w:trHeight w:val="155"/>
        </w:trPr>
        <w:tc>
          <w:tcPr>
            <w:tcW w:w="960" w:type="dxa"/>
            <w:vAlign w:val="bottom"/>
          </w:tcPr>
          <w:p>
            <w:pPr>
              <w:spacing w:after="0"/>
              <w:rPr>
                <w:sz w:val="13"/>
                <w:szCs w:val="13"/>
                <w:color w:val="auto"/>
              </w:rPr>
            </w:pPr>
          </w:p>
        </w:tc>
        <w:tc>
          <w:tcPr>
            <w:tcW w:w="104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8-K filed on April 26,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10.39*</w:t>
            </w:r>
          </w:p>
        </w:tc>
        <w:tc>
          <w:tcPr>
            <w:tcW w:w="1048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Executive Short-Term Incentive Plan Terms and Conditions. Incorporated by reference to Exhibit 10.4 to Registrant's Current Report on</w:t>
              </w:r>
            </w:hyperlink>
          </w:p>
        </w:tc>
      </w:tr>
      <w:tr>
        <w:trPr>
          <w:trHeight w:val="156"/>
        </w:trPr>
        <w:tc>
          <w:tcPr>
            <w:tcW w:w="96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8-K filed on April 26,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10.40*</w:t>
            </w:r>
          </w:p>
        </w:tc>
        <w:tc>
          <w:tcPr>
            <w:tcW w:w="10480" w:type="dxa"/>
            <w:vAlign w:val="bottom"/>
            <w:gridSpan w:val="32"/>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Offer Letter dated March 2, 2023 between Apogee Enterprises, Inc. and Matthew J. Osberg. Incorporated by reference to Exhibit 10.1 to</w:t>
              </w:r>
            </w:hyperlink>
          </w:p>
        </w:tc>
      </w:tr>
      <w:tr>
        <w:trPr>
          <w:trHeight w:val="156"/>
        </w:trPr>
        <w:tc>
          <w:tcPr>
            <w:tcW w:w="960" w:type="dxa"/>
            <w:vAlign w:val="bottom"/>
          </w:tcPr>
          <w:p>
            <w:pPr>
              <w:spacing w:after="0"/>
              <w:rPr>
                <w:sz w:val="13"/>
                <w:szCs w:val="13"/>
                <w:color w:val="auto"/>
              </w:rPr>
            </w:pPr>
          </w:p>
        </w:tc>
        <w:tc>
          <w:tcPr>
            <w:tcW w:w="103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Registrant's Current Report on Form 8-K filed on March 8,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10.41</w:t>
            </w:r>
          </w:p>
        </w:tc>
        <w:tc>
          <w:tcPr>
            <w:tcW w:w="1048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Third Amended and Restated Credit Agreement, dated as of June 25, 2019, by and among Apogee Enterprises, Inc., as the Borrower, the</w:t>
              </w:r>
            </w:hyperlink>
          </w:p>
        </w:tc>
      </w:tr>
      <w:tr>
        <w:trPr>
          <w:trHeight w:val="156"/>
        </w:trPr>
        <w:tc>
          <w:tcPr>
            <w:tcW w:w="96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Lenders referred to therein, Wells Fargo Bank, National Association, as Administrative Agent, Swingline Lender and Issuing Lender, and</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960" w:type="dxa"/>
            <w:vAlign w:val="bottom"/>
            <w:tcBorders>
              <w:top w:val="single" w:sz="8" w:color="CCEEFF"/>
            </w:tcBorders>
            <w:shd w:val="clear" w:color="auto" w:fill="CCEEFF"/>
          </w:tcPr>
          <w:p>
            <w:pPr>
              <w:spacing w:after="0"/>
              <w:rPr>
                <w:sz w:val="13"/>
                <w:szCs w:val="13"/>
                <w:color w:val="auto"/>
              </w:rPr>
            </w:pPr>
          </w:p>
        </w:tc>
        <w:tc>
          <w:tcPr>
            <w:tcW w:w="1040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U.S. Bank National Association, as Syndication Agent and Issuing Lender. Incorporated by reference to Exhibit 10.1 to Registrant’s Current</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0"/>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318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Report on Form 8-K filed on June 28, 2019.</w:t>
              </w:r>
            </w:hyperlink>
          </w:p>
        </w:tc>
        <w:tc>
          <w:tcPr>
            <w:tcW w:w="716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10.42</w:t>
            </w:r>
          </w:p>
        </w:tc>
        <w:tc>
          <w:tcPr>
            <w:tcW w:w="10480" w:type="dxa"/>
            <w:vAlign w:val="bottom"/>
            <w:gridSpan w:val="32"/>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Amendment No. 1 to Third Amended and Restated Credit Agreement dated as of June 25, 2019, by and among Apogee Enterprises, Inc., as</w:t>
              </w:r>
            </w:hyperlink>
          </w:p>
        </w:tc>
      </w:tr>
      <w:tr>
        <w:trPr>
          <w:trHeight w:val="155"/>
        </w:trPr>
        <w:tc>
          <w:tcPr>
            <w:tcW w:w="960" w:type="dxa"/>
            <w:vAlign w:val="bottom"/>
          </w:tcPr>
          <w:p>
            <w:pPr>
              <w:spacing w:after="0"/>
              <w:rPr>
                <w:sz w:val="13"/>
                <w:szCs w:val="13"/>
                <w:color w:val="auto"/>
              </w:rPr>
            </w:pPr>
          </w:p>
        </w:tc>
        <w:tc>
          <w:tcPr>
            <w:tcW w:w="102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Borrower, the Lenders referred to therein, Wells Fargo Bank, National Association, as Administrative Agent, Swingline Lender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Issuing Lender, and U.S. Bank National Association, as Syndication Agent and Issuing Lender. Incorporated by reference to Exhibit 10.1 to</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10440" w:type="dxa"/>
            <w:vAlign w:val="bottom"/>
            <w:gridSpan w:val="30"/>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Registrant’s Current Report on Form 8-K filed on April 10, 2020.</w:t>
              </w:r>
            </w:hyperlink>
          </w:p>
        </w:tc>
        <w:tc>
          <w:tcPr>
            <w:tcW w:w="40" w:type="dxa"/>
            <w:vAlign w:val="bottom"/>
            <w:gridSpan w:val="2"/>
          </w:tcPr>
          <w:p>
            <w:pPr>
              <w:spacing w:after="0"/>
              <w:rPr>
                <w:sz w:val="14"/>
                <w:szCs w:val="14"/>
                <w:color w:val="auto"/>
              </w:rPr>
            </w:pPr>
          </w:p>
        </w:tc>
      </w:tr>
      <w:tr>
        <w:trPr>
          <w:trHeight w:val="21"/>
        </w:trPr>
        <w:tc>
          <w:tcPr>
            <w:tcW w:w="9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10.43</w:t>
            </w:r>
          </w:p>
        </w:tc>
        <w:tc>
          <w:tcPr>
            <w:tcW w:w="1048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Amendment No. 2 to Third Amended and Restated Credit Agreement dated as of November 6, 2020, by and among Apogee Enterprises,</w:t>
              </w:r>
            </w:hyperlink>
          </w:p>
        </w:tc>
      </w:tr>
      <w:tr>
        <w:trPr>
          <w:trHeight w:val="155"/>
        </w:trPr>
        <w:tc>
          <w:tcPr>
            <w:tcW w:w="96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 as the Borrower, the Lenders referred to therein, Wells Fargo Bank, National Association, as Administrative Agent, Swingline Lender</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155"/>
        </w:trPr>
        <w:tc>
          <w:tcPr>
            <w:tcW w:w="960" w:type="dxa"/>
            <w:vAlign w:val="bottom"/>
            <w:tcBorders>
              <w:top w:val="single" w:sz="8" w:color="CCEEFF"/>
            </w:tcBorders>
            <w:shd w:val="clear" w:color="auto" w:fill="CCEEFF"/>
          </w:tcPr>
          <w:p>
            <w:pPr>
              <w:spacing w:after="0"/>
              <w:rPr>
                <w:sz w:val="13"/>
                <w:szCs w:val="13"/>
                <w:color w:val="auto"/>
              </w:rPr>
            </w:pPr>
          </w:p>
        </w:tc>
        <w:tc>
          <w:tcPr>
            <w:tcW w:w="10420" w:type="dxa"/>
            <w:vAlign w:val="bottom"/>
            <w:tcBorders>
              <w:top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and Issuing Lender, and U.S. Bank National Association, as Syndication Agent and Issuing Lender. Incorporated by reference to Exhibit 10.1</w:t>
              </w:r>
            </w:hyperlink>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90"/>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5560" w:type="dxa"/>
            <w:vAlign w:val="bottom"/>
            <w:tcBorders>
              <w:top w:val="single" w:sz="8" w:color="0000FF"/>
              <w:bottom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to the Registrant’s Current Report on Form 8-K filed on November 10, 2020.</w:t>
              </w:r>
            </w:hyperlink>
          </w:p>
        </w:tc>
        <w:tc>
          <w:tcPr>
            <w:tcW w:w="482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10.44</w:t>
            </w:r>
          </w:p>
        </w:tc>
        <w:tc>
          <w:tcPr>
            <w:tcW w:w="10480" w:type="dxa"/>
            <w:vAlign w:val="bottom"/>
            <w:gridSpan w:val="32"/>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Amendment No. 3 to Third Amended and Restated Credit Agreement dated as of August 5, 2022, by and among Apogee Enterprises, Inc., as</w:t>
              </w:r>
            </w:hyperlink>
          </w:p>
        </w:tc>
      </w:tr>
      <w:tr>
        <w:trPr>
          <w:trHeight w:val="156"/>
        </w:trPr>
        <w:tc>
          <w:tcPr>
            <w:tcW w:w="960" w:type="dxa"/>
            <w:vAlign w:val="bottom"/>
          </w:tcPr>
          <w:p>
            <w:pPr>
              <w:spacing w:after="0"/>
              <w:rPr>
                <w:sz w:val="13"/>
                <w:szCs w:val="13"/>
                <w:color w:val="auto"/>
              </w:rPr>
            </w:pPr>
          </w:p>
        </w:tc>
        <w:tc>
          <w:tcPr>
            <w:tcW w:w="102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the Borrower, the Lenders referred to therein, Wells Fargo Bank, National Association, as Administrative Agent, Swingline Lender and</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Issuing Lender, and U.S. Bank National Association, as Syndication Agent and Issuing Lender. Incorporated by reference to Exhibit 10.1 to</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104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the Registrant’s Current Report on Form 8-K filed on August 5, 2022.</w:t>
              </w:r>
            </w:hyperlink>
          </w:p>
        </w:tc>
        <w:tc>
          <w:tcPr>
            <w:tcW w:w="40" w:type="dxa"/>
            <w:vAlign w:val="bottom"/>
            <w:gridSpan w:val="2"/>
          </w:tcPr>
          <w:p>
            <w:pPr>
              <w:spacing w:after="0"/>
              <w:rPr>
                <w:sz w:val="14"/>
                <w:szCs w:val="14"/>
                <w:color w:val="auto"/>
              </w:rPr>
            </w:pPr>
          </w:p>
        </w:tc>
      </w:tr>
      <w:tr>
        <w:trPr>
          <w:trHeight w:val="21"/>
        </w:trPr>
        <w:tc>
          <w:tcPr>
            <w:tcW w:w="9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10.45</w:t>
            </w:r>
          </w:p>
        </w:tc>
        <w:tc>
          <w:tcPr>
            <w:tcW w:w="1048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Credit Agreement dated July 19, 2024 between Apogee Enterprises, Inc., certain material domestic subsidiaries of the Company as</w:t>
              </w:r>
            </w:hyperlink>
          </w:p>
        </w:tc>
      </w:tr>
      <w:tr>
        <w:trPr>
          <w:trHeight w:val="156"/>
        </w:trPr>
        <w:tc>
          <w:tcPr>
            <w:tcW w:w="96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guarantors, Bank of America, N.A., as administrative agent, swingline lender and L/C issuer and the syndicate of lenders which are party</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189"/>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002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thereto from time to time. Incorporated by reference to Exhibit 10.1 to the Registrant’s Current Report on Form 8-K filed on July 25, 2024.</w:t>
              </w:r>
            </w:hyperlink>
          </w:p>
        </w:tc>
        <w:tc>
          <w:tcPr>
            <w:tcW w:w="44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104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Apogee Enterprises, Inc. Insider Trading Policy.</w:t>
            </w:r>
          </w:p>
        </w:tc>
      </w:tr>
      <w:tr>
        <w:trPr>
          <w:trHeight w:val="21"/>
        </w:trPr>
        <w:tc>
          <w:tcPr>
            <w:tcW w:w="9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218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Subsidiaries of the Registrant.</w:t>
            </w:r>
          </w:p>
        </w:tc>
        <w:tc>
          <w:tcPr>
            <w:tcW w:w="8300" w:type="dxa"/>
            <w:vAlign w:val="bottom"/>
            <w:tcBorders>
              <w:bottom w:val="single" w:sz="8" w:color="CCEEFF"/>
            </w:tcBorders>
            <w:gridSpan w:val="27"/>
            <w:shd w:val="clear" w:color="auto" w:fill="CCEEFF"/>
          </w:tcPr>
          <w:p>
            <w:pPr>
              <w:spacing w:after="0"/>
              <w:rPr>
                <w:sz w:val="18"/>
                <w:szCs w:val="18"/>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104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9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98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2500" w:type="dxa"/>
            <w:vAlign w:val="bottom"/>
            <w:tcBorders>
              <w:bottom w:val="single" w:sz="8" w:color="CCEEFF"/>
            </w:tcBorders>
            <w:gridSpan w:val="17"/>
            <w:shd w:val="clear" w:color="auto" w:fill="CCEEFF"/>
          </w:tcPr>
          <w:p>
            <w:pPr>
              <w:spacing w:after="0"/>
              <w:rPr>
                <w:sz w:val="18"/>
                <w:szCs w:val="18"/>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4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21"/>
        </w:trPr>
        <w:tc>
          <w:tcPr>
            <w:tcW w:w="9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48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55"/>
        </w:trPr>
        <w:tc>
          <w:tcPr>
            <w:tcW w:w="960" w:type="dxa"/>
            <w:vAlign w:val="bottom"/>
            <w:tcBorders>
              <w:top w:val="single" w:sz="8" w:color="CCEEFF"/>
            </w:tcBorders>
            <w:shd w:val="clear" w:color="auto" w:fill="CCEEFF"/>
          </w:tcPr>
          <w:p>
            <w:pPr>
              <w:spacing w:after="0"/>
              <w:rPr>
                <w:sz w:val="13"/>
                <w:szCs w:val="13"/>
                <w:color w:val="auto"/>
              </w:rPr>
            </w:pPr>
          </w:p>
        </w:tc>
        <w:tc>
          <w:tcPr>
            <w:tcW w:w="10320" w:type="dxa"/>
            <w:vAlign w:val="bottom"/>
            <w:tcBorders>
              <w:top w:val="single" w:sz="8" w:color="0000FF"/>
            </w:tcBorders>
            <w:gridSpan w:val="2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4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 of</w:t>
            </w:r>
          </w:p>
        </w:tc>
      </w:tr>
      <w:tr>
        <w:trPr>
          <w:trHeight w:val="156"/>
        </w:trPr>
        <w:tc>
          <w:tcPr>
            <w:tcW w:w="960" w:type="dxa"/>
            <w:vAlign w:val="bottom"/>
          </w:tcPr>
          <w:p>
            <w:pPr>
              <w:spacing w:after="0"/>
              <w:rPr>
                <w:sz w:val="13"/>
                <w:szCs w:val="13"/>
                <w:color w:val="auto"/>
              </w:rPr>
            </w:pPr>
          </w:p>
        </w:tc>
        <w:tc>
          <w:tcPr>
            <w:tcW w:w="60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2002.</w:t>
            </w:r>
          </w:p>
        </w:tc>
        <w:tc>
          <w:tcPr>
            <w:tcW w:w="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048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Incentive Compensation Recovery Policy. Incorporated by reference to Exhibit 97.1 to the Registrant’s Current Report on Form 10-K filed</w:t>
              </w:r>
            </w:hyperlink>
          </w:p>
        </w:tc>
      </w:tr>
      <w:tr>
        <w:trPr>
          <w:trHeight w:val="155"/>
        </w:trPr>
        <w:tc>
          <w:tcPr>
            <w:tcW w:w="96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on April 26, 2024.</w:t>
              </w:r>
            </w:hyperlink>
          </w:p>
        </w:tc>
        <w:tc>
          <w:tcPr>
            <w:tcW w:w="280" w:type="dxa"/>
            <w:vAlign w:val="bottom"/>
            <w:tcBorders>
              <w:top w:val="single" w:sz="8" w:color="CCEEFF"/>
            </w:tcBorders>
            <w:gridSpan w:val="14"/>
            <w:shd w:val="clear" w:color="auto" w:fill="CCEEFF"/>
          </w:tcPr>
          <w:p>
            <w:pPr>
              <w:spacing w:after="0"/>
              <w:rPr>
                <w:sz w:val="13"/>
                <w:szCs w:val="13"/>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jc w:val="both"/>
        <w:ind w:left="1000" w:right="20" w:hanging="954"/>
        <w:spacing w:after="0" w:line="21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Annual Report on Form 10-K for the year ended March 1, 2025 are furnished herewith, formatted in iXBRL (Inline Extensible Business Reporting Language): (i) the Consolidated Balance Sheets as of March 1, 2025 and March 2, 2024, (ii) the Consolidated Results of Operations for the three years ended March 1, 2025, March 2, 2024 and February 25, 2023, (iii) the Consolidated Statements of Comprehensive Earnings for the three years March 1, 2025, March 2, 2024 and February 25, 2023,</w:t>
      </w:r>
    </w:p>
    <w:p>
      <w:pPr>
        <w:spacing w:after="0" w:line="2" w:lineRule="exact"/>
        <w:rPr>
          <w:rFonts w:ascii="Times New Roman" w:cs="Times New Roman" w:eastAsia="Times New Roman" w:hAnsi="Times New Roman"/>
          <w:sz w:val="18"/>
          <w:szCs w:val="18"/>
          <w:color w:val="auto"/>
        </w:rPr>
      </w:pPr>
    </w:p>
    <w:p>
      <w:pPr>
        <w:jc w:val="both"/>
        <w:ind w:left="1000" w:right="20" w:firstLine="5"/>
        <w:spacing w:after="0" w:line="223" w:lineRule="auto"/>
        <w:tabs>
          <w:tab w:leader="none" w:pos="13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for the three years ended March 1, 2025, March 2, 2024 and February 25, 2023, (v) the Consolidated Statements of Shareholders' Equity for the three years ended March 1, 2025, March 2, 2024 and February 25, 2023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wp:posOffset>
            </wp:positionV>
            <wp:extent cx="710628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April 24, 2025.</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6909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April 24, 2025.</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20"/>
                <w:szCs w:val="20"/>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169"/>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President, Chief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Executive Vice President</w:t>
            </w:r>
          </w:p>
        </w:tc>
      </w:tr>
      <w:tr>
        <w:trPr>
          <w:trHeight w:val="184"/>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Officer and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and Chief Financial</w:t>
            </w:r>
          </w:p>
        </w:tc>
      </w:tr>
      <w:tr>
        <w:trPr>
          <w:trHeight w:val="23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Ty R. Silberhorn</w:t>
            </w:r>
          </w:p>
        </w:tc>
        <w:tc>
          <w:tcPr>
            <w:tcW w:w="220" w:type="dxa"/>
            <w:vAlign w:val="bottom"/>
          </w:tcPr>
          <w:p>
            <w:pPr>
              <w:spacing w:after="0"/>
              <w:rPr>
                <w:sz w:val="20"/>
                <w:szCs w:val="20"/>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Osberg</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169"/>
        </w:trPr>
        <w:tc>
          <w:tcPr>
            <w:tcW w:w="33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Ty R. Silberhorn</w:t>
            </w:r>
          </w:p>
        </w:tc>
        <w:tc>
          <w:tcPr>
            <w:tcW w:w="220" w:type="dxa"/>
            <w:vAlign w:val="bottom"/>
          </w:tcPr>
          <w:p>
            <w:pPr>
              <w:spacing w:after="0"/>
              <w:rPr>
                <w:sz w:val="14"/>
                <w:szCs w:val="14"/>
                <w:color w:val="auto"/>
              </w:rPr>
            </w:pPr>
          </w:p>
        </w:tc>
        <w:tc>
          <w:tcPr>
            <w:tcW w:w="17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(Principal Executive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Matthew J. Osberg</w:t>
            </w:r>
          </w:p>
        </w:tc>
        <w:tc>
          <w:tcPr>
            <w:tcW w:w="220" w:type="dxa"/>
            <w:vAlign w:val="bottom"/>
          </w:tcPr>
          <w:p>
            <w:pPr>
              <w:spacing w:after="0"/>
              <w:rPr>
                <w:sz w:val="14"/>
                <w:szCs w:val="14"/>
                <w:color w:val="auto"/>
              </w:rPr>
            </w:pPr>
          </w:p>
        </w:tc>
        <w:tc>
          <w:tcPr>
            <w:tcW w:w="1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(Principal</w:t>
            </w:r>
          </w:p>
        </w:tc>
      </w:tr>
      <w:tr>
        <w:trPr>
          <w:trHeight w:val="17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Officer)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Financial and</w:t>
            </w:r>
          </w:p>
        </w:tc>
      </w:t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9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A. Nolan</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M. Lilly</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Donald A. Nolan</w:t>
            </w:r>
          </w:p>
        </w:tc>
        <w:tc>
          <w:tcPr>
            <w:tcW w:w="22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M. Lilly</w:t>
            </w:r>
          </w:p>
        </w:tc>
        <w:tc>
          <w:tcPr>
            <w:tcW w:w="2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927"/>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M. Alvord</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Herbert K. Parker</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Christina M. Alvord</w:t>
            </w:r>
          </w:p>
        </w:tc>
        <w:tc>
          <w:tcPr>
            <w:tcW w:w="22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Herbert K. Parker</w:t>
            </w:r>
          </w:p>
        </w:tc>
        <w:tc>
          <w:tcPr>
            <w:tcW w:w="2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927"/>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Frank G. Heard</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Pompa</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Frank G. Heard</w:t>
            </w:r>
          </w:p>
        </w:tc>
        <w:tc>
          <w:tcPr>
            <w:tcW w:w="22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Pompa</w:t>
            </w:r>
          </w:p>
        </w:tc>
        <w:tc>
          <w:tcPr>
            <w:tcW w:w="2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927"/>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Lloyd E. Johnson</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Patricia K. Wagner</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Lloyd E. Johnson</w:t>
            </w:r>
          </w:p>
        </w:tc>
        <w:tc>
          <w:tcPr>
            <w:tcW w:w="22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K. Wagner</w:t>
            </w:r>
          </w:p>
        </w:tc>
        <w:tc>
          <w:tcPr>
            <w:tcW w:w="2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102"/>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80" w:type="dxa"/>
            <w:vAlign w:val="bottom"/>
            <w:gridSpan w:val="3"/>
          </w:tcPr>
          <w:p>
            <w:pPr>
              <w:jc w:val="right"/>
              <w:ind w:right="323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00" w:type="dxa"/>
            <w:vAlign w:val="bottom"/>
            <w:gridSpan w:val="4"/>
            <w:vMerge w:val="restart"/>
          </w:tcPr>
          <w:p>
            <w:pPr>
              <w:jc w:val="right"/>
              <w:ind w:right="352"/>
              <w:spacing w:after="0"/>
              <w:rPr>
                <w:sz w:val="20"/>
                <w:szCs w:val="20"/>
                <w:color w:val="auto"/>
              </w:rPr>
            </w:pPr>
            <w:r>
              <w:rPr>
                <w:rFonts w:ascii="Arial" w:cs="Arial" w:eastAsia="Arial" w:hAnsi="Arial"/>
                <w:sz w:val="22"/>
                <w:szCs w:val="22"/>
                <w:b w:val="1"/>
                <w:bCs w:val="1"/>
                <w:color w:val="auto"/>
              </w:rPr>
              <w:t>APOGEE ENTERPRISES, INC.</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22"/>
                <w:szCs w:val="22"/>
                <w:b w:val="1"/>
                <w:bCs w:val="1"/>
                <w:color w:val="auto"/>
              </w:rPr>
              <w:t>Exhibit 19.1</w:t>
            </w: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0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126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1540" w:type="dxa"/>
            <w:vAlign w:val="bottom"/>
            <w:tcBorders>
              <w:bottom w:val="single" w:sz="8" w:color="808080"/>
            </w:tcBorders>
            <w:gridSpan w:val="2"/>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620" w:type="dxa"/>
            <w:vAlign w:val="bottom"/>
            <w:tcBorders>
              <w:bottom w:val="single" w:sz="8" w:color="808080"/>
            </w:tcBorders>
          </w:tcPr>
          <w:p>
            <w:pPr>
              <w:spacing w:after="0"/>
              <w:rPr>
                <w:sz w:val="21"/>
                <w:szCs w:val="21"/>
                <w:color w:val="auto"/>
              </w:rPr>
            </w:pPr>
          </w:p>
        </w:tc>
        <w:tc>
          <w:tcPr>
            <w:tcW w:w="1900" w:type="dxa"/>
            <w:vAlign w:val="bottom"/>
            <w:tcBorders>
              <w:bottom w:val="single" w:sz="8" w:color="808080"/>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Borders>
              <w:left w:val="single" w:sz="8" w:color="808080"/>
              <w:right w:val="single" w:sz="8" w:color="808080"/>
            </w:tcBorders>
          </w:tcPr>
          <w:p>
            <w:pPr>
              <w:ind w:left="80"/>
              <w:spacing w:after="0" w:line="195" w:lineRule="exact"/>
              <w:rPr>
                <w:sz w:val="20"/>
                <w:szCs w:val="20"/>
                <w:color w:val="auto"/>
              </w:rPr>
            </w:pPr>
            <w:r>
              <w:rPr>
                <w:rFonts w:ascii="Arial" w:cs="Arial" w:eastAsia="Arial" w:hAnsi="Arial"/>
                <w:sz w:val="22"/>
                <w:szCs w:val="22"/>
                <w:b w:val="1"/>
                <w:bCs w:val="1"/>
                <w:color w:val="auto"/>
              </w:rPr>
              <w:t>Policy</w:t>
            </w:r>
          </w:p>
        </w:tc>
        <w:tc>
          <w:tcPr>
            <w:tcW w:w="40" w:type="dxa"/>
            <w:vAlign w:val="bottom"/>
          </w:tcPr>
          <w:p>
            <w:pPr>
              <w:spacing w:after="0"/>
              <w:rPr>
                <w:sz w:val="17"/>
                <w:szCs w:val="17"/>
                <w:color w:val="auto"/>
              </w:rPr>
            </w:pPr>
          </w:p>
        </w:tc>
        <w:tc>
          <w:tcPr>
            <w:tcW w:w="1120" w:type="dxa"/>
            <w:vAlign w:val="bottom"/>
          </w:tcPr>
          <w:p>
            <w:pPr>
              <w:ind w:left="20"/>
              <w:spacing w:after="0" w:line="195" w:lineRule="exact"/>
              <w:rPr>
                <w:sz w:val="20"/>
                <w:szCs w:val="20"/>
                <w:color w:val="auto"/>
              </w:rPr>
            </w:pPr>
            <w:r>
              <w:rPr>
                <w:rFonts w:ascii="Arial" w:cs="Arial" w:eastAsia="Arial" w:hAnsi="Arial"/>
                <w:sz w:val="22"/>
                <w:szCs w:val="22"/>
                <w:color w:val="auto"/>
              </w:rPr>
              <w:t>Legal 022</w:t>
            </w:r>
          </w:p>
        </w:tc>
        <w:tc>
          <w:tcPr>
            <w:tcW w:w="1260" w:type="dxa"/>
            <w:vAlign w:val="bottom"/>
          </w:tcPr>
          <w:p>
            <w:pPr>
              <w:spacing w:after="0"/>
              <w:rPr>
                <w:sz w:val="17"/>
                <w:szCs w:val="17"/>
                <w:color w:val="auto"/>
              </w:rPr>
            </w:pPr>
          </w:p>
        </w:tc>
        <w:tc>
          <w:tcPr>
            <w:tcW w:w="1380" w:type="dxa"/>
            <w:vAlign w:val="bottom"/>
            <w:tcBorders>
              <w:right w:val="single" w:sz="8" w:color="808080"/>
            </w:tcBorders>
          </w:tcPr>
          <w:p>
            <w:pPr>
              <w:spacing w:after="0"/>
              <w:rPr>
                <w:sz w:val="17"/>
                <w:szCs w:val="17"/>
                <w:color w:val="auto"/>
              </w:rPr>
            </w:pPr>
          </w:p>
        </w:tc>
        <w:tc>
          <w:tcPr>
            <w:tcW w:w="1540" w:type="dxa"/>
            <w:vAlign w:val="bottom"/>
            <w:tcBorders>
              <w:right w:val="single" w:sz="8" w:color="808080"/>
            </w:tcBorders>
            <w:gridSpan w:val="2"/>
          </w:tcPr>
          <w:p>
            <w:pPr>
              <w:ind w:left="60"/>
              <w:spacing w:after="0" w:line="195" w:lineRule="exact"/>
              <w:rPr>
                <w:sz w:val="20"/>
                <w:szCs w:val="20"/>
                <w:color w:val="auto"/>
              </w:rPr>
            </w:pPr>
            <w:r>
              <w:rPr>
                <w:rFonts w:ascii="Arial" w:cs="Arial" w:eastAsia="Arial" w:hAnsi="Arial"/>
                <w:sz w:val="22"/>
                <w:szCs w:val="22"/>
                <w:b w:val="1"/>
                <w:bCs w:val="1"/>
                <w:color w:val="auto"/>
              </w:rPr>
              <w:t>Revision</w:t>
            </w:r>
          </w:p>
        </w:tc>
        <w:tc>
          <w:tcPr>
            <w:tcW w:w="780" w:type="dxa"/>
            <w:vAlign w:val="bottom"/>
          </w:tcPr>
          <w:p>
            <w:pPr>
              <w:jc w:val="right"/>
              <w:ind w:right="372"/>
              <w:spacing w:after="0" w:line="195" w:lineRule="exact"/>
              <w:rPr>
                <w:sz w:val="20"/>
                <w:szCs w:val="20"/>
                <w:color w:val="auto"/>
              </w:rPr>
            </w:pPr>
            <w:r>
              <w:rPr>
                <w:rFonts w:ascii="Arial" w:cs="Arial" w:eastAsia="Arial" w:hAnsi="Arial"/>
                <w:sz w:val="22"/>
                <w:szCs w:val="22"/>
                <w:color w:val="auto"/>
              </w:rPr>
              <w:t>10</w:t>
            </w:r>
          </w:p>
        </w:tc>
        <w:tc>
          <w:tcPr>
            <w:tcW w:w="120" w:type="dxa"/>
            <w:vAlign w:val="bottom"/>
            <w:tcBorders>
              <w:right w:val="single" w:sz="8" w:color="808080"/>
            </w:tcBorders>
          </w:tcPr>
          <w:p>
            <w:pPr>
              <w:spacing w:after="0"/>
              <w:rPr>
                <w:sz w:val="17"/>
                <w:szCs w:val="17"/>
                <w:color w:val="auto"/>
              </w:rPr>
            </w:pPr>
          </w:p>
        </w:tc>
        <w:tc>
          <w:tcPr>
            <w:tcW w:w="1620" w:type="dxa"/>
            <w:vAlign w:val="bottom"/>
            <w:tcBorders>
              <w:right w:val="single" w:sz="8" w:color="808080"/>
            </w:tcBorders>
          </w:tcPr>
          <w:p>
            <w:pPr>
              <w:ind w:left="60"/>
              <w:spacing w:after="0" w:line="195" w:lineRule="exact"/>
              <w:rPr>
                <w:sz w:val="20"/>
                <w:szCs w:val="20"/>
                <w:color w:val="auto"/>
              </w:rPr>
            </w:pPr>
            <w:r>
              <w:rPr>
                <w:rFonts w:ascii="Arial" w:cs="Arial" w:eastAsia="Arial" w:hAnsi="Arial"/>
                <w:sz w:val="22"/>
                <w:szCs w:val="22"/>
                <w:b w:val="1"/>
                <w:bCs w:val="1"/>
                <w:color w:val="auto"/>
                <w:w w:val="99"/>
              </w:rPr>
              <w:t>Effective Date:</w:t>
            </w:r>
          </w:p>
        </w:tc>
        <w:tc>
          <w:tcPr>
            <w:tcW w:w="1900" w:type="dxa"/>
            <w:vAlign w:val="bottom"/>
            <w:tcBorders>
              <w:right w:val="single" w:sz="8" w:color="808080"/>
            </w:tcBorders>
            <w:gridSpan w:val="2"/>
          </w:tcPr>
          <w:p>
            <w:pPr>
              <w:jc w:val="right"/>
              <w:ind w:right="872"/>
              <w:spacing w:after="0" w:line="195" w:lineRule="exact"/>
              <w:rPr>
                <w:sz w:val="20"/>
                <w:szCs w:val="20"/>
                <w:color w:val="auto"/>
              </w:rPr>
            </w:pPr>
            <w:r>
              <w:rPr>
                <w:rFonts w:ascii="Arial" w:cs="Arial" w:eastAsia="Arial" w:hAnsi="Arial"/>
                <w:sz w:val="22"/>
                <w:szCs w:val="22"/>
                <w:color w:val="auto"/>
              </w:rPr>
              <w:t>3/5/2025</w:t>
            </w:r>
          </w:p>
        </w:tc>
        <w:tc>
          <w:tcPr>
            <w:tcW w:w="0" w:type="dxa"/>
            <w:vAlign w:val="bottom"/>
          </w:tcPr>
          <w:p>
            <w:pPr>
              <w:spacing w:after="0"/>
              <w:rPr>
                <w:sz w:val="1"/>
                <w:szCs w:val="1"/>
                <w:color w:val="auto"/>
              </w:rPr>
            </w:pPr>
          </w:p>
        </w:tc>
      </w:tr>
      <w:tr>
        <w:trPr>
          <w:trHeight w:val="283"/>
        </w:trPr>
        <w:tc>
          <w:tcPr>
            <w:tcW w:w="1500" w:type="dxa"/>
            <w:vAlign w:val="bottom"/>
            <w:tcBorders>
              <w:left w:val="single" w:sz="8" w:color="808080"/>
              <w:bottom w:val="single" w:sz="8" w:color="808080"/>
              <w:right w:val="single" w:sz="8" w:color="808080"/>
            </w:tcBorders>
          </w:tcPr>
          <w:p>
            <w:pPr>
              <w:ind w:left="80"/>
              <w:spacing w:after="0"/>
              <w:rPr>
                <w:sz w:val="20"/>
                <w:szCs w:val="20"/>
                <w:color w:val="auto"/>
              </w:rPr>
            </w:pPr>
            <w:r>
              <w:rPr>
                <w:rFonts w:ascii="Arial" w:cs="Arial" w:eastAsia="Arial" w:hAnsi="Arial"/>
                <w:sz w:val="22"/>
                <w:szCs w:val="22"/>
                <w:b w:val="1"/>
                <w:bCs w:val="1"/>
                <w:color w:val="auto"/>
              </w:rPr>
              <w:t>Number:</w:t>
            </w:r>
          </w:p>
        </w:tc>
        <w:tc>
          <w:tcPr>
            <w:tcW w:w="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right w:val="single" w:sz="8" w:color="808080"/>
            </w:tcBorders>
          </w:tcPr>
          <w:p>
            <w:pPr>
              <w:spacing w:after="0"/>
              <w:rPr>
                <w:sz w:val="24"/>
                <w:szCs w:val="24"/>
                <w:color w:val="auto"/>
              </w:rPr>
            </w:pPr>
          </w:p>
        </w:tc>
        <w:tc>
          <w:tcPr>
            <w:tcW w:w="1540" w:type="dxa"/>
            <w:vAlign w:val="bottom"/>
            <w:tcBorders>
              <w:bottom w:val="single" w:sz="8" w:color="808080"/>
              <w:right w:val="single" w:sz="8" w:color="808080"/>
            </w:tcBorders>
            <w:gridSpan w:val="2"/>
          </w:tcPr>
          <w:p>
            <w:pPr>
              <w:ind w:left="60"/>
              <w:spacing w:after="0"/>
              <w:rPr>
                <w:sz w:val="20"/>
                <w:szCs w:val="20"/>
                <w:color w:val="auto"/>
              </w:rPr>
            </w:pPr>
            <w:r>
              <w:rPr>
                <w:rFonts w:ascii="Arial" w:cs="Arial" w:eastAsia="Arial" w:hAnsi="Arial"/>
                <w:sz w:val="22"/>
                <w:szCs w:val="22"/>
                <w:b w:val="1"/>
                <w:bCs w:val="1"/>
                <w:color w:val="auto"/>
              </w:rPr>
              <w:t>Number:</w:t>
            </w: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right w:val="single" w:sz="8" w:color="808080"/>
            </w:tcBorders>
          </w:tcPr>
          <w:p>
            <w:pPr>
              <w:spacing w:after="0"/>
              <w:rPr>
                <w:sz w:val="24"/>
                <w:szCs w:val="24"/>
                <w:color w:val="auto"/>
              </w:rPr>
            </w:pPr>
          </w:p>
        </w:tc>
        <w:tc>
          <w:tcPr>
            <w:tcW w:w="1620" w:type="dxa"/>
            <w:vAlign w:val="bottom"/>
            <w:tcBorders>
              <w:bottom w:val="single" w:sz="8" w:color="808080"/>
              <w:right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20" w:type="dxa"/>
            <w:vAlign w:val="bottom"/>
            <w:tcBorders>
              <w:left w:val="single" w:sz="8" w:color="808080"/>
              <w:right w:val="single" w:sz="8" w:color="808080"/>
            </w:tcBorders>
            <w:gridSpan w:val="4"/>
          </w:tcPr>
          <w:p>
            <w:pPr>
              <w:ind w:left="80"/>
              <w:spacing w:after="0" w:line="195" w:lineRule="exact"/>
              <w:rPr>
                <w:sz w:val="20"/>
                <w:szCs w:val="20"/>
                <w:color w:val="auto"/>
              </w:rPr>
            </w:pPr>
            <w:r>
              <w:rPr>
                <w:rFonts w:ascii="Arial" w:cs="Arial" w:eastAsia="Arial" w:hAnsi="Arial"/>
                <w:sz w:val="22"/>
                <w:szCs w:val="22"/>
                <w:b w:val="1"/>
                <w:bCs w:val="1"/>
                <w:color w:val="auto"/>
              </w:rPr>
              <w:t>Insider Trading and Tipping and</w:t>
            </w:r>
          </w:p>
        </w:tc>
        <w:tc>
          <w:tcPr>
            <w:tcW w:w="1380" w:type="dxa"/>
            <w:vAlign w:val="bottom"/>
          </w:tcPr>
          <w:p>
            <w:pPr>
              <w:ind w:left="60"/>
              <w:spacing w:after="0" w:line="195" w:lineRule="exact"/>
              <w:rPr>
                <w:sz w:val="20"/>
                <w:szCs w:val="20"/>
                <w:color w:val="auto"/>
              </w:rPr>
            </w:pPr>
            <w:r>
              <w:rPr>
                <w:rFonts w:ascii="Arial" w:cs="Arial" w:eastAsia="Arial" w:hAnsi="Arial"/>
                <w:sz w:val="22"/>
                <w:szCs w:val="22"/>
                <w:b w:val="1"/>
                <w:bCs w:val="1"/>
                <w:color w:val="auto"/>
              </w:rPr>
              <w:t>Issue Date:</w:t>
            </w:r>
          </w:p>
        </w:tc>
        <w:tc>
          <w:tcPr>
            <w:tcW w:w="220" w:type="dxa"/>
            <w:vAlign w:val="bottom"/>
            <w:tcBorders>
              <w:right w:val="single" w:sz="8" w:color="808080"/>
            </w:tcBorders>
          </w:tcPr>
          <w:p>
            <w:pPr>
              <w:spacing w:after="0"/>
              <w:rPr>
                <w:sz w:val="17"/>
                <w:szCs w:val="17"/>
                <w:color w:val="auto"/>
              </w:rPr>
            </w:pPr>
          </w:p>
        </w:tc>
        <w:tc>
          <w:tcPr>
            <w:tcW w:w="1320" w:type="dxa"/>
            <w:vAlign w:val="bottom"/>
          </w:tcPr>
          <w:p>
            <w:pPr>
              <w:jc w:val="right"/>
              <w:ind w:right="312"/>
              <w:spacing w:after="0" w:line="195" w:lineRule="exact"/>
              <w:rPr>
                <w:sz w:val="20"/>
                <w:szCs w:val="20"/>
                <w:color w:val="auto"/>
              </w:rPr>
            </w:pPr>
            <w:r>
              <w:rPr>
                <w:rFonts w:ascii="Arial" w:cs="Arial" w:eastAsia="Arial" w:hAnsi="Arial"/>
                <w:sz w:val="22"/>
                <w:szCs w:val="22"/>
                <w:color w:val="auto"/>
              </w:rPr>
              <w:t>3/1/2000</w:t>
            </w:r>
          </w:p>
        </w:tc>
        <w:tc>
          <w:tcPr>
            <w:tcW w:w="780" w:type="dxa"/>
            <w:vAlign w:val="bottom"/>
            <w:tcBorders>
              <w:right w:val="single" w:sz="8" w:color="808080"/>
            </w:tcBorders>
          </w:tcPr>
          <w:p>
            <w:pPr>
              <w:spacing w:after="0"/>
              <w:rPr>
                <w:sz w:val="17"/>
                <w:szCs w:val="17"/>
                <w:color w:val="auto"/>
              </w:rPr>
            </w:pPr>
          </w:p>
        </w:tc>
        <w:tc>
          <w:tcPr>
            <w:tcW w:w="1960" w:type="dxa"/>
            <w:vAlign w:val="bottom"/>
            <w:tcBorders>
              <w:right w:val="single" w:sz="8" w:color="808080"/>
            </w:tcBorders>
            <w:gridSpan w:val="3"/>
          </w:tcPr>
          <w:p>
            <w:pPr>
              <w:ind w:left="60"/>
              <w:spacing w:after="0" w:line="195" w:lineRule="exact"/>
              <w:rPr>
                <w:sz w:val="20"/>
                <w:szCs w:val="20"/>
                <w:color w:val="auto"/>
              </w:rPr>
            </w:pPr>
            <w:r>
              <w:rPr>
                <w:rFonts w:ascii="Arial" w:cs="Arial" w:eastAsia="Arial" w:hAnsi="Arial"/>
                <w:sz w:val="22"/>
                <w:szCs w:val="22"/>
                <w:b w:val="1"/>
                <w:bCs w:val="1"/>
                <w:color w:val="auto"/>
              </w:rPr>
              <w:t>Supersedes:</w:t>
            </w:r>
          </w:p>
        </w:tc>
        <w:tc>
          <w:tcPr>
            <w:tcW w:w="1680" w:type="dxa"/>
            <w:vAlign w:val="bottom"/>
            <w:tcBorders>
              <w:right w:val="single" w:sz="8" w:color="808080"/>
            </w:tcBorders>
          </w:tcPr>
          <w:p>
            <w:pPr>
              <w:jc w:val="right"/>
              <w:ind w:right="752"/>
              <w:spacing w:after="0" w:line="196" w:lineRule="exact"/>
              <w:rPr>
                <w:sz w:val="20"/>
                <w:szCs w:val="20"/>
                <w:color w:val="auto"/>
              </w:rPr>
            </w:pPr>
            <w:r>
              <w:rPr>
                <w:rFonts w:ascii="Times New Roman" w:cs="Times New Roman" w:eastAsia="Times New Roman" w:hAnsi="Times New Roman"/>
                <w:sz w:val="22"/>
                <w:szCs w:val="22"/>
                <w:color w:val="auto"/>
              </w:rPr>
              <w:t>1/1/2022</w:t>
            </w:r>
          </w:p>
        </w:tc>
        <w:tc>
          <w:tcPr>
            <w:tcW w:w="0" w:type="dxa"/>
            <w:vAlign w:val="bottom"/>
          </w:tcPr>
          <w:p>
            <w:pPr>
              <w:spacing w:after="0"/>
              <w:rPr>
                <w:sz w:val="1"/>
                <w:szCs w:val="1"/>
                <w:color w:val="auto"/>
              </w:rPr>
            </w:pPr>
          </w:p>
        </w:tc>
      </w:tr>
      <w:tr>
        <w:trPr>
          <w:trHeight w:val="283"/>
        </w:trPr>
        <w:tc>
          <w:tcPr>
            <w:tcW w:w="2660" w:type="dxa"/>
            <w:vAlign w:val="bottom"/>
            <w:tcBorders>
              <w:left w:val="single" w:sz="8" w:color="808080"/>
              <w:bottom w:val="single" w:sz="8" w:color="808080"/>
            </w:tcBorders>
            <w:gridSpan w:val="3"/>
          </w:tcPr>
          <w:p>
            <w:pPr>
              <w:ind w:left="80"/>
              <w:spacing w:after="0"/>
              <w:rPr>
                <w:sz w:val="20"/>
                <w:szCs w:val="20"/>
                <w:color w:val="auto"/>
              </w:rPr>
            </w:pPr>
            <w:r>
              <w:rPr>
                <w:rFonts w:ascii="Arial" w:cs="Arial" w:eastAsia="Arial" w:hAnsi="Arial"/>
                <w:sz w:val="22"/>
                <w:szCs w:val="22"/>
                <w:b w:val="1"/>
                <w:bCs w:val="1"/>
                <w:color w:val="auto"/>
              </w:rPr>
              <w:t>Hedging Policy</w:t>
            </w:r>
          </w:p>
        </w:tc>
        <w:tc>
          <w:tcPr>
            <w:tcW w:w="1260" w:type="dxa"/>
            <w:vAlign w:val="bottom"/>
            <w:tcBorders>
              <w:bottom w:val="single" w:sz="8" w:color="808080"/>
              <w:right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right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right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right w:val="single" w:sz="8" w:color="808080"/>
            </w:tcBorders>
          </w:tcPr>
          <w:p>
            <w:pPr>
              <w:spacing w:after="0"/>
              <w:rPr>
                <w:sz w:val="24"/>
                <w:szCs w:val="24"/>
                <w:color w:val="auto"/>
              </w:rPr>
            </w:pPr>
          </w:p>
        </w:tc>
        <w:tc>
          <w:tcPr>
            <w:tcW w:w="16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60" w:type="dxa"/>
            <w:vAlign w:val="bottom"/>
            <w:tcBorders>
              <w:left w:val="single" w:sz="8" w:color="808080"/>
              <w:bottom w:val="single" w:sz="8" w:color="808080"/>
              <w:right w:val="single" w:sz="8" w:color="808080"/>
            </w:tcBorders>
            <w:gridSpan w:val="3"/>
          </w:tcPr>
          <w:p>
            <w:pPr>
              <w:ind w:left="80"/>
              <w:spacing w:after="0"/>
              <w:rPr>
                <w:sz w:val="20"/>
                <w:szCs w:val="20"/>
                <w:color w:val="auto"/>
              </w:rPr>
            </w:pPr>
            <w:r>
              <w:rPr>
                <w:rFonts w:ascii="Arial" w:cs="Arial" w:eastAsia="Arial" w:hAnsi="Arial"/>
                <w:sz w:val="22"/>
                <w:szCs w:val="22"/>
                <w:b w:val="1"/>
                <w:bCs w:val="1"/>
                <w:color w:val="auto"/>
              </w:rPr>
              <w:t>Functional Owner:</w:t>
            </w:r>
          </w:p>
        </w:tc>
        <w:tc>
          <w:tcPr>
            <w:tcW w:w="2640" w:type="dxa"/>
            <w:vAlign w:val="bottom"/>
            <w:tcBorders>
              <w:bottom w:val="single" w:sz="8" w:color="808080"/>
            </w:tcBorders>
            <w:gridSpan w:val="2"/>
          </w:tcPr>
          <w:p>
            <w:pPr>
              <w:ind w:left="60"/>
              <w:spacing w:after="0"/>
              <w:rPr>
                <w:sz w:val="20"/>
                <w:szCs w:val="20"/>
                <w:color w:val="auto"/>
              </w:rPr>
            </w:pPr>
            <w:r>
              <w:rPr>
                <w:rFonts w:ascii="Arial" w:cs="Arial" w:eastAsia="Arial" w:hAnsi="Arial"/>
                <w:sz w:val="22"/>
                <w:szCs w:val="22"/>
                <w:color w:val="auto"/>
              </w:rPr>
              <w:t>Chief Legal Officer</w:t>
            </w:r>
          </w:p>
        </w:tc>
        <w:tc>
          <w:tcPr>
            <w:tcW w:w="220" w:type="dxa"/>
            <w:vAlign w:val="bottom"/>
            <w:tcBorders>
              <w:bottom w:val="single" w:sz="8" w:color="808080"/>
            </w:tcBorders>
          </w:tcPr>
          <w:p>
            <w:pPr>
              <w:spacing w:after="0"/>
              <w:rPr>
                <w:sz w:val="22"/>
                <w:szCs w:val="22"/>
                <w:color w:val="auto"/>
              </w:rPr>
            </w:pPr>
          </w:p>
        </w:tc>
        <w:tc>
          <w:tcPr>
            <w:tcW w:w="13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162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808080"/>
              <w:bottom w:val="single" w:sz="8" w:color="808080"/>
            </w:tcBorders>
            <w:gridSpan w:val="2"/>
          </w:tcPr>
          <w:p>
            <w:pPr>
              <w:ind w:left="80"/>
              <w:spacing w:after="0"/>
              <w:rPr>
                <w:sz w:val="20"/>
                <w:szCs w:val="20"/>
                <w:color w:val="auto"/>
              </w:rPr>
            </w:pPr>
            <w:r>
              <w:rPr>
                <w:rFonts w:ascii="Arial" w:cs="Arial" w:eastAsia="Arial" w:hAnsi="Arial"/>
                <w:sz w:val="22"/>
                <w:szCs w:val="22"/>
                <w:b w:val="1"/>
                <w:bCs w:val="1"/>
                <w:color w:val="auto"/>
                <w:w w:val="99"/>
              </w:rPr>
              <w:t>Approved By:</w:t>
            </w:r>
          </w:p>
        </w:tc>
        <w:tc>
          <w:tcPr>
            <w:tcW w:w="1120" w:type="dxa"/>
            <w:vAlign w:val="bottom"/>
            <w:tcBorders>
              <w:bottom w:val="single" w:sz="8" w:color="808080"/>
              <w:right w:val="single" w:sz="8" w:color="808080"/>
            </w:tcBorders>
          </w:tcPr>
          <w:p>
            <w:pPr>
              <w:spacing w:after="0"/>
              <w:rPr>
                <w:sz w:val="22"/>
                <w:szCs w:val="22"/>
                <w:color w:val="auto"/>
              </w:rPr>
            </w:pPr>
          </w:p>
        </w:tc>
        <w:tc>
          <w:tcPr>
            <w:tcW w:w="2640" w:type="dxa"/>
            <w:vAlign w:val="bottom"/>
            <w:tcBorders>
              <w:bottom w:val="single" w:sz="8" w:color="808080"/>
            </w:tcBorders>
            <w:gridSpan w:val="2"/>
          </w:tcPr>
          <w:p>
            <w:pPr>
              <w:ind w:left="60"/>
              <w:spacing w:after="0"/>
              <w:rPr>
                <w:sz w:val="20"/>
                <w:szCs w:val="20"/>
                <w:color w:val="auto"/>
              </w:rPr>
            </w:pPr>
            <w:r>
              <w:rPr>
                <w:rFonts w:ascii="Arial" w:cs="Arial" w:eastAsia="Arial" w:hAnsi="Arial"/>
                <w:sz w:val="22"/>
                <w:szCs w:val="22"/>
                <w:color w:val="auto"/>
              </w:rPr>
              <w:t>Board of Directors</w:t>
            </w:r>
          </w:p>
        </w:tc>
        <w:tc>
          <w:tcPr>
            <w:tcW w:w="220" w:type="dxa"/>
            <w:vAlign w:val="bottom"/>
            <w:tcBorders>
              <w:bottom w:val="single" w:sz="8" w:color="808080"/>
            </w:tcBorders>
          </w:tcPr>
          <w:p>
            <w:pPr>
              <w:spacing w:after="0"/>
              <w:rPr>
                <w:sz w:val="22"/>
                <w:szCs w:val="22"/>
                <w:color w:val="auto"/>
              </w:rPr>
            </w:pPr>
          </w:p>
        </w:tc>
        <w:tc>
          <w:tcPr>
            <w:tcW w:w="13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162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u w:val="single" w:color="auto"/>
          <w:color w:val="auto"/>
        </w:rPr>
        <w:t>TITLE</w:t>
      </w: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INSIDER TRADING AND TIPPING AND HEDGING POLICY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POLICY</w:t>
      </w:r>
      <w:r>
        <w:rPr>
          <w:rFonts w:ascii="Arial" w:cs="Arial" w:eastAsia="Arial" w:hAnsi="Arial"/>
          <w:sz w:val="22"/>
          <w:szCs w:val="22"/>
          <w:b w:val="1"/>
          <w:bCs w:val="1"/>
          <w:color w:val="auto"/>
        </w:rPr>
        <w:t>:</w:t>
      </w:r>
    </w:p>
    <w:p>
      <w:pPr>
        <w:spacing w:after="0" w:line="249" w:lineRule="exact"/>
        <w:rPr>
          <w:sz w:val="20"/>
          <w:szCs w:val="20"/>
          <w:color w:val="auto"/>
        </w:rPr>
      </w:pPr>
    </w:p>
    <w:p>
      <w:pPr>
        <w:jc w:val="both"/>
        <w:ind w:right="20"/>
        <w:spacing w:after="0" w:line="248" w:lineRule="auto"/>
        <w:rPr>
          <w:sz w:val="20"/>
          <w:szCs w:val="20"/>
          <w:color w:val="auto"/>
        </w:rPr>
      </w:pPr>
      <w:r>
        <w:rPr>
          <w:rFonts w:ascii="Arial" w:cs="Arial" w:eastAsia="Arial" w:hAnsi="Arial"/>
          <w:sz w:val="22"/>
          <w:szCs w:val="22"/>
          <w:color w:val="auto"/>
        </w:rPr>
        <w:t>No Executive Officer (as defined below), employee or member of the Company's Board of Directors (“Directors”) may purchase or sell securities (including publicly traded options) of Apogee Enterprises, Inc. (“Apogee”) or any direct or indirect subsidiary of Apogee (Apogee and its direct and indirect subsidiaries are hereinafter individually and collectively referred to as the “Company”) when aware of Material Non-Public Information (as defined below), except as otherwise provided for in this policy. If Material Non-Public Information relating to the Company has not been available to the public for at least two (2) full trading days, Executive Officers, employees and Directors are prohibited from trading in Company securities, or directly or indirectly disclosing the Material Non-Public Information to any other persons that may trade in Company securities. In order to avoid the appearance of illegal trading, Executive Officers, Directors and Designated Employees (as defined below) may only purchase or sell Company securities during a quarterly trading window, which shall commence on the third trading day after the release of quarterly earnings results to the public and shall cease thirty (30) days prior to the close of the quarter.</w:t>
      </w:r>
    </w:p>
    <w:p>
      <w:pPr>
        <w:spacing w:after="0" w:line="23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If an Executive Officer, employee or Director has obtained any Material Non–Public Information relating to another company with which the Company has done or is doing business, that Executive Officer, employee or Director may not buy or sell securities of such other company or engage in any other action to take advantage of, or pass on to others, that information.</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22"/>
          <w:szCs w:val="22"/>
          <w:color w:val="auto"/>
        </w:rPr>
        <w:t>Transactions that may be necessary or justifiable for independent reasons (such as the need to raise money for an emergency expenditure) are no exception. Even the appearance of an improper transaction must be avoided to preserve the Company’s reputation for adhering to the highest standards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22"/>
          <w:szCs w:val="22"/>
          <w:color w:val="auto"/>
        </w:rPr>
        <w:t>1</w:t>
      </w:r>
    </w:p>
    <w:p>
      <w:pPr>
        <w:sectPr>
          <w:pgSz w:w="11900" w:h="16838" w:orient="portrait"/>
          <w:cols w:equalWidth="0" w:num="1">
            <w:col w:w="11260"/>
          </w:cols>
          <w:pgMar w:left="320" w:top="1440" w:right="31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No Executive Officer, employee or Director may engage in a hedging transaction related to the Company’s securities, i.e. the purchase or sale of financial instruments that are designed to offset any decrease in the market value of the Company’s securities. No Executive Officer or Director may, directly or indirectly, pledge, hypothecate, or otherwise encumber shares of the Company’s common stock as collateral for indebtedness.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w:t>
      </w:r>
    </w:p>
    <w:p>
      <w:pPr>
        <w:spacing w:after="0" w:line="249" w:lineRule="exact"/>
        <w:rPr>
          <w:sz w:val="20"/>
          <w:szCs w:val="20"/>
          <w:color w:val="auto"/>
        </w:rPr>
      </w:pPr>
    </w:p>
    <w:p>
      <w:pPr>
        <w:jc w:val="both"/>
        <w:ind w:right="100"/>
        <w:spacing w:after="0" w:line="257" w:lineRule="auto"/>
        <w:rPr>
          <w:sz w:val="20"/>
          <w:szCs w:val="20"/>
          <w:color w:val="auto"/>
        </w:rPr>
      </w:pPr>
      <w:r>
        <w:rPr>
          <w:rFonts w:ascii="Arial" w:cs="Arial" w:eastAsia="Arial" w:hAnsi="Arial"/>
          <w:sz w:val="22"/>
          <w:szCs w:val="22"/>
          <w:color w:val="auto"/>
        </w:rPr>
        <w:t>The purpose of this policy is to require that all employees and all members of the Apogee Board of Directors comply with applicable laws and regulations relating to insider trading. U.S. federal securities laws prohibit employees, members of the Apogee Board of Directors and others from buying or selling securities based on information not publicly available that could affect the price of those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SCOPE</w:t>
      </w:r>
      <w:r>
        <w:rPr>
          <w:rFonts w:ascii="Arial" w:cs="Arial" w:eastAsia="Arial" w:hAnsi="Arial"/>
          <w:sz w:val="22"/>
          <w:szCs w:val="22"/>
          <w:b w:val="1"/>
          <w:bCs w:val="1"/>
          <w:color w:val="auto"/>
        </w:rPr>
        <w:t>:</w:t>
      </w:r>
    </w:p>
    <w:p>
      <w:pPr>
        <w:spacing w:after="0" w:line="249" w:lineRule="exact"/>
        <w:rPr>
          <w:sz w:val="20"/>
          <w:szCs w:val="20"/>
          <w:color w:val="auto"/>
        </w:rPr>
      </w:pPr>
    </w:p>
    <w:p>
      <w:pPr>
        <w:jc w:val="both"/>
        <w:ind w:right="100"/>
        <w:spacing w:after="0" w:line="257" w:lineRule="auto"/>
        <w:rPr>
          <w:sz w:val="20"/>
          <w:szCs w:val="20"/>
          <w:color w:val="auto"/>
        </w:rPr>
      </w:pPr>
      <w:r>
        <w:rPr>
          <w:rFonts w:ascii="Arial" w:cs="Arial" w:eastAsia="Arial" w:hAnsi="Arial"/>
          <w:sz w:val="22"/>
          <w:szCs w:val="22"/>
          <w:color w:val="auto"/>
        </w:rPr>
        <w:t>This policy applies to every Company employee, including employees of Apogee and employees of any Apogee direct or indirect subsidiary, segment, division, market unit, business unit or facility, except to the extent this policy conflicts with any obligation of the Company under federal, state or local labor law. This policy also applies to all members of the Apogee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REPORTING</w:t>
      </w:r>
      <w:r>
        <w:rPr>
          <w:rFonts w:ascii="Arial" w:cs="Arial" w:eastAsia="Arial" w:hAnsi="Arial"/>
          <w:sz w:val="22"/>
          <w:szCs w:val="22"/>
          <w:b w:val="1"/>
          <w:bCs w:val="1"/>
          <w:color w:val="auto"/>
        </w:rPr>
        <w:t>:</w:t>
      </w:r>
    </w:p>
    <w:p>
      <w:pPr>
        <w:spacing w:after="0" w:line="249" w:lineRule="exact"/>
        <w:rPr>
          <w:sz w:val="20"/>
          <w:szCs w:val="20"/>
          <w:color w:val="auto"/>
        </w:rPr>
      </w:pPr>
    </w:p>
    <w:p>
      <w:pPr>
        <w:jc w:val="both"/>
        <w:ind w:right="120"/>
        <w:spacing w:after="0" w:line="272" w:lineRule="auto"/>
        <w:rPr>
          <w:sz w:val="20"/>
          <w:szCs w:val="20"/>
          <w:color w:val="auto"/>
        </w:rPr>
      </w:pPr>
      <w:r>
        <w:rPr>
          <w:rFonts w:ascii="Arial" w:cs="Arial" w:eastAsia="Arial" w:hAnsi="Arial"/>
          <w:sz w:val="22"/>
          <w:szCs w:val="22"/>
          <w:color w:val="auto"/>
        </w:rPr>
        <w:t>The Company will disclose and file this policy, and report on its implementation, in compliance with the requirements of the Securities Exchange Act of 1934, as amended (the “Exchange Act”).</w:t>
      </w:r>
    </w:p>
    <w:p>
      <w:pPr>
        <w:spacing w:after="0" w:line="196" w:lineRule="exact"/>
        <w:rPr>
          <w:sz w:val="20"/>
          <w:szCs w:val="20"/>
          <w:color w:val="auto"/>
        </w:rPr>
      </w:pPr>
    </w:p>
    <w:p>
      <w:pPr>
        <w:jc w:val="both"/>
        <w:ind w:right="100"/>
        <w:spacing w:after="0" w:line="275" w:lineRule="auto"/>
        <w:rPr>
          <w:sz w:val="20"/>
          <w:szCs w:val="20"/>
          <w:color w:val="auto"/>
        </w:rPr>
      </w:pPr>
      <w:r>
        <w:rPr>
          <w:rFonts w:ascii="Arial" w:cs="Arial" w:eastAsia="Arial" w:hAnsi="Arial"/>
          <w:sz w:val="21"/>
          <w:szCs w:val="21"/>
          <w:color w:val="auto"/>
        </w:rPr>
        <w:t>When a Director or Executive Officer (as defined below) has adopted, modified or terminated a Pre-Arranged Trading Program (as defined below) or similar arrangement during a fiscal quarter, the event will be disclosed on the report on Form 10-Q or Form 10-K covering that quarter, in compliance with the requirements of the Exchange Act.</w:t>
      </w:r>
    </w:p>
    <w:p>
      <w:pPr>
        <w:spacing w:after="0" w:line="182" w:lineRule="exact"/>
        <w:rPr>
          <w:sz w:val="20"/>
          <w:szCs w:val="20"/>
          <w:color w:val="auto"/>
        </w:rPr>
      </w:pPr>
    </w:p>
    <w:p>
      <w:pPr>
        <w:jc w:val="both"/>
        <w:ind w:right="100"/>
        <w:spacing w:after="0" w:line="264" w:lineRule="auto"/>
        <w:rPr>
          <w:sz w:val="20"/>
          <w:szCs w:val="20"/>
          <w:color w:val="auto"/>
        </w:rPr>
      </w:pPr>
      <w:r>
        <w:rPr>
          <w:rFonts w:ascii="Arial" w:cs="Arial" w:eastAsia="Arial" w:hAnsi="Arial"/>
          <w:sz w:val="22"/>
          <w:szCs w:val="22"/>
          <w:color w:val="auto"/>
        </w:rPr>
        <w:t>Each Director and Executive Officer of the Company understands that the approval or adoption of a Pre-Arranged Trading Program in no way reduces or eliminates such person’s obligations under Section 16 of the Exchange Act, including such person’s disclosure obligations and potential short-swing trading liabilities thereunder.</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b w:val="1"/>
          <w:bCs w:val="1"/>
          <w:i w:val="1"/>
          <w:iCs w:val="1"/>
          <w:color w:val="auto"/>
        </w:rPr>
        <w:t>Executive Officers</w:t>
      </w:r>
      <w:r>
        <w:rPr>
          <w:rFonts w:ascii="Arial" w:cs="Arial" w:eastAsia="Arial" w:hAnsi="Arial"/>
          <w:sz w:val="22"/>
          <w:szCs w:val="22"/>
          <w:color w:val="auto"/>
        </w:rPr>
        <w:t>: The Executive Officers are the officers of the Company that are subject to the reporting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trading restrictions imposed by Section 16 of the Exchange Act.</w:t>
      </w:r>
    </w:p>
    <w:p>
      <w:pPr>
        <w:spacing w:after="0" w:line="196" w:lineRule="exact"/>
        <w:rPr>
          <w:sz w:val="20"/>
          <w:szCs w:val="20"/>
          <w:color w:val="auto"/>
        </w:rPr>
      </w:pPr>
    </w:p>
    <w:p>
      <w:pPr>
        <w:jc w:val="both"/>
        <w:ind w:right="100"/>
        <w:spacing w:after="0" w:line="265" w:lineRule="auto"/>
        <w:rPr>
          <w:sz w:val="20"/>
          <w:szCs w:val="20"/>
          <w:color w:val="auto"/>
        </w:rPr>
      </w:pPr>
      <w:r>
        <w:rPr>
          <w:rFonts w:ascii="Arial" w:cs="Arial" w:eastAsia="Arial" w:hAnsi="Arial"/>
          <w:sz w:val="21"/>
          <w:szCs w:val="21"/>
          <w:b w:val="1"/>
          <w:bCs w:val="1"/>
          <w:i w:val="1"/>
          <w:iCs w:val="1"/>
          <w:color w:val="auto"/>
        </w:rPr>
        <w:t>Material Non-Public Information</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Material Non-Public Information is any information about a company, or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business, not generally available to the public which a reasonable investor would consider important in deciding whether to buy, hold or sell any securities of a public company. In other words, any information that could reasonably affect the market price of a security is material information. The U.S. Securities and Exchange Commission (the “SEC”) and U.S. courts have generally given a broad interpretation to what is considered “Material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Common examples of potential Material Information include, but are not limited to:</w:t>
      </w:r>
    </w:p>
    <w:p>
      <w:pPr>
        <w:spacing w:after="0" w:line="260" w:lineRule="exact"/>
        <w:rPr>
          <w:sz w:val="20"/>
          <w:szCs w:val="20"/>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Information about a transaction that will significantly affect the financial condition of a company</w:t>
      </w:r>
    </w:p>
    <w:p>
      <w:pPr>
        <w:spacing w:after="0" w:line="110"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Projections of future earnings or losses</w:t>
      </w:r>
    </w:p>
    <w:p>
      <w:pPr>
        <w:spacing w:after="0" w:line="110"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Earnings that are inconsistent with the consensus expectations of the investment community</w:t>
      </w:r>
    </w:p>
    <w:p>
      <w:pPr>
        <w:spacing w:after="0" w:line="110"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News of a pending or proposed merger, acquisition or tender offer</w:t>
      </w:r>
    </w:p>
    <w:p>
      <w:pPr>
        <w:spacing w:after="0" w:line="110"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News of a significant sale of assets or the disposition of a subsidiary</w:t>
      </w:r>
    </w:p>
    <w:p>
      <w:pPr>
        <w:spacing w:after="0" w:line="124"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Dividend actions, the declaration of a stock split or an offering of additional securities</w:t>
      </w:r>
    </w:p>
    <w:p>
      <w:pPr>
        <w:spacing w:after="0" w:line="110"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Changes in management, Executive Officers or Directors, including retirements</w:t>
      </w:r>
    </w:p>
    <w:p>
      <w:pPr>
        <w:spacing w:after="0" w:line="110"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Major new product releases</w:t>
      </w:r>
    </w:p>
    <w:p>
      <w:pPr>
        <w:spacing w:after="0" w:line="110"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Impending bankruptcy or financial liquidity problems</w:t>
      </w:r>
    </w:p>
    <w:p>
      <w:pPr>
        <w:spacing w:after="0" w:line="110"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The gain or loss of a substantial contract</w:t>
      </w:r>
    </w:p>
    <w:p>
      <w:pPr>
        <w:spacing w:after="0" w:line="124" w:lineRule="exact"/>
        <w:rPr>
          <w:rFonts w:ascii="Times New Roman" w:cs="Times New Roman" w:eastAsia="Times New Roman" w:hAnsi="Times New Roman"/>
          <w:sz w:val="22"/>
          <w:szCs w:val="22"/>
          <w:color w:val="auto"/>
        </w:rPr>
      </w:pPr>
    </w:p>
    <w:p>
      <w:pPr>
        <w:ind w:left="480" w:hanging="148"/>
        <w:spacing w:after="0"/>
        <w:tabs>
          <w:tab w:leader="none" w:pos="480"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Important financing transactions</w:t>
      </w:r>
    </w:p>
    <w:p>
      <w:pPr>
        <w:spacing w:after="0" w:line="110" w:lineRule="exact"/>
        <w:rPr>
          <w:rFonts w:ascii="Times New Roman" w:cs="Times New Roman" w:eastAsia="Times New Roman" w:hAnsi="Times New Roman"/>
          <w:sz w:val="22"/>
          <w:szCs w:val="22"/>
          <w:color w:val="auto"/>
        </w:rPr>
      </w:pPr>
    </w:p>
    <w:p>
      <w:pPr>
        <w:ind w:left="500" w:right="20" w:hanging="168"/>
        <w:spacing w:after="0" w:line="271" w:lineRule="auto"/>
        <w:tabs>
          <w:tab w:leader="none" w:pos="495" w:val="left"/>
        </w:tabs>
        <w:numPr>
          <w:ilvl w:val="0"/>
          <w:numId w:val="42"/>
        </w:numPr>
        <w:rPr>
          <w:rFonts w:ascii="Times New Roman" w:cs="Times New Roman" w:eastAsia="Times New Roman" w:hAnsi="Times New Roman"/>
          <w:sz w:val="22"/>
          <w:szCs w:val="22"/>
          <w:color w:val="auto"/>
        </w:rPr>
      </w:pPr>
      <w:r>
        <w:rPr>
          <w:rFonts w:ascii="Arial" w:cs="Arial" w:eastAsia="Arial" w:hAnsi="Arial"/>
          <w:sz w:val="22"/>
          <w:szCs w:val="22"/>
          <w:color w:val="auto"/>
        </w:rPr>
        <w:t>Cyber events or compromises of data privacy that may cause exposure to material financial costs or operational problems</w:t>
      </w:r>
    </w:p>
    <w:p>
      <w:pPr>
        <w:spacing w:after="0" w:line="49"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color w:val="auto"/>
        </w:rPr>
        <w:t>The foregoing list is not exhaustive –– any information that might be considered significant to an investor may be considered “material.”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PRE-ARRANGED TRADING PROGRAMS</w:t>
      </w:r>
      <w:r>
        <w:rPr>
          <w:rFonts w:ascii="Arial" w:cs="Arial" w:eastAsia="Arial" w:hAnsi="Arial"/>
          <w:sz w:val="22"/>
          <w:szCs w:val="22"/>
          <w:b w:val="1"/>
          <w:bCs w:val="1"/>
          <w:color w:val="auto"/>
        </w:rPr>
        <w:t>:</w:t>
      </w:r>
    </w:p>
    <w:p>
      <w:pPr>
        <w:spacing w:after="0" w:line="262"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Notwithstanding the restrictions set forth elsewhere in this policy, if the Company, an Executive Officer or a Director has established a pre-arranged trading program (“Pre-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3</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Arranged Trading Program”) that (a) meets the requirements of Rule 10b5-1 promulgated under the Exchange Act,</w:t>
      </w:r>
    </w:p>
    <w:p>
      <w:pPr>
        <w:spacing w:after="0" w:line="24" w:lineRule="exact"/>
        <w:rPr>
          <w:sz w:val="20"/>
          <w:szCs w:val="20"/>
          <w:color w:val="auto"/>
        </w:rPr>
      </w:pPr>
    </w:p>
    <w:p>
      <w:pPr>
        <w:jc w:val="both"/>
        <w:ind w:firstLine="8"/>
        <w:spacing w:after="0" w:line="247" w:lineRule="auto"/>
        <w:tabs>
          <w:tab w:leader="none" w:pos="34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was established at a time when the Company, the Executive Officer or Director was not aware of Material Non-Public Information, and (c) was approved in advance by Apogee’s Chief Legal Officer, then the Company, the Executive Officer or Director may sell or purchase Apogee securities while aware of Material Non-Public Information or during other periods in which Apogee has required or recommended the suspension of trading by the Company, Executive Officers and Directors, so long as such sales or purchases are made pursuant to such Pre-Arranged Trading Program.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Company may exercise its discretion to suspend trades under any existing Pre-Arranged Trading Program.</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REQUIREMENTS and ILLUSTRATIONS</w:t>
      </w:r>
      <w:r>
        <w:rPr>
          <w:rFonts w:ascii="Arial" w:cs="Arial" w:eastAsia="Arial" w:hAnsi="Arial"/>
          <w:sz w:val="22"/>
          <w:szCs w:val="22"/>
          <w:b w:val="1"/>
          <w:bCs w:val="1"/>
          <w:color w:val="auto"/>
        </w:rPr>
        <w:t>:</w:t>
      </w:r>
    </w:p>
    <w:p>
      <w:pPr>
        <w:spacing w:after="0" w:line="247"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Prohibition Against Trading on Material Non-Public Information:</w:t>
      </w:r>
    </w:p>
    <w:p>
      <w:pPr>
        <w:spacing w:after="0" w:line="249"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Any Executive Officer, employee or Director of the Company who is aware of Material Non-Public Information relating to the Company or to any other company with which the Company does business, which has not yet been available to the </w:t>
      </w:r>
      <w:r>
        <w:rPr>
          <w:rFonts w:ascii="Arial" w:cs="Arial" w:eastAsia="Arial" w:hAnsi="Arial"/>
          <w:sz w:val="21"/>
          <w:szCs w:val="21"/>
          <w:b w:val="1"/>
          <w:bCs w:val="1"/>
          <w:color w:val="auto"/>
        </w:rPr>
        <w:t>public for two (2) full trading days</w:t>
      </w:r>
      <w:r>
        <w:rPr>
          <w:rFonts w:ascii="Arial" w:cs="Arial" w:eastAsia="Arial" w:hAnsi="Arial"/>
          <w:sz w:val="21"/>
          <w:szCs w:val="21"/>
          <w:color w:val="auto"/>
        </w:rPr>
        <w:t>, may not trade in, or gift, securities of Apogee (unless such trading is pursuant to a Pre-Arranged Trading Program that meets all of the requirements set forth above) or the other company or directly or indirectly disclose such information to any other persons that may trade in such securities.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22"/>
          <w:szCs w:val="22"/>
          <w:i w:val="1"/>
          <w:iCs w:val="1"/>
          <w:color w:val="auto"/>
        </w:rPr>
        <w:t xml:space="preserve">Illustration – Access to Material Non–Public Information: </w:t>
      </w:r>
      <w:r>
        <w:rPr>
          <w:rFonts w:ascii="Arial" w:cs="Arial" w:eastAsia="Arial" w:hAnsi="Arial"/>
          <w:sz w:val="22"/>
          <w:szCs w:val="22"/>
          <w:color w:val="auto"/>
        </w:rPr>
        <w:t>Access to Material Non–Public Information may be seen in</w:t>
      </w:r>
      <w:r>
        <w:rPr>
          <w:rFonts w:ascii="Arial" w:cs="Arial" w:eastAsia="Arial" w:hAnsi="Arial"/>
          <w:sz w:val="22"/>
          <w:szCs w:val="22"/>
          <w:i w:val="1"/>
          <w:iCs w:val="1"/>
          <w:color w:val="auto"/>
        </w:rPr>
        <w:t xml:space="preserve"> </w:t>
      </w:r>
      <w:r>
        <w:rPr>
          <w:rFonts w:ascii="Arial" w:cs="Arial" w:eastAsia="Arial" w:hAnsi="Arial"/>
          <w:sz w:val="22"/>
          <w:szCs w:val="22"/>
          <w:color w:val="auto"/>
        </w:rPr>
        <w:t>circumstances like these:</w:t>
      </w:r>
    </w:p>
    <w:p>
      <w:pPr>
        <w:spacing w:after="0" w:line="183" w:lineRule="exact"/>
        <w:rPr>
          <w:sz w:val="20"/>
          <w:szCs w:val="20"/>
          <w:color w:val="auto"/>
        </w:rPr>
      </w:pPr>
    </w:p>
    <w:p>
      <w:pPr>
        <w:ind w:left="580" w:hanging="248"/>
        <w:spacing w:after="0" w:line="271" w:lineRule="auto"/>
        <w:tabs>
          <w:tab w:leader="none" w:pos="575" w:val="left"/>
        </w:tabs>
        <w:numPr>
          <w:ilvl w:val="0"/>
          <w:numId w:val="45"/>
        </w:numPr>
        <w:rPr>
          <w:rFonts w:ascii="Times New Roman" w:cs="Times New Roman" w:eastAsia="Times New Roman" w:hAnsi="Times New Roman"/>
          <w:sz w:val="22"/>
          <w:szCs w:val="22"/>
          <w:color w:val="auto"/>
        </w:rPr>
      </w:pPr>
      <w:r>
        <w:rPr>
          <w:rFonts w:ascii="Arial" w:cs="Arial" w:eastAsia="Arial" w:hAnsi="Arial"/>
          <w:sz w:val="22"/>
          <w:szCs w:val="22"/>
          <w:color w:val="auto"/>
        </w:rPr>
        <w:t>Before a company’s potential acquisition is disclosed to the public, an employee of the company tips off a relative who buys the company’s stock – both the employee and his/her relative are guilty of insider trading.</w:t>
      </w:r>
    </w:p>
    <w:p>
      <w:pPr>
        <w:spacing w:after="0" w:line="197" w:lineRule="exact"/>
        <w:rPr>
          <w:rFonts w:ascii="Times New Roman" w:cs="Times New Roman" w:eastAsia="Times New Roman" w:hAnsi="Times New Roman"/>
          <w:sz w:val="22"/>
          <w:szCs w:val="22"/>
          <w:color w:val="auto"/>
        </w:rPr>
      </w:pPr>
    </w:p>
    <w:p>
      <w:pPr>
        <w:jc w:val="both"/>
        <w:ind w:left="580" w:hanging="248"/>
        <w:spacing w:after="0" w:line="250" w:lineRule="auto"/>
        <w:tabs>
          <w:tab w:leader="none" w:pos="575" w:val="left"/>
        </w:tabs>
        <w:numPr>
          <w:ilvl w:val="0"/>
          <w:numId w:val="45"/>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An employee enters a trade </w:t>
      </w:r>
      <w:r>
        <w:rPr>
          <w:rFonts w:ascii="Arial" w:cs="Arial" w:eastAsia="Arial" w:hAnsi="Arial"/>
          <w:sz w:val="22"/>
          <w:szCs w:val="22"/>
          <w:u w:val="single" w:color="auto"/>
          <w:color w:val="auto"/>
        </w:rPr>
        <w:t>immediately after</w:t>
      </w:r>
      <w:r>
        <w:rPr>
          <w:rFonts w:ascii="Arial" w:cs="Arial" w:eastAsia="Arial" w:hAnsi="Arial"/>
          <w:sz w:val="22"/>
          <w:szCs w:val="22"/>
          <w:color w:val="auto"/>
        </w:rPr>
        <w:t xml:space="preserve"> a public announcement of material information has been made by the company. Because the investing public should be afforded the time to receive and absorb the information, an employee should not engage in any transactions in company securities until </w:t>
      </w:r>
      <w:r>
        <w:rPr>
          <w:rFonts w:ascii="Arial" w:cs="Arial" w:eastAsia="Arial" w:hAnsi="Arial"/>
          <w:sz w:val="22"/>
          <w:szCs w:val="22"/>
          <w:b w:val="1"/>
          <w:bCs w:val="1"/>
          <w:color w:val="auto"/>
        </w:rPr>
        <w:t>at least 48 hours</w:t>
      </w:r>
      <w:r>
        <w:rPr>
          <w:rFonts w:ascii="Arial" w:cs="Arial" w:eastAsia="Arial" w:hAnsi="Arial"/>
          <w:sz w:val="22"/>
          <w:szCs w:val="22"/>
          <w:color w:val="auto"/>
        </w:rPr>
        <w:t xml:space="preserve"> after the announcement. If the released information is particularly complex or voluminous, a longer period may be appropriate.</w:t>
      </w:r>
    </w:p>
    <w:p>
      <w:pPr>
        <w:spacing w:after="0" w:line="220" w:lineRule="exact"/>
        <w:rPr>
          <w:rFonts w:ascii="Times New Roman" w:cs="Times New Roman" w:eastAsia="Times New Roman" w:hAnsi="Times New Roman"/>
          <w:sz w:val="22"/>
          <w:szCs w:val="22"/>
          <w:color w:val="auto"/>
        </w:rPr>
      </w:pPr>
    </w:p>
    <w:p>
      <w:pPr>
        <w:ind w:left="580" w:hanging="248"/>
        <w:spacing w:after="0" w:line="271" w:lineRule="auto"/>
        <w:tabs>
          <w:tab w:leader="none" w:pos="575" w:val="left"/>
        </w:tabs>
        <w:numPr>
          <w:ilvl w:val="0"/>
          <w:numId w:val="45"/>
        </w:numPr>
        <w:rPr>
          <w:rFonts w:ascii="Times New Roman" w:cs="Times New Roman" w:eastAsia="Times New Roman" w:hAnsi="Times New Roman"/>
          <w:sz w:val="22"/>
          <w:szCs w:val="22"/>
          <w:color w:val="auto"/>
        </w:rPr>
      </w:pPr>
      <w:r>
        <w:rPr>
          <w:rFonts w:ascii="Arial" w:cs="Arial" w:eastAsia="Arial" w:hAnsi="Arial"/>
          <w:sz w:val="22"/>
          <w:szCs w:val="22"/>
          <w:color w:val="auto"/>
        </w:rPr>
        <w:t>If you know that a company is about to announce a new product or make a decision that could affect the price of the stock of a competitor or supplier, you</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should not buy or sell the stock of that company until the information becomes public.</w:t>
      </w:r>
    </w:p>
    <w:p>
      <w:pPr>
        <w:spacing w:after="0" w:line="247" w:lineRule="exact"/>
        <w:rPr>
          <w:sz w:val="20"/>
          <w:szCs w:val="20"/>
          <w:color w:val="auto"/>
        </w:rPr>
      </w:pPr>
    </w:p>
    <w:p>
      <w:pPr>
        <w:ind w:left="580" w:right="20" w:hanging="248"/>
        <w:spacing w:after="0" w:line="271" w:lineRule="auto"/>
        <w:tabs>
          <w:tab w:leader="none" w:pos="575" w:val="left"/>
        </w:tabs>
        <w:numPr>
          <w:ilvl w:val="1"/>
          <w:numId w:val="46"/>
        </w:numPr>
        <w:rPr>
          <w:rFonts w:ascii="Times New Roman" w:cs="Times New Roman" w:eastAsia="Times New Roman" w:hAnsi="Times New Roman"/>
          <w:sz w:val="22"/>
          <w:szCs w:val="22"/>
          <w:color w:val="auto"/>
        </w:rPr>
      </w:pPr>
      <w:r>
        <w:rPr>
          <w:rFonts w:ascii="Arial" w:cs="Arial" w:eastAsia="Arial" w:hAnsi="Arial"/>
          <w:sz w:val="22"/>
          <w:szCs w:val="22"/>
          <w:color w:val="auto"/>
        </w:rPr>
        <w:t>If you know that a company is about to make an announcement that could affect the price of its own stock, you should not buy or sell that stock on the open market until after the announcement.</w:t>
      </w:r>
    </w:p>
    <w:p>
      <w:pPr>
        <w:spacing w:after="0" w:line="197" w:lineRule="exact"/>
        <w:rPr>
          <w:rFonts w:ascii="Times New Roman" w:cs="Times New Roman" w:eastAsia="Times New Roman" w:hAnsi="Times New Roman"/>
          <w:sz w:val="22"/>
          <w:szCs w:val="22"/>
          <w:color w:val="auto"/>
        </w:rPr>
      </w:pPr>
    </w:p>
    <w:p>
      <w:pPr>
        <w:ind w:left="580" w:right="20" w:hanging="248"/>
        <w:spacing w:after="0" w:line="271" w:lineRule="auto"/>
        <w:tabs>
          <w:tab w:leader="none" w:pos="575" w:val="left"/>
        </w:tabs>
        <w:numPr>
          <w:ilvl w:val="1"/>
          <w:numId w:val="46"/>
        </w:numPr>
        <w:rPr>
          <w:rFonts w:ascii="Times New Roman" w:cs="Times New Roman" w:eastAsia="Times New Roman" w:hAnsi="Times New Roman"/>
          <w:sz w:val="22"/>
          <w:szCs w:val="22"/>
          <w:color w:val="auto"/>
        </w:rPr>
      </w:pPr>
      <w:r>
        <w:rPr>
          <w:rFonts w:ascii="Arial" w:cs="Arial" w:eastAsia="Arial" w:hAnsi="Arial"/>
          <w:sz w:val="22"/>
          <w:szCs w:val="22"/>
          <w:color w:val="auto"/>
        </w:rPr>
        <w:t>If you invest in a customer, you should not buy or sell its stock based on any Material Non-Public Information you have about that company that you have acquired in the course of performing your job with the company.</w:t>
      </w:r>
    </w:p>
    <w:p>
      <w:pPr>
        <w:spacing w:after="0" w:line="181"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No Trading in Securities of Certain Other Companies:</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 xml:space="preserve">If the Company is involved in a transaction with another public company, </w:t>
      </w:r>
      <w:r>
        <w:rPr>
          <w:rFonts w:ascii="Arial" w:cs="Arial" w:eastAsia="Arial" w:hAnsi="Arial"/>
          <w:sz w:val="22"/>
          <w:szCs w:val="22"/>
          <w:u w:val="single" w:color="auto"/>
          <w:color w:val="auto"/>
        </w:rPr>
        <w:t>whether or not the transaction has been</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announced</w:t>
      </w:r>
      <w:r>
        <w:rPr>
          <w:rFonts w:ascii="Arial" w:cs="Arial" w:eastAsia="Arial" w:hAnsi="Arial"/>
          <w:sz w:val="22"/>
          <w:szCs w:val="22"/>
          <w:color w:val="auto"/>
        </w:rPr>
        <w:t>, no Executive Officer, employee or Director who is aware of the transaction or possible transaction, may purchase or sell any securities or options of the Company or the other public company.</w:t>
      </w:r>
    </w:p>
    <w:p>
      <w:pPr>
        <w:spacing w:after="0" w:line="189" w:lineRule="exact"/>
        <w:rPr>
          <w:sz w:val="20"/>
          <w:szCs w:val="20"/>
          <w:color w:val="auto"/>
        </w:rPr>
      </w:pPr>
    </w:p>
    <w:p>
      <w:pPr>
        <w:ind w:left="660" w:right="20" w:hanging="652"/>
        <w:spacing w:after="0" w:line="285" w:lineRule="auto"/>
        <w:tabs>
          <w:tab w:leader="none" w:pos="651"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No Trading by Executive Officers, Directors or Designated Employees in Securities Except During a Quarterly Trading Window:</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To avoid the appearance of trading on Material Non-Public Information relating to earnings, Executive Officers, Directors, and other employees designated in writing by the Chief Legal Officer (“Designated Employees”) may only purchase or sell securities of the Company in the open market during a quarterly trading window, unless the purchases or sales are pursuant to a Pre-Arranged Trading Program that meets the requirements set forth above or are regular purchases of Apogee stock under the Apogee Employee Stock Purchase Plan (“ESPP”); provided, however, Executive Officers and Designated Employees may only increase, decrease or discontinue their contributions to any such ESPP during a quarterly trading window. Executive Officers, Directors, and Designated Employees may only exercise stock options and/or stock appreciation rights during a quarterly trading window, unless such exercises are pursuant to a Pre-Arranged Trading Program that meets the requirements set forth above or are “exercise and hold” transactions, with the exercise price and tax withholding of such options or stock appreciation rights being paid in cash or shares of Apogee stock tendered to the Company.</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trading window opens on the third trading day following the day announcement of earnings is made. The Company’s trading window closes 30 days prior to the close of the quarter. Trading in these window periods will not relieve liability for trading on or tipping Material Non-Public Information or if such trading results in recoverable “short-swing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Notify Apogee’s Chief Legal Officer Prior to Any Transaction in Securities: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Even though a quarterly trading window may be open, there are a number of other restrictions which may prohibit any trading by certain individuals, including trading restrictions relating to “short-swing” profits and trading restrictions imposed because of confidential material transactions. To avoid any inadvertent violation of trading prohibitions, unless the transaction is completed in accordance with a Pre-Arranged Trading Program that meets the requirements set forth above, or is a regular purchase (but not a sale) of Apogee stock pursuant to Apogee’s ESPP, no Executive Officer or Director may purchase or sell, or otherwise make any other transfer of, any Apogee securities in the open market (including any increases, decreases or discontinuation of contributions to the Apogee ESPP), or make a gift of any Apogee securities, unless the Apogee’s Chief Legal Officer or, in their absence, Apogee’s Chief Financial Officer, is advised in advance of such intent and approves the transaction.</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Furthermore, all employees are encouraged to seek the advice of Apogee’s Chief Legal Officer or, in their absence, of Apogee’s Chief Financial Officer, prior to effecting any transaction in securities of the Company during any “blackout” period. “Blackout” periods include the periods before trading windows and any days during a trading window with respect to which the Company or Chief Legal Officer or, in their absence, Apogee’s Chief Financial Officer, has advised you that you are not permitted to trade Company securities. Approved transactions should be completed within three trading days of approval by the Chief Legal Officer or, in their absence, by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Short-Swing Profits for Directors and Executive Officers:</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Under U.S. federal law, “short-swing” profits belong to and are recoverable by the Company. The Company cannot waive its right to recover short-swing profits; if the Company fails or refuses to collect the profits, a shareholder may commence a lawsuit for collection on behalf of the Company. This U.S. federal law applies regardless of whether the Executive Officer or Director was actually in possession of Material Non-Public Information. Lack of intent to trade on Material Non-Public Information is similarly irrelevant. Trades made through a Pre-Arranged Trading Program </w:t>
      </w:r>
      <w:r>
        <w:rPr>
          <w:rFonts w:ascii="Arial" w:cs="Arial" w:eastAsia="Arial" w:hAnsi="Arial"/>
          <w:sz w:val="22"/>
          <w:szCs w:val="22"/>
          <w:b w:val="1"/>
          <w:bCs w:val="1"/>
          <w:color w:val="auto"/>
        </w:rPr>
        <w:t>are not</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exempt </w:t>
      </w:r>
      <w:r>
        <w:rPr>
          <w:rFonts w:ascii="Arial" w:cs="Arial" w:eastAsia="Arial" w:hAnsi="Arial"/>
          <w:sz w:val="22"/>
          <w:szCs w:val="22"/>
          <w:color w:val="auto"/>
        </w:rPr>
        <w:t>from the short-swing profit rules.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Short-swing profits include any “profit” resulting from any combination of purchase and sale or sale and purchase of Company securities, including derivative securities, within six months of each other. The highest sale price of any securities sold during the six-month period will be matched against the lowest purchase price of any securities purchased during that period to determine if a short-swing profit exists. The order in which the purchase and sale occurred and the fact that they may have involved different shares in the Company are both irrelevant to whether a “profit” exists.</w:t>
      </w:r>
    </w:p>
    <w:p>
      <w:pPr>
        <w:spacing w:after="0" w:line="220"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Short Sales:</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U.S. federal law prohibits Executive Officers and Directors from making “short” sales or “sales against the box” of Company securities. A short sale is the sale of securities where the Company securities are not actually owned and where delivery on the sale is made with borrowed or subsequently purchased securities. It is unlawful and improper for an Executive Officer or Director to sell Company securities which they do not own and an acquisition of a put or issuance of a call for Company securities may result in a violation of the short sale prohibition. A “sale against the box” is the sale of securities owned but not promptly delivered after the sale. It is a violation of U.S. federal law for an Executive Officer or Director to sell Company securities if the certificate representing the securities is not delivered within 20 days after the sale or deposited in the mail or other usual means of delivery within five days after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Hedging and Pledging Transactions Prohibited:</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Certain forms of hedging or monetization transactions allow a shareholder to lock in much of the value of their stock holdings, often in exchange for all or part of the potential for upside appreciation in the stock. Such transactions in securities of the Company by an Executive Officer, other employee of the Company or Director would allow such individual to continue to own the covered securities of the Company, but without the full risks and rewards of ownership. When that occurs, the Executive Officer, other employee of the Company or Director may no longer have the same objectives as other shareholders of the Company. For this reason, the Company prohibits all Executive Officers, other employees of the Company and Directors from engaging in the purchase or sale of financial instruments (including prepaid variable forward contracts, equity swaps, collars and exchange funds) that are designed to hedge or offset any decrease in the market value of the Company’s securities.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No Executive Officer or Director may, directly or indirectly, pledge, hypothecate, or otherwise encumber shares of the Company’s common stock as collateral for indebtedness. This prohibition includes, but is not limited to, holding such shares in a margin account or any other account that could cause Apogee common stock to be subject to a margin call or otherwise be available as collateral for a margin loan.</w:t>
      </w:r>
    </w:p>
    <w:p>
      <w:pPr>
        <w:spacing w:after="0" w:line="197"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Tipping Information to Others:</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Executive Officers, employees and Directors must not pass Material Non–Public Information on to others. Penalties under U.S. federal securities laws apply whether or not the employee derives a benefit from another’s actions. In fact, the SEC has imposed substantial penalties on tippers even though they did not profit financially from their tippee’s trading.</w:t>
      </w:r>
    </w:p>
    <w:p>
      <w:pPr>
        <w:spacing w:after="0" w:line="214"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Transactions by Family Members:</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restrictions contained in this policy apply equally to family members and any other individuals living in an Executive Officer’s, employee’s or Director’s household. Executive Officer’s, employees and Directors are expected to be responsible for the compliance of their immediate family and personal household. Family members and any other individuals living in an Executive Officer’s or Director’s household are required to comply with the preclearance procedures outlined in section 4 above prior to engaging in any transactions in Company securities.</w:t>
      </w:r>
    </w:p>
    <w:p>
      <w:pPr>
        <w:spacing w:after="0" w:line="204"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8</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1054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Serious problems could be caused for the Company by unauthorized disclosure of internal information about the Company, whether or not such disclosure is for the purpose of facilitating improper trading in shares of Company securities. Company personnel should not discuss internal Company matters or developments with anyone outside of the Company, except as required in the performance of regular duties.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This prohibition on sharing Company information applies specifically (but not exclusively) to inquiries about the Company which may be made by the press, investment analysts or others in the financial community. It is important that all such communications on behalf of the Company be through an appropriately designated officer under carefully controlled circumstances. Unless you are expressly authorized to the contrary, if you receive any inquiries of this nature, you should decline comment and refer the inquirer to the Company’s designated spokesperson. See </w:t>
      </w:r>
      <w:r>
        <w:rPr>
          <w:rFonts w:ascii="Arial" w:cs="Arial" w:eastAsia="Arial" w:hAnsi="Arial"/>
          <w:sz w:val="22"/>
          <w:szCs w:val="22"/>
          <w:i w:val="1"/>
          <w:iCs w:val="1"/>
          <w:color w:val="auto"/>
        </w:rPr>
        <w:t xml:space="preserve">Disclosure of Information to the Public, the Media and Analysts Corporate Policy </w:t>
      </w:r>
      <w:r>
        <w:rPr>
          <w:rFonts w:ascii="Arial" w:cs="Arial" w:eastAsia="Arial" w:hAnsi="Arial"/>
          <w:sz w:val="22"/>
          <w:szCs w:val="22"/>
          <w:color w:val="auto"/>
        </w:rPr>
        <w:t>(Legal 025).</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above REQUIREMENTS and ILLUSTRATIONS are examples only and are by no means intended to be complete. If you have any questions, you should contact Apogee’s Chief Legal Officer.</w:t>
      </w:r>
    </w:p>
    <w:p>
      <w:pPr>
        <w:spacing w:after="0" w:line="181" w:lineRule="exact"/>
        <w:rPr>
          <w:sz w:val="20"/>
          <w:szCs w:val="20"/>
          <w:color w:val="auto"/>
        </w:rPr>
      </w:pPr>
    </w:p>
    <w:p>
      <w:pPr>
        <w:ind w:left="600" w:hanging="592"/>
        <w:spacing w:after="0"/>
        <w:tabs>
          <w:tab w:leader="none" w:pos="60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Post-Termination Transactions:</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policy continues to apply to transactions in Company securities even after termination of service to the Company. If an Executive Officer, employee or Director is in possession of Material Non-Public Information when their service terminates, that individual may not trade in Company securities until that information has become public or is no longer material.</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COMPLIANCE PROGRAM AND CORPORATE POLICY REFERENCES</w:t>
      </w:r>
      <w:r>
        <w:rPr>
          <w:rFonts w:ascii="Arial" w:cs="Arial" w:eastAsia="Arial" w:hAnsi="Arial"/>
          <w:sz w:val="22"/>
          <w:szCs w:val="22"/>
          <w:b w:val="1"/>
          <w:bCs w:val="1"/>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Disclosure of Information to the Public, the Media and Analysts Corporate Policy (Legal 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9</w:t>
      </w:r>
    </w:p>
    <w:p>
      <w:pPr>
        <w:sectPr>
          <w:pgSz w:w="11900" w:h="16838" w:orient="portrait"/>
          <w:cols w:equalWidth="0" w:num="1">
            <w:col w:w="11240"/>
          </w:cols>
          <w:pgMar w:left="320" w:top="144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32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c>
          <w:tcPr>
            <w:tcW w:w="182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is the owner of all of the issued and outstanding stock of the following corporations, except as noted below.</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Country of</w:t>
            </w:r>
          </w:p>
        </w:tc>
        <w:tc>
          <w:tcPr>
            <w:tcW w:w="0" w:type="dxa"/>
            <w:vAlign w:val="bottom"/>
          </w:tcPr>
          <w:p>
            <w:pPr>
              <w:spacing w:after="0"/>
              <w:rPr>
                <w:sz w:val="1"/>
                <w:szCs w:val="1"/>
                <w:color w:val="auto"/>
              </w:rPr>
            </w:pPr>
          </w:p>
        </w:tc>
      </w:tr>
      <w:tr>
        <w:trPr>
          <w:trHeight w:val="243"/>
        </w:trPr>
        <w:tc>
          <w:tcPr>
            <w:tcW w:w="9060" w:type="dxa"/>
            <w:vAlign w:val="bottom"/>
            <w:gridSpan w:val="4"/>
            <w:vMerge w:val="continue"/>
          </w:tcPr>
          <w:p>
            <w:pPr>
              <w:spacing w:after="0"/>
              <w:rPr>
                <w:sz w:val="21"/>
                <w:szCs w:val="21"/>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0" w:type="dxa"/>
            <w:vAlign w:val="bottom"/>
          </w:tcPr>
          <w:p>
            <w:pPr>
              <w:spacing w:after="0"/>
              <w:rPr>
                <w:sz w:val="1"/>
                <w:szCs w:val="1"/>
                <w:color w:val="auto"/>
              </w:rPr>
            </w:pPr>
          </w:p>
        </w:tc>
      </w:tr>
      <w:tr>
        <w:trPr>
          <w:trHeight w:val="223"/>
        </w:trPr>
        <w:tc>
          <w:tcPr>
            <w:tcW w:w="8780" w:type="dxa"/>
            <w:vAlign w:val="bottom"/>
            <w:tcBorders>
              <w:top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Alumicor Limited</w:t>
            </w:r>
          </w:p>
        </w:tc>
        <w:tc>
          <w:tcPr>
            <w:tcW w:w="2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Apogee Services, Inc.</w:t>
            </w:r>
            <w:r>
              <w:rPr>
                <w:rFonts w:ascii="Times New Roman" w:cs="Times New Roman" w:eastAsia="Times New Roman" w:hAnsi="Times New Roman"/>
                <w:sz w:val="23"/>
                <w:szCs w:val="23"/>
                <w:color w:val="auto"/>
                <w:vertAlign w:val="superscript"/>
              </w:rPr>
              <w:t>(1)</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Apogee SFS US, LLC</w:t>
            </w:r>
            <w:r>
              <w:rPr>
                <w:rFonts w:ascii="Times New Roman" w:cs="Times New Roman" w:eastAsia="Times New Roman" w:hAnsi="Times New Roman"/>
                <w:sz w:val="23"/>
                <w:szCs w:val="23"/>
                <w:color w:val="auto"/>
                <w:vertAlign w:val="superscript"/>
              </w:rPr>
              <w:t>(5)</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Apogee Wausau Group,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Wisconsin</w:t>
            </w:r>
          </w:p>
        </w:tc>
        <w:tc>
          <w:tcPr>
            <w:tcW w:w="0" w:type="dxa"/>
            <w:vAlign w:val="bottom"/>
          </w:tcPr>
          <w:p>
            <w:pPr>
              <w:spacing w:after="0"/>
              <w:rPr>
                <w:sz w:val="1"/>
                <w:szCs w:val="1"/>
                <w:color w:val="auto"/>
              </w:rPr>
            </w:pPr>
          </w:p>
        </w:tc>
      </w:tr>
      <w:tr>
        <w:trPr>
          <w:trHeight w:val="229"/>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Architectural Services Holding Company,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Cornerstone Specialty Wood Products, LLC</w:t>
            </w:r>
            <w:r>
              <w:rPr>
                <w:rFonts w:ascii="Times New Roman" w:cs="Times New Roman" w:eastAsia="Times New Roman" w:hAnsi="Times New Roman"/>
                <w:sz w:val="23"/>
                <w:szCs w:val="23"/>
                <w:color w:val="auto"/>
                <w:vertAlign w:val="superscript"/>
              </w:rPr>
              <w:t>(8)</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Kentucky</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EFCO, LLC</w:t>
            </w:r>
            <w:r>
              <w:rPr>
                <w:rFonts w:ascii="Times New Roman" w:cs="Times New Roman" w:eastAsia="Times New Roman" w:hAnsi="Times New Roman"/>
                <w:sz w:val="23"/>
                <w:szCs w:val="23"/>
                <w:color w:val="auto"/>
                <w:vertAlign w:val="superscript"/>
              </w:rPr>
              <w:t>(5)</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Glassec Vidros de Seguranca Ltda.</w:t>
            </w:r>
            <w:r>
              <w:rPr>
                <w:rFonts w:ascii="Times New Roman" w:cs="Times New Roman" w:eastAsia="Times New Roman" w:hAnsi="Times New Roman"/>
                <w:sz w:val="23"/>
                <w:szCs w:val="23"/>
                <w:color w:val="auto"/>
                <w:vertAlign w:val="superscript"/>
              </w:rPr>
              <w:t>(3)</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30"/>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Harmon Contract,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Harmon Facades ULC</w:t>
            </w:r>
            <w:r>
              <w:rPr>
                <w:rFonts w:ascii="Times New Roman" w:cs="Times New Roman" w:eastAsia="Times New Roman" w:hAnsi="Times New Roman"/>
                <w:sz w:val="23"/>
                <w:szCs w:val="23"/>
                <w:color w:val="auto"/>
                <w:vertAlign w:val="superscript"/>
              </w:rPr>
              <w:t>(7)</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29"/>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Harmon,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230"/>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Prism Assurance, Ltd.</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 &amp; D Coatings, LLC</w:t>
            </w:r>
            <w:r>
              <w:rPr>
                <w:rFonts w:ascii="Times New Roman" w:cs="Times New Roman" w:eastAsia="Times New Roman" w:hAnsi="Times New Roman"/>
                <w:sz w:val="23"/>
                <w:szCs w:val="23"/>
                <w:color w:val="auto"/>
                <w:vertAlign w:val="superscript"/>
              </w:rPr>
              <w:t>(11)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Tru Vue Netherlands, B.V.</w:t>
            </w:r>
            <w:r>
              <w:rPr>
                <w:rFonts w:ascii="Times New Roman" w:cs="Times New Roman" w:eastAsia="Times New Roman" w:hAnsi="Times New Roman"/>
                <w:sz w:val="23"/>
                <w:szCs w:val="23"/>
                <w:color w:val="auto"/>
                <w:vertAlign w:val="superscript"/>
              </w:rPr>
              <w:t>(4)</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0" w:type="dxa"/>
            <w:vAlign w:val="bottom"/>
          </w:tcPr>
          <w:p>
            <w:pPr>
              <w:spacing w:after="0"/>
              <w:rPr>
                <w:sz w:val="1"/>
                <w:szCs w:val="1"/>
                <w:color w:val="auto"/>
              </w:rPr>
            </w:pPr>
          </w:p>
        </w:tc>
      </w:tr>
      <w:tr>
        <w:trPr>
          <w:trHeight w:val="230"/>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Tru Vue,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Universal Woods EMEA, BVBA</w:t>
            </w:r>
            <w:r>
              <w:rPr>
                <w:rFonts w:ascii="Times New Roman" w:cs="Times New Roman" w:eastAsia="Times New Roman" w:hAnsi="Times New Roman"/>
                <w:sz w:val="23"/>
                <w:szCs w:val="23"/>
                <w:color w:val="auto"/>
                <w:vertAlign w:val="superscript"/>
              </w:rPr>
              <w:t>(10)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Universal Woods International, LLC</w:t>
            </w:r>
            <w:r>
              <w:rPr>
                <w:rFonts w:ascii="Times New Roman" w:cs="Times New Roman" w:eastAsia="Times New Roman" w:hAnsi="Times New Roman"/>
                <w:sz w:val="23"/>
                <w:szCs w:val="23"/>
                <w:color w:val="auto"/>
                <w:vertAlign w:val="superscript"/>
              </w:rPr>
              <w:t>(8)</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Kentucky</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Universal Woods, LLC</w:t>
            </w:r>
            <w:r>
              <w:rPr>
                <w:rFonts w:ascii="Times New Roman" w:cs="Times New Roman" w:eastAsia="Times New Roman" w:hAnsi="Times New Roman"/>
                <w:sz w:val="23"/>
                <w:szCs w:val="23"/>
                <w:color w:val="auto"/>
                <w:vertAlign w:val="superscript"/>
              </w:rPr>
              <w:t>(11)</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Kentucky</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UW Interco Corp</w:t>
            </w:r>
            <w:r>
              <w:rPr>
                <w:rFonts w:ascii="Times New Roman" w:cs="Times New Roman" w:eastAsia="Times New Roman" w:hAnsi="Times New Roman"/>
                <w:sz w:val="23"/>
                <w:szCs w:val="23"/>
                <w:color w:val="auto"/>
                <w:vertAlign w:val="superscript"/>
              </w:rPr>
              <w:t>(12)</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UW Interco II, LLC</w:t>
            </w:r>
            <w:r>
              <w:rPr>
                <w:rFonts w:ascii="Times New Roman" w:cs="Times New Roman" w:eastAsia="Times New Roman" w:hAnsi="Times New Roman"/>
                <w:sz w:val="23"/>
                <w:szCs w:val="23"/>
                <w:color w:val="auto"/>
                <w:vertAlign w:val="superscript"/>
              </w:rPr>
              <w:t>(9)</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UW INTERCO,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UW International Sales, Inc. </w:t>
            </w:r>
            <w:r>
              <w:rPr>
                <w:rFonts w:ascii="Times New Roman" w:cs="Times New Roman" w:eastAsia="Times New Roman" w:hAnsi="Times New Roman"/>
                <w:sz w:val="23"/>
                <w:szCs w:val="23"/>
                <w:color w:val="auto"/>
                <w:vertAlign w:val="superscript"/>
              </w:rPr>
              <w:t>(11)</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UW Real Estate Holdings, LLC</w:t>
            </w:r>
            <w:r>
              <w:rPr>
                <w:rFonts w:ascii="Times New Roman" w:cs="Times New Roman" w:eastAsia="Times New Roman" w:hAnsi="Times New Roman"/>
                <w:sz w:val="23"/>
                <w:szCs w:val="23"/>
                <w:color w:val="auto"/>
                <w:vertAlign w:val="superscript"/>
              </w:rPr>
              <w:t>(11)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Velocity, An Apogee Company, LLC</w:t>
            </w:r>
            <w:r>
              <w:rPr>
                <w:rFonts w:ascii="Times New Roman" w:cs="Times New Roman" w:eastAsia="Times New Roman" w:hAnsi="Times New Roman"/>
                <w:sz w:val="23"/>
                <w:szCs w:val="23"/>
                <w:color w:val="auto"/>
                <w:vertAlign w:val="superscript"/>
              </w:rPr>
              <w:t>(6)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Viracon Georgia, LLC</w:t>
            </w:r>
            <w:r>
              <w:rPr>
                <w:rFonts w:ascii="Times New Roman" w:cs="Times New Roman" w:eastAsia="Times New Roman" w:hAnsi="Times New Roman"/>
                <w:sz w:val="23"/>
                <w:szCs w:val="23"/>
                <w:color w:val="auto"/>
                <w:vertAlign w:val="superscript"/>
              </w:rPr>
              <w:t>(1)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230"/>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Viracon Holding Company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Viracon Singapore Pte. Ltd</w:t>
            </w:r>
            <w:r>
              <w:rPr>
                <w:rFonts w:ascii="Times New Roman" w:cs="Times New Roman" w:eastAsia="Times New Roman" w:hAnsi="Times New Roman"/>
                <w:sz w:val="23"/>
                <w:szCs w:val="23"/>
                <w:color w:val="auto"/>
                <w:vertAlign w:val="superscript"/>
              </w:rPr>
              <w:t>(2)</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366"/>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Viracon, LLC</w:t>
            </w:r>
            <w:r>
              <w:rPr>
                <w:rFonts w:ascii="Times New Roman" w:cs="Times New Roman" w:eastAsia="Times New Roman" w:hAnsi="Times New Roman"/>
                <w:sz w:val="23"/>
                <w:szCs w:val="23"/>
                <w:color w:val="auto"/>
                <w:vertAlign w:val="superscript"/>
              </w:rPr>
              <w:t>(6)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60" w:hanging="152"/>
        <w:spacing w:after="0"/>
        <w:tabs>
          <w:tab w:leader="none" w:pos="16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Harmon, Inc.</w:t>
      </w:r>
    </w:p>
    <w:p>
      <w:pPr>
        <w:spacing w:after="0" w:line="23" w:lineRule="exact"/>
        <w:rPr>
          <w:rFonts w:ascii="Times New Roman" w:cs="Times New Roman" w:eastAsia="Times New Roman" w:hAnsi="Times New Roman"/>
          <w:sz w:val="19"/>
          <w:szCs w:val="19"/>
          <w:color w:val="auto"/>
          <w:vertAlign w:val="superscript"/>
        </w:rPr>
      </w:pPr>
    </w:p>
    <w:p>
      <w:pPr>
        <w:ind w:left="180" w:hanging="172"/>
        <w:spacing w:after="0" w:line="191" w:lineRule="auto"/>
        <w:tabs>
          <w:tab w:leader="none" w:pos="18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Owned by Viracon, LLC</w:t>
      </w:r>
    </w:p>
    <w:p>
      <w:pPr>
        <w:spacing w:after="0" w:line="37"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Owned 99.9+% by Viracon, LLC and &lt;0.1% by Harmon Contract, Inc.</w:t>
      </w:r>
    </w:p>
    <w:p>
      <w:pPr>
        <w:spacing w:after="0" w:line="20" w:lineRule="exact"/>
        <w:rPr>
          <w:rFonts w:ascii="Times New Roman" w:cs="Times New Roman" w:eastAsia="Times New Roman" w:hAnsi="Times New Roman"/>
          <w:sz w:val="21"/>
          <w:szCs w:val="21"/>
          <w:color w:val="auto"/>
          <w:vertAlign w:val="superscript"/>
        </w:rPr>
      </w:pPr>
    </w:p>
    <w:p>
      <w:pPr>
        <w:ind w:left="160" w:hanging="152"/>
        <w:spacing w:after="0" w:line="229" w:lineRule="auto"/>
        <w:tabs>
          <w:tab w:leader="none" w:pos="16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Tru Vue, Inc.</w:t>
      </w:r>
    </w:p>
    <w:p>
      <w:pPr>
        <w:spacing w:after="0" w:line="24"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Apogee Wausau Group, Inc.</w:t>
      </w:r>
    </w:p>
    <w:p>
      <w:pPr>
        <w:spacing w:after="0" w:line="37"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Viracon Holding Company</w:t>
      </w:r>
    </w:p>
    <w:p>
      <w:pPr>
        <w:spacing w:after="0" w:line="37"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Architectural Services Holding Company, LLC</w:t>
      </w:r>
    </w:p>
    <w:p>
      <w:pPr>
        <w:spacing w:after="0" w:line="23"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Universal Woods, LLC</w:t>
      </w:r>
    </w:p>
    <w:p>
      <w:pPr>
        <w:spacing w:after="0" w:line="37"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99.5% by UW INTERCO, LLC and .5% by UW Interco Corp</w:t>
      </w:r>
    </w:p>
    <w:p>
      <w:pPr>
        <w:spacing w:after="0" w:line="37" w:lineRule="exact"/>
        <w:rPr>
          <w:rFonts w:ascii="Times New Roman" w:cs="Times New Roman" w:eastAsia="Times New Roman" w:hAnsi="Times New Roman"/>
          <w:sz w:val="19"/>
          <w:szCs w:val="19"/>
          <w:color w:val="auto"/>
          <w:vertAlign w:val="superscript"/>
        </w:rPr>
      </w:pPr>
    </w:p>
    <w:p>
      <w:pPr>
        <w:ind w:left="200" w:hanging="192"/>
        <w:spacing w:after="0" w:line="236" w:lineRule="auto"/>
        <w:tabs>
          <w:tab w:leader="none" w:pos="200"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Owned 99% by Universal Woods, LLC and 1% by Universal Woods International, LLC</w:t>
      </w:r>
    </w:p>
    <w:p>
      <w:pPr>
        <w:spacing w:after="0" w:line="20" w:lineRule="exact"/>
        <w:rPr>
          <w:rFonts w:ascii="Times New Roman" w:cs="Times New Roman" w:eastAsia="Times New Roman" w:hAnsi="Times New Roman"/>
          <w:sz w:val="17"/>
          <w:szCs w:val="17"/>
          <w:color w:val="auto"/>
          <w:vertAlign w:val="superscript"/>
        </w:rPr>
      </w:pPr>
    </w:p>
    <w:p>
      <w:pPr>
        <w:ind w:left="200" w:hanging="192"/>
        <w:spacing w:after="0"/>
        <w:tabs>
          <w:tab w:leader="none" w:pos="200"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Owned by UW Interco II, LLC</w:t>
      </w:r>
    </w:p>
    <w:p>
      <w:pPr>
        <w:spacing w:after="0" w:line="34" w:lineRule="exact"/>
        <w:rPr>
          <w:rFonts w:ascii="Times New Roman" w:cs="Times New Roman" w:eastAsia="Times New Roman" w:hAnsi="Times New Roman"/>
          <w:sz w:val="17"/>
          <w:szCs w:val="17"/>
          <w:color w:val="auto"/>
          <w:vertAlign w:val="superscript"/>
        </w:rPr>
      </w:pPr>
    </w:p>
    <w:p>
      <w:pPr>
        <w:ind w:left="200" w:hanging="192"/>
        <w:spacing w:after="0"/>
        <w:tabs>
          <w:tab w:leader="none" w:pos="200"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Owned by UW INTERCO, LLC</w:t>
      </w:r>
    </w:p>
    <w:p>
      <w:pPr>
        <w:sectPr>
          <w:pgSz w:w="11900" w:h="16838" w:orient="portrait"/>
          <w:cols w:equalWidth="0" w:num="1">
            <w:col w:w="11240"/>
          </w:cols>
          <w:pgMar w:left="320" w:top="114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89"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333-58181, 333-95863, 333- 160205, 333-169944, 333-175404, 333-197617, 333-197618, 333-207364, 333-207369, 333-236400, 333-</w:t>
      </w:r>
    </w:p>
    <w:p>
      <w:pPr>
        <w:spacing w:after="0"/>
        <w:rPr>
          <w:sz w:val="20"/>
          <w:szCs w:val="20"/>
          <w:color w:val="auto"/>
        </w:rPr>
      </w:pPr>
      <w:r>
        <w:rPr>
          <w:rFonts w:ascii="Times New Roman" w:cs="Times New Roman" w:eastAsia="Times New Roman" w:hAnsi="Times New Roman"/>
          <w:sz w:val="20"/>
          <w:szCs w:val="20"/>
          <w:color w:val="auto"/>
        </w:rPr>
        <w:t>249589, 333-249590, 333-257410, 333-260220, 333,260222,333-260223, and 333-236400 on Form S-8 of</w:t>
      </w:r>
    </w:p>
    <w:p>
      <w:pPr>
        <w:spacing w:after="0" w:line="3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20"/>
          <w:szCs w:val="20"/>
          <w:color w:val="auto"/>
        </w:rPr>
        <w:t>our reports dated April 24, 2025, relating to the financial statements of Apogee Enterprises, Inc. and the effectiveness of Apogee Enterprises, Inc.’s internal control over financial reporting appearing in this Annual Report on Form 10-K for the year ended March 1, 2025.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 Minneapolis, Minnesota April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24, 2025</w:t>
      </w:r>
    </w:p>
    <w:p>
      <w:pPr>
        <w:sectPr>
          <w:pgSz w:w="11900" w:h="16838" w:orient="portrait"/>
          <w:cols w:equalWidth="0" w:num="1">
            <w:col w:w="11140"/>
          </w:cols>
          <w:pgMar w:left="420" w:top="69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300" w:hanging="652"/>
        <w:spacing w:after="0" w:line="266" w:lineRule="auto"/>
        <w:tabs>
          <w:tab w:leader="none" w:pos="227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60" w:hanging="652"/>
        <w:spacing w:after="0" w:line="282" w:lineRule="auto"/>
        <w:tabs>
          <w:tab w:leader="none" w:pos="22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3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Ty R. Silberhorn</w:t>
      </w: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Osberg, certify that:</w:t>
      </w:r>
    </w:p>
    <w:p>
      <w:pPr>
        <w:spacing w:after="0" w:line="117"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300" w:hanging="652"/>
        <w:spacing w:after="0" w:line="266" w:lineRule="auto"/>
        <w:tabs>
          <w:tab w:leader="none" w:pos="227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60" w:hanging="652"/>
        <w:spacing w:after="0" w:line="282" w:lineRule="auto"/>
        <w:tabs>
          <w:tab w:leader="none" w:pos="2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33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Matthew J. Osberg</w:t>
      </w:r>
    </w:p>
    <w:p>
      <w:pPr>
        <w:ind w:left="6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Apogee Enterprises, Inc. (the “Company”) on Form 10-K for the period ended March 1, 2025, as filed with the Securities and Exchange Commission (the “Report”), I, Ty R. Silberhorn, Chief Executive Officer of the Company, certify, pursuant to 18 U.S.C. §1350, as adopted pursuant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24, 2025</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Apogee Enterprises, Inc. (the “Company”) on Form 10-K for the period ended March 1, 2025, as filed with the Securities and Exchange Commission (the “Report”), I, Matthew J. Osberg, Executive Vice President and Chief Financial Officer of the Company, certify, pursuant to 18 U.S.C. §1350, as adopted pursuant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J. Osberg</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24,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lvl w:ilvl="1">
      <w:lvlJc w:val="left"/>
      <w:lvlText w:val="•"/>
      <w:numFmt w:val="bullet"/>
      <w:start w:val="1"/>
    </w:lvl>
  </w:abstractNum>
  <w:abstractNum w:abstractNumId="18">
    <w:nsid w:val="51EAD36B"/>
    <w:multiLevelType w:val="hybridMultilevel"/>
    <w:lvl w:ilvl="0">
      <w:lvlJc w:val="left"/>
      <w:lvlText w:val="(%1)"/>
      <w:numFmt w:val="decimal"/>
      <w:start w:val="1"/>
    </w:lvl>
    <w:lvl w:ilvl="1">
      <w:lvlJc w:val="left"/>
      <w:lvlText w:val="•"/>
      <w:numFmt w:val="bullet"/>
      <w:start w:val="1"/>
    </w:lvl>
  </w:abstractNum>
  <w:abstractNum w:abstractNumId="19">
    <w:nsid w:val="2D517796"/>
    <w:multiLevelType w:val="hybridMultilevel"/>
    <w:lvl w:ilvl="0">
      <w:lvlJc w:val="left"/>
      <w:lvlText w:val="(%1)"/>
      <w:numFmt w:val="decimal"/>
      <w:start w:val="1"/>
    </w:lvl>
    <w:lvl w:ilvl="1">
      <w:lvlJc w:val="left"/>
      <w:lvlText w:val="•"/>
      <w:numFmt w:val="bullet"/>
      <w:start w:val="1"/>
    </w:lvl>
  </w:abstractNum>
  <w:abstractNum w:abstractNumId="20">
    <w:nsid w:val="580BD78F"/>
    <w:multiLevelType w:val="hybridMultilevel"/>
    <w:lvl w:ilvl="0">
      <w:lvlJc w:val="left"/>
      <w:lvlText w:val="(%1)"/>
      <w:numFmt w:val="decimal"/>
      <w:start w:val="1"/>
    </w:lvl>
    <w:lvl w:ilvl="1">
      <w:lvlJc w:val="left"/>
      <w:lvlText w:val="•"/>
      <w:numFmt w:val="bullet"/>
      <w:start w:val="1"/>
    </w:lvl>
  </w:abstractNum>
  <w:abstractNum w:abstractNumId="21">
    <w:nsid w:val="153EA438"/>
    <w:multiLevelType w:val="hybridMultilevel"/>
    <w:lvl w:ilvl="0">
      <w:lvlJc w:val="left"/>
      <w:lvlText w:val="•"/>
      <w:numFmt w:val="bullet"/>
      <w:start w:val="1"/>
    </w:lvl>
    <w:lvl w:ilvl="1">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2"/>
    </w:lvl>
  </w:abstractNum>
  <w:abstractNum w:abstractNumId="25">
    <w:nsid w:val="2A487CB0"/>
    <w:multiLevelType w:val="hybridMultilevel"/>
    <w:lvl w:ilvl="0">
      <w:lvlJc w:val="left"/>
      <w:lvlText w:val="%1."/>
      <w:numFmt w:val="decimal"/>
      <w:start w:val="3"/>
    </w:lvl>
  </w:abstractNum>
  <w:abstractNum w:abstractNumId="26">
    <w:nsid w:val="1D4ED43B"/>
    <w:multiLevelType w:val="hybridMultilevel"/>
    <w:lvl w:ilvl="0">
      <w:lvlJc w:val="left"/>
      <w:lvlText w:val="%1."/>
      <w:numFmt w:val="decimal"/>
      <w:start w:val="4"/>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lvl w:ilvl="1">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2"/>
    </w:lvl>
  </w:abstractNum>
  <w:abstractNum w:abstractNumId="40">
    <w:nsid w:val="3DC240FB"/>
    <w:multiLevelType w:val="hybridMultilevel"/>
    <w:lvl w:ilvl="0">
      <w:lvlJc w:val="left"/>
      <w:lvlText w:val="%1"/>
      <w:numFmt w:val="decimal"/>
      <w:start w:val="101"/>
    </w:lvl>
    <w:lvl w:ilvl="1">
      <w:lvlJc w:val="left"/>
      <w:lvlText w:val="(%2)"/>
      <w:numFmt w:val="lowerRoman"/>
      <w:start w:val="4"/>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lowerLetter"/>
      <w:start w:val="2"/>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lvl w:ilvl="1">
      <w:lvlJc w:val="left"/>
      <w:lvlText w:val="•"/>
      <w:numFmt w:val="bullet"/>
      <w:start w:val="1"/>
    </w:lvl>
  </w:abstractNum>
  <w:abstractNum w:abstractNumId="46">
    <w:nsid w:val="520EEDD1"/>
    <w:multiLevelType w:val="hybridMultilevel"/>
    <w:lvl w:ilvl="0">
      <w:lvlJc w:val="left"/>
      <w:lvlText w:val="%1."/>
      <w:numFmt w:val="decimal"/>
      <w:start w:val="3"/>
    </w:lvl>
  </w:abstractNum>
  <w:abstractNum w:abstractNumId="47">
    <w:nsid w:val="374A3FE6"/>
    <w:multiLevelType w:val="hybridMultilevel"/>
    <w:lvl w:ilvl="0">
      <w:lvlJc w:val="left"/>
      <w:lvlText w:val="%1."/>
      <w:numFmt w:val="decimal"/>
      <w:start w:val="4"/>
    </w:lvl>
  </w:abstractNum>
  <w:abstractNum w:abstractNumId="48">
    <w:nsid w:val="4F4EF005"/>
    <w:multiLevelType w:val="hybridMultilevel"/>
    <w:lvl w:ilvl="0">
      <w:lvlJc w:val="left"/>
      <w:lvlText w:val="%1."/>
      <w:numFmt w:val="decimal"/>
      <w:start w:val="5"/>
    </w:lvl>
  </w:abstractNum>
  <w:abstractNum w:abstractNumId="49">
    <w:nsid w:val="23F9C13C"/>
    <w:multiLevelType w:val="hybridMultilevel"/>
    <w:lvl w:ilvl="0">
      <w:lvlJc w:val="left"/>
      <w:lvlText w:val="%1."/>
      <w:numFmt w:val="decimal"/>
      <w:start w:val="6"/>
    </w:lvl>
  </w:abstractNum>
  <w:abstractNum w:abstractNumId="50">
    <w:nsid w:val="649BB77C"/>
    <w:multiLevelType w:val="hybridMultilevel"/>
    <w:lvl w:ilvl="0">
      <w:lvlJc w:val="left"/>
      <w:lvlText w:val="%1."/>
      <w:numFmt w:val="decimal"/>
      <w:start w:val="7"/>
    </w:lvl>
  </w:abstractNum>
  <w:abstractNum w:abstractNumId="51">
    <w:nsid w:val="275AC794"/>
    <w:multiLevelType w:val="hybridMultilevel"/>
    <w:lvl w:ilvl="0">
      <w:lvlJc w:val="left"/>
      <w:lvlText w:val="%1."/>
      <w:numFmt w:val="decimal"/>
      <w:start w:val="8"/>
    </w:lvl>
  </w:abstractNum>
  <w:abstractNum w:abstractNumId="52">
    <w:nsid w:val="39386575"/>
    <w:multiLevelType w:val="hybridMultilevel"/>
    <w:lvl w:ilvl="0">
      <w:lvlJc w:val="left"/>
      <w:lvlText w:val="%1."/>
      <w:numFmt w:val="decimal"/>
      <w:start w:val="9"/>
    </w:lvl>
  </w:abstractNum>
  <w:abstractNum w:abstractNumId="53">
    <w:nsid w:val="1CF10FD8"/>
    <w:multiLevelType w:val="hybridMultilevel"/>
    <w:lvl w:ilvl="0">
      <w:lvlJc w:val="left"/>
      <w:lvlText w:val="%1."/>
      <w:numFmt w:val="decimal"/>
      <w:start w:val="10"/>
    </w:lvl>
  </w:abstractNum>
  <w:abstractNum w:abstractNumId="54">
    <w:nsid w:val="180115BE"/>
    <w:multiLevelType w:val="hybridMultilevel"/>
    <w:lvl w:ilvl="0">
      <w:lvlJc w:val="left"/>
      <w:lvlText w:val="%1."/>
      <w:numFmt w:val="decimal"/>
      <w:start w:val="1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5" Type="http://schemas.openxmlformats.org/officeDocument/2006/relationships/image" Target="media/image101.png"/><Relationship Id="rId128" Type="http://schemas.openxmlformats.org/officeDocument/2006/relationships/image" Target="media/image102.png"/><Relationship Id="rId131" Type="http://schemas.openxmlformats.org/officeDocument/2006/relationships/image" Target="media/image103.png"/><Relationship Id="rId134" Type="http://schemas.openxmlformats.org/officeDocument/2006/relationships/image" Target="media/image104.png"/><Relationship Id="rId137" Type="http://schemas.openxmlformats.org/officeDocument/2006/relationships/image" Target="media/image105.png"/><Relationship Id="rId140" Type="http://schemas.openxmlformats.org/officeDocument/2006/relationships/image" Target="media/image106.png"/><Relationship Id="rId143" Type="http://schemas.openxmlformats.org/officeDocument/2006/relationships/image" Target="media/image107.png"/><Relationship Id="rId146" Type="http://schemas.openxmlformats.org/officeDocument/2006/relationships/image" Target="media/image108.png"/><Relationship Id="rId149" Type="http://schemas.openxmlformats.org/officeDocument/2006/relationships/image" Target="media/image109.png"/><Relationship Id="rId152" Type="http://schemas.openxmlformats.org/officeDocument/2006/relationships/image" Target="media/image110.png"/><Relationship Id="rId155" Type="http://schemas.openxmlformats.org/officeDocument/2006/relationships/image" Target="media/image111.png"/><Relationship Id="rId158" Type="http://schemas.openxmlformats.org/officeDocument/2006/relationships/image" Target="media/image112.png"/><Relationship Id="rId161" Type="http://schemas.openxmlformats.org/officeDocument/2006/relationships/image" Target="media/image113.png"/><Relationship Id="rId16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jpeg"/><Relationship Id="rId178" Type="http://schemas.openxmlformats.org/officeDocument/2006/relationships/image" Target="media/image119.jpeg"/><Relationship Id="rId179" Type="http://schemas.openxmlformats.org/officeDocument/2006/relationships/image" Target="media/image120.jpeg"/><Relationship Id="rId180" Type="http://schemas.openxmlformats.org/officeDocument/2006/relationships/image" Target="media/image121.jpeg"/><Relationship Id="rId181" Type="http://schemas.openxmlformats.org/officeDocument/2006/relationships/image" Target="media/image122.jpeg"/><Relationship Id="rId182" Type="http://schemas.openxmlformats.org/officeDocument/2006/relationships/image" Target="media/image123.jpeg"/><Relationship Id="rId183" Type="http://schemas.openxmlformats.org/officeDocument/2006/relationships/image" Target="media/image124.jpeg"/><Relationship Id="rId184" Type="http://schemas.openxmlformats.org/officeDocument/2006/relationships/image" Target="media/image125.jpeg"/><Relationship Id="rId185" Type="http://schemas.openxmlformats.org/officeDocument/2006/relationships/image" Target="media/image126.jpe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06" Type="http://schemas.openxmlformats.org/officeDocument/2006/relationships/hyperlink" Target="https://www.sec.gov/Archives/edgar/data/6845/000000684524000238/ex21husky-membershipintere.htm" TargetMode="External"/><Relationship Id="rId107" Type="http://schemas.openxmlformats.org/officeDocument/2006/relationships/hyperlink" Target="https://www.sec.gov/Archives/edgar/data/6845/000119312504079352/dex31.htm" TargetMode="External"/><Relationship Id="rId108" Type="http://schemas.openxmlformats.org/officeDocument/2006/relationships/hyperlink" Target="https://www.sec.gov/Archives/edgar/data/6845/000119312520008887/d874518dex31.htm" TargetMode="External"/><Relationship Id="rId109" Type="http://schemas.openxmlformats.org/officeDocument/2006/relationships/hyperlink" Target="https://www.sec.gov/Archives/edgar/data/6845/000000684521000020/apog-ex33arbylawsfinalapri.htm" TargetMode="External"/><Relationship Id="rId110" Type="http://schemas.openxmlformats.org/officeDocument/2006/relationships/hyperlink" Target="https://www.sec.gov/Archives/edgar/data/0000006845/000000684521000020/apog-ex41specimenstockce.htm" TargetMode="External"/><Relationship Id="rId111" Type="http://schemas.openxmlformats.org/officeDocument/2006/relationships/hyperlink" Target="https://www.sec.gov/Archives/edgar/data/6845/000000684520000008/apog-ex42202022910k.htm" TargetMode="External"/><Relationship Id="rId112" Type="http://schemas.openxmlformats.org/officeDocument/2006/relationships/hyperlink" Target="https://www.sec.gov/Archives/edgar/data/6845/000119312514279084/d760799dex44.htm" TargetMode="External"/><Relationship Id="rId113" Type="http://schemas.openxmlformats.org/officeDocument/2006/relationships/hyperlink" Target="https://www.sec.gov/Archives/edgar/data/6845/000119312521297906/d238106dex45.htm" TargetMode="External"/><Relationship Id="rId114" Type="http://schemas.openxmlformats.org/officeDocument/2006/relationships/hyperlink" Target="https://www.sec.gov/Archives/edgar/data/6845/000000684521000010/apog-ex104_202122710k.htm" TargetMode="External"/><Relationship Id="rId115" Type="http://schemas.openxmlformats.org/officeDocument/2006/relationships/hyperlink" Target="https://www.sec.gov/Archives/edgar/data/6845/000119312505086815/dex1025.htm" TargetMode="External"/><Relationship Id="rId116" Type="http://schemas.openxmlformats.org/officeDocument/2006/relationships/hyperlink" Target="https://www.sec.gov/Archives/edgar/data/6845/000119312506209073/dex103.htm" TargetMode="External"/><Relationship Id="rId117" Type="http://schemas.openxmlformats.org/officeDocument/2006/relationships/hyperlink" Target="https://www.sec.gov/Archives/edgar/data/6845/000119312511175297/dex101.htm" TargetMode="External"/><Relationship Id="rId118" Type="http://schemas.openxmlformats.org/officeDocument/2006/relationships/hyperlink" Target="https://www.sec.gov/Archives/edgar/data/6845/000119312514279081/d760857dex44.htm" TargetMode="External"/><Relationship Id="rId119" Type="http://schemas.openxmlformats.org/officeDocument/2006/relationships/hyperlink" Target="https://www.sec.gov/Archives/edgar/data/6845/000119312509141612/dex103.htm" TargetMode="External"/><Relationship Id="rId120" Type="http://schemas.openxmlformats.org/officeDocument/2006/relationships/hyperlink" Target="https://www.sec.gov/Archives/edgar/data/6845/000119312515240456/d948035dex101.htm" TargetMode="External"/><Relationship Id="rId121" Type="http://schemas.openxmlformats.org/officeDocument/2006/relationships/hyperlink" Target="https://www.sec.gov/Archives/edgar/data/6845/000119312515240456/d948035dex102.htm" TargetMode="External"/><Relationship Id="rId124" Type="http://schemas.openxmlformats.org/officeDocument/2006/relationships/hyperlink" Target="https://www.sec.gov/Archives/edgar/data/6845/000119312511121730/dex103.htm" TargetMode="External"/><Relationship Id="rId126" Type="http://schemas.openxmlformats.org/officeDocument/2006/relationships/hyperlink" Target="https://www.sec.gov/Archives/edgar/data/6845/000119312510227991/dex101.htm" TargetMode="External"/><Relationship Id="rId127" Type="http://schemas.openxmlformats.org/officeDocument/2006/relationships/hyperlink" Target="https://www.sec.gov/Archives/edgar/data/6845/000119312514257654/d750237dex103.htm" TargetMode="External"/><Relationship Id="rId129" Type="http://schemas.openxmlformats.org/officeDocument/2006/relationships/hyperlink" Target="https://www.sec.gov/Archives/edgar/data/6845/000119312516636499/d206210dex102.htm" TargetMode="External"/><Relationship Id="rId130" Type="http://schemas.openxmlformats.org/officeDocument/2006/relationships/hyperlink" Target="https://www.sec.gov/Archives/edgar/data/6845/000119312517306711/d469293dex101.htm" TargetMode="External"/><Relationship Id="rId132" Type="http://schemas.openxmlformats.org/officeDocument/2006/relationships/hyperlink" Target="https://www.sec.gov/Archives/edgar/data/0000006845/000119312518212380/d688800dex102.htm" TargetMode="External"/><Relationship Id="rId133" Type="http://schemas.openxmlformats.org/officeDocument/2006/relationships/hyperlink" Target="https://www.sec.gov/Archives/edgar/data/6845/000119312523176209/d455827dex102.htm" TargetMode="External"/><Relationship Id="rId135" Type="http://schemas.openxmlformats.org/officeDocument/2006/relationships/hyperlink" Target="https://www.sec.gov/Archives/edgar/data/6845/000000684518000009/apog-ex1038_20183310k.htm" TargetMode="External"/><Relationship Id="rId136" Type="http://schemas.openxmlformats.org/officeDocument/2006/relationships/hyperlink" Target="https://www.sec.gov/Archives/edgar/data/6845/000119312520033431/d872962dex46.htm" TargetMode="External"/><Relationship Id="rId138" Type="http://schemas.openxmlformats.org/officeDocument/2006/relationships/hyperlink" Target="https://www.sec.gov/Archives/edgar/data/6845/000119312520033431/d872962dex45.htm" TargetMode="External"/><Relationship Id="rId139" Type="http://schemas.openxmlformats.org/officeDocument/2006/relationships/hyperlink" Target="https://www.sec.gov/Archives/edgar/data/0000006845/000119312520008887/d874518dex101.htm" TargetMode="External"/><Relationship Id="rId141" Type="http://schemas.openxmlformats.org/officeDocument/2006/relationships/hyperlink" Target="https://www.sec.gov/Archives/edgar/data/0000006845/000119312520188617/d918933dex101.htm" TargetMode="External"/><Relationship Id="rId142" Type="http://schemas.openxmlformats.org/officeDocument/2006/relationships/hyperlink" Target="https://www.sec.gov/Archives/edgar/data/0000006845/000119312521200357/d153134dex45.htm" TargetMode="External"/><Relationship Id="rId144" Type="http://schemas.openxmlformats.org/officeDocument/2006/relationships/hyperlink" Target="https://www.sec.gov/Archives/edgar/data/6845/000000684524000138/exhibit102apog2019stockinc.htm" TargetMode="External"/><Relationship Id="rId145" Type="http://schemas.openxmlformats.org/officeDocument/2006/relationships/hyperlink" Target="https://www.sec.gov/Archives/edgar/data/6845/000000684524000138/exhibit103-apog2019stockin.htm" TargetMode="External"/><Relationship Id="rId147" Type="http://schemas.openxmlformats.org/officeDocument/2006/relationships/hyperlink" Target="https://www.sec.gov/Archives/edgar/data/6845/000000684524000138/exhibit107deferredexecutiv.htm" TargetMode="External"/><Relationship Id="rId148" Type="http://schemas.openxmlformats.org/officeDocument/2006/relationships/hyperlink" Target="https://www.sec.gov/Archives/edgar/data/6845/000000684524000182/exhibit45plan.htm" TargetMode="External"/><Relationship Id="rId150" Type="http://schemas.openxmlformats.org/officeDocument/2006/relationships/hyperlink" Target="https://www.sec.gov/Archives/edgar/data/0000006845/000119312520008887/d874518dex102.htm" TargetMode="External"/><Relationship Id="rId151" Type="http://schemas.openxmlformats.org/officeDocument/2006/relationships/hyperlink" Target="https://www.sec.gov/Archives/edgar/data/6845/000119312520008887/d874518dex103.htm" TargetMode="External"/><Relationship Id="rId153" Type="http://schemas.openxmlformats.org/officeDocument/2006/relationships/hyperlink" Target="https://www.sec.gov/Archives/edgar/data/0000006845/000119312520126546/d823393dex101.htm" TargetMode="External"/><Relationship Id="rId154" Type="http://schemas.openxmlformats.org/officeDocument/2006/relationships/hyperlink" Target="https://www.sec.gov/Archives/edgar/data/0000006845/000119312520126546/d823393dex102.htm" TargetMode="External"/><Relationship Id="rId156" Type="http://schemas.openxmlformats.org/officeDocument/2006/relationships/hyperlink" Target="https://www.sec.gov/Archives/edgar/data/6845/000119312519129740/d739175dex102.htm" TargetMode="External"/><Relationship Id="rId157" Type="http://schemas.openxmlformats.org/officeDocument/2006/relationships/hyperlink" Target="https://www.sec.gov/Archives/edgar/data/0000006845/000119312520188617/d918933dex102.htm" TargetMode="External"/><Relationship Id="rId159" Type="http://schemas.openxmlformats.org/officeDocument/2006/relationships/hyperlink" Target="https://www.sec.gov/Archives/edgar/data/0000006845/000119312520322129/d14167dex101.htm" TargetMode="External"/><Relationship Id="rId160" Type="http://schemas.openxmlformats.org/officeDocument/2006/relationships/hyperlink" Target="https://www.sec.gov/Archives/edgar/data/0000006845/000119312520322129/d14167dex102.htm" TargetMode="External"/><Relationship Id="rId162" Type="http://schemas.openxmlformats.org/officeDocument/2006/relationships/hyperlink" Target="https://www.sec.gov/Archives/edgar/data/0000006845/000119312521131593/d173939dex101.htm" TargetMode="External"/><Relationship Id="rId164" Type="http://schemas.openxmlformats.org/officeDocument/2006/relationships/hyperlink" Target="https://www.sec.gov/Archives/edgar/data/0000006845/000119312521131593/d173939dex102.htm" TargetMode="External"/><Relationship Id="rId165" Type="http://schemas.openxmlformats.org/officeDocument/2006/relationships/hyperlink" Target="https://www.sec.gov/Archives/edgar/data/0000006845/000119312521131593/d173939dex103.htm" TargetMode="External"/><Relationship Id="rId166" Type="http://schemas.openxmlformats.org/officeDocument/2006/relationships/hyperlink" Target="https://www.sec.gov/Archives/edgar/data/0000006845/000119312521131593/d173939dex104.htm" TargetMode="External"/><Relationship Id="rId167" Type="http://schemas.openxmlformats.org/officeDocument/2006/relationships/hyperlink" Target="https://www.sec.gov/Archives/edgar/data/6845/000119312523064639/d458220dex101.htm" TargetMode="External"/><Relationship Id="rId168" Type="http://schemas.openxmlformats.org/officeDocument/2006/relationships/hyperlink" Target="https://www.sec.gov/Archives/edgar/data/6845/000119312519185963/d772041dex101.htm" TargetMode="External"/><Relationship Id="rId169" Type="http://schemas.openxmlformats.org/officeDocument/2006/relationships/hyperlink" Target="https://www.sec.gov/Archives/edgar/data/6845/000119312520103561/d180746dex101.htm" TargetMode="External"/><Relationship Id="rId170" Type="http://schemas.openxmlformats.org/officeDocument/2006/relationships/hyperlink" Target="https://www.sec.gov/Archives/edgar/data/0000006845/000119312520289554/d93402dex101.htm" TargetMode="External"/><Relationship Id="rId171" Type="http://schemas.openxmlformats.org/officeDocument/2006/relationships/hyperlink" Target="https://www.sec.gov/Archives/edgar/data/6845/000119312522218654/d298427dex101.htm" TargetMode="External"/><Relationship Id="rId172" Type="http://schemas.openxmlformats.org/officeDocument/2006/relationships/hyperlink" Target="https://www.sec.gov/Archives/edgar/data/6845/000000684524000227/ex101creditagreement-2024x.htm" TargetMode="External"/><Relationship Id="rId173" Type="http://schemas.openxmlformats.org/officeDocument/2006/relationships/hyperlink" Target="https://www.sec.gov/Archives/edgar/data/6845/000000684524000088/apog-ex971_20240302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2025-04-24T12:18:11Z</dcterms:created>
  <dcterms:modified xsi:type="dcterms:W3CDTF">2025-04-24T12:18:11Z</dcterms:modified>
</cp:coreProperties>
</file>