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Date of report (Date of earliest event reported): </w:t>
      </w:r>
      <w:r>
        <w:rPr>
          <w:rFonts w:ascii="Times New Roman" w:cs="Times New Roman" w:eastAsia="Times New Roman" w:hAnsi="Times New Roman"/>
          <w:sz w:val="14"/>
          <w:szCs w:val="14"/>
          <w:color w:val="auto"/>
        </w:rPr>
        <w:t>October 29, 2026</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APOGEE ENTERPRISES, INC.</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Minnesota</w:t>
            </w:r>
          </w:p>
        </w:tc>
        <w:tc>
          <w:tcPr>
            <w:tcW w:w="80" w:type="dxa"/>
            <w:vAlign w:val="bottom"/>
          </w:tcPr>
          <w:p>
            <w:pPr>
              <w:spacing w:after="0"/>
              <w:rPr>
                <w:sz w:val="15"/>
                <w:szCs w:val="15"/>
                <w:color w:val="auto"/>
              </w:rPr>
            </w:pPr>
          </w:p>
        </w:tc>
        <w:tc>
          <w:tcPr>
            <w:tcW w:w="23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0-6365</w:t>
            </w: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jc w:val="right"/>
              <w:ind w:right="1836"/>
              <w:spacing w:after="0"/>
              <w:rPr>
                <w:sz w:val="20"/>
                <w:szCs w:val="20"/>
                <w:color w:val="auto"/>
              </w:rPr>
            </w:pPr>
            <w:r>
              <w:rPr>
                <w:rFonts w:ascii="Times New Roman" w:cs="Times New Roman" w:eastAsia="Times New Roman" w:hAnsi="Times New Roman"/>
                <w:sz w:val="13"/>
                <w:szCs w:val="13"/>
                <w:b w:val="1"/>
                <w:bCs w:val="1"/>
                <w:color w:val="auto"/>
              </w:rPr>
              <w:t>41-0919654</w:t>
            </w:r>
          </w:p>
        </w:tc>
      </w:tr>
      <w:tr>
        <w:trPr>
          <w:trHeight w:val="174"/>
        </w:trPr>
        <w:tc>
          <w:tcPr>
            <w:tcW w:w="41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7"/>
              </w:rPr>
              <w:t>(State or other jurisdiction of incorporation)</w:t>
            </w:r>
          </w:p>
        </w:tc>
        <w:tc>
          <w:tcPr>
            <w:tcW w:w="232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7"/>
              </w:rPr>
              <w:t>(Commission File Number)</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tcPr>
          <w:p>
            <w:pPr>
              <w:jc w:val="center"/>
              <w:ind w:right="1136"/>
              <w:spacing w:after="0"/>
              <w:rPr>
                <w:sz w:val="20"/>
                <w:szCs w:val="20"/>
                <w:color w:val="auto"/>
              </w:rPr>
            </w:pPr>
            <w:r>
              <w:rPr>
                <w:rFonts w:ascii="Times New Roman" w:cs="Times New Roman" w:eastAsia="Times New Roman" w:hAnsi="Times New Roman"/>
                <w:sz w:val="13"/>
                <w:szCs w:val="13"/>
                <w:color w:val="auto"/>
                <w:w w:val="98"/>
              </w:rPr>
              <w:t>(I.R.S. Employer Identification No.)</w:t>
            </w:r>
          </w:p>
        </w:tc>
      </w:tr>
      <w:tr>
        <w:trPr>
          <w:trHeight w:val="448"/>
        </w:trPr>
        <w:tc>
          <w:tcPr>
            <w:tcW w:w="4140" w:type="dxa"/>
            <w:vAlign w:val="bottom"/>
            <w:gridSpan w:val="2"/>
          </w:tcPr>
          <w:p>
            <w:pPr>
              <w:ind w:left="1100"/>
              <w:spacing w:after="0"/>
              <w:rPr>
                <w:sz w:val="20"/>
                <w:szCs w:val="20"/>
                <w:color w:val="auto"/>
              </w:rPr>
            </w:pPr>
            <w:r>
              <w:rPr>
                <w:rFonts w:ascii="Times New Roman" w:cs="Times New Roman" w:eastAsia="Times New Roman" w:hAnsi="Times New Roman"/>
                <w:sz w:val="13"/>
                <w:szCs w:val="13"/>
                <w:b w:val="1"/>
                <w:bCs w:val="1"/>
                <w:color w:val="242424"/>
              </w:rPr>
              <w:t>4400 West 78th Street, Suite 520</w:t>
            </w:r>
          </w:p>
        </w:tc>
        <w:tc>
          <w:tcPr>
            <w:tcW w:w="232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242424"/>
              </w:rPr>
              <w:t>Minneapolis</w:t>
            </w:r>
          </w:p>
        </w:tc>
        <w:tc>
          <w:tcPr>
            <w:tcW w:w="1600" w:type="dxa"/>
            <w:vAlign w:val="bottom"/>
            <w:gridSpan w:val="4"/>
          </w:tcPr>
          <w:p>
            <w:pPr>
              <w:ind w:left="300"/>
              <w:spacing w:after="0"/>
              <w:rPr>
                <w:sz w:val="20"/>
                <w:szCs w:val="20"/>
                <w:color w:val="auto"/>
              </w:rPr>
            </w:pPr>
            <w:r>
              <w:rPr>
                <w:rFonts w:ascii="Times New Roman" w:cs="Times New Roman" w:eastAsia="Times New Roman" w:hAnsi="Times New Roman"/>
                <w:sz w:val="13"/>
                <w:szCs w:val="13"/>
                <w:b w:val="1"/>
                <w:bCs w:val="1"/>
                <w:color w:val="242424"/>
              </w:rPr>
              <w:t>Minnesota</w:t>
            </w:r>
          </w:p>
        </w:tc>
        <w:tc>
          <w:tcPr>
            <w:tcW w:w="3220" w:type="dxa"/>
            <w:vAlign w:val="bottom"/>
          </w:tcPr>
          <w:p>
            <w:pPr>
              <w:jc w:val="right"/>
              <w:ind w:right="1376"/>
              <w:spacing w:after="0"/>
              <w:rPr>
                <w:sz w:val="20"/>
                <w:szCs w:val="20"/>
                <w:color w:val="auto"/>
              </w:rPr>
            </w:pPr>
            <w:r>
              <w:rPr>
                <w:rFonts w:ascii="Times New Roman" w:cs="Times New Roman" w:eastAsia="Times New Roman" w:hAnsi="Times New Roman"/>
                <w:sz w:val="13"/>
                <w:szCs w:val="13"/>
                <w:b w:val="1"/>
                <w:bCs w:val="1"/>
                <w:color w:val="auto"/>
              </w:rPr>
              <w:t>55435</w:t>
            </w:r>
          </w:p>
        </w:tc>
      </w:tr>
      <w:tr>
        <w:trPr>
          <w:trHeight w:val="158"/>
        </w:trPr>
        <w:tc>
          <w:tcPr>
            <w:tcW w:w="6460" w:type="dxa"/>
            <w:vAlign w:val="bottom"/>
            <w:tcBorders>
              <w:top w:val="single" w:sz="8" w:color="auto"/>
            </w:tcBorders>
            <w:gridSpan w:val="3"/>
          </w:tcPr>
          <w:p>
            <w:pPr>
              <w:ind w:left="298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18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b w:val="1"/>
          <w:bCs w:val="1"/>
          <w:color w:val="auto"/>
        </w:rPr>
        <w:t xml:space="preserve">Registrant's telephone number, including area code: </w:t>
      </w:r>
      <w:r>
        <w:rPr>
          <w:rFonts w:ascii="Times New Roman" w:cs="Times New Roman" w:eastAsia="Times New Roman" w:hAnsi="Times New Roman"/>
          <w:sz w:val="13"/>
          <w:szCs w:val="13"/>
          <w:b w:val="1"/>
          <w:bCs w:val="1"/>
          <w:color w:val="242424"/>
        </w:rPr>
        <w:t>(952) 835-1874</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69" w:lineRule="exact"/>
        <w:rPr>
          <w:sz w:val="24"/>
          <w:szCs w:val="24"/>
          <w:color w:val="auto"/>
        </w:rPr>
      </w:pPr>
    </w:p>
    <w:p>
      <w:pPr>
        <w:ind w:left="700" w:hanging="419"/>
        <w:spacing w:after="0"/>
        <w:tabs>
          <w:tab w:leader="none" w:pos="7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41" w:lineRule="exact"/>
        <w:rPr>
          <w:rFonts w:ascii="MS PGothic" w:cs="MS PGothic" w:eastAsia="MS PGothic" w:hAnsi="MS PGothic"/>
          <w:sz w:val="13"/>
          <w:szCs w:val="13"/>
          <w:color w:val="auto"/>
        </w:rPr>
      </w:pPr>
    </w:p>
    <w:p>
      <w:pPr>
        <w:ind w:left="700" w:hanging="419"/>
        <w:spacing w:after="0"/>
        <w:tabs>
          <w:tab w:leader="none" w:pos="7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41" w:lineRule="exact"/>
        <w:rPr>
          <w:rFonts w:ascii="MS PGothic" w:cs="MS PGothic" w:eastAsia="MS PGothic" w:hAnsi="MS PGothic"/>
          <w:sz w:val="13"/>
          <w:szCs w:val="13"/>
          <w:color w:val="auto"/>
        </w:rPr>
      </w:pPr>
    </w:p>
    <w:p>
      <w:pPr>
        <w:ind w:left="700" w:hanging="419"/>
        <w:spacing w:after="0"/>
        <w:tabs>
          <w:tab w:leader="none" w:pos="7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41" w:lineRule="exact"/>
        <w:rPr>
          <w:rFonts w:ascii="MS PGothic" w:cs="MS PGothic" w:eastAsia="MS PGothic" w:hAnsi="MS PGothic"/>
          <w:sz w:val="13"/>
          <w:szCs w:val="13"/>
          <w:color w:val="auto"/>
        </w:rPr>
      </w:pPr>
    </w:p>
    <w:p>
      <w:pPr>
        <w:ind w:left="700" w:hanging="419"/>
        <w:spacing w:after="0"/>
        <w:tabs>
          <w:tab w:leader="none" w:pos="7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222" w:lineRule="exact"/>
        <w:rPr>
          <w:sz w:val="24"/>
          <w:szCs w:val="24"/>
          <w:color w:val="auto"/>
        </w:rPr>
      </w:pPr>
    </w:p>
    <w:tbl>
      <w:tblPr>
        <w:tblLayout w:type="fixed"/>
        <w:tblInd w:w="40" w:type="dxa"/>
        <w:tblCellMar>
          <w:top w:w="0" w:type="dxa"/>
          <w:left w:w="0" w:type="dxa"/>
          <w:bottom w:w="0" w:type="dxa"/>
          <w:right w:w="0" w:type="dxa"/>
        </w:tblCellMar>
      </w:tblPr>
      <w:tr>
        <w:trPr>
          <w:trHeight w:val="165"/>
        </w:trPr>
        <w:tc>
          <w:tcPr>
            <w:tcW w:w="4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Exchange Act:</w:t>
            </w: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64"/>
        </w:trPr>
        <w:tc>
          <w:tcPr>
            <w:tcW w:w="1380" w:type="dxa"/>
            <w:vAlign w:val="bottom"/>
          </w:tcPr>
          <w:p>
            <w:pPr>
              <w:spacing w:after="0"/>
              <w:rPr>
                <w:sz w:val="14"/>
                <w:szCs w:val="14"/>
                <w:color w:val="auto"/>
              </w:rPr>
            </w:pPr>
          </w:p>
        </w:tc>
        <w:tc>
          <w:tcPr>
            <w:tcW w:w="2900" w:type="dxa"/>
            <w:vAlign w:val="bottom"/>
            <w:gridSpan w:val="2"/>
          </w:tcPr>
          <w:p>
            <w:pPr>
              <w:jc w:val="center"/>
              <w:ind w:right="196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8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3400" w:type="dxa"/>
            <w:vAlign w:val="bottom"/>
            <w:gridSpan w:val="2"/>
          </w:tcPr>
          <w:p>
            <w:pPr>
              <w:jc w:val="center"/>
              <w:ind w:left="976"/>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20"/>
        </w:trPr>
        <w:tc>
          <w:tcPr>
            <w:tcW w:w="1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88"/>
        </w:trPr>
        <w:tc>
          <w:tcPr>
            <w:tcW w:w="4280" w:type="dxa"/>
            <w:vAlign w:val="bottom"/>
            <w:gridSpan w:val="3"/>
          </w:tcPr>
          <w:p>
            <w:pPr>
              <w:jc w:val="center"/>
              <w:ind w:right="580"/>
              <w:spacing w:after="0"/>
              <w:rPr>
                <w:sz w:val="20"/>
                <w:szCs w:val="20"/>
                <w:color w:val="auto"/>
              </w:rPr>
            </w:pPr>
            <w:r>
              <w:rPr>
                <w:rFonts w:ascii="Times New Roman" w:cs="Times New Roman" w:eastAsia="Times New Roman" w:hAnsi="Times New Roman"/>
                <w:sz w:val="13"/>
                <w:szCs w:val="13"/>
                <w:color w:val="auto"/>
                <w:w w:val="96"/>
              </w:rPr>
              <w:t>Common Stock, $0.33 1/3 Par Value</w:t>
            </w:r>
          </w:p>
        </w:tc>
        <w:tc>
          <w:tcPr>
            <w:tcW w:w="820" w:type="dxa"/>
            <w:vAlign w:val="bottom"/>
          </w:tcPr>
          <w:p>
            <w:pPr>
              <w:spacing w:after="0"/>
              <w:rPr>
                <w:sz w:val="16"/>
                <w:szCs w:val="16"/>
                <w:color w:val="auto"/>
              </w:rPr>
            </w:pPr>
          </w:p>
        </w:tc>
        <w:tc>
          <w:tcPr>
            <w:tcW w:w="2040" w:type="dxa"/>
            <w:vAlign w:val="bottom"/>
            <w:gridSpan w:val="2"/>
          </w:tcPr>
          <w:p>
            <w:pPr>
              <w:jc w:val="center"/>
              <w:ind w:right="1020"/>
              <w:spacing w:after="0"/>
              <w:rPr>
                <w:sz w:val="20"/>
                <w:szCs w:val="20"/>
                <w:color w:val="auto"/>
              </w:rPr>
            </w:pPr>
            <w:r>
              <w:rPr>
                <w:rFonts w:ascii="Times New Roman" w:cs="Times New Roman" w:eastAsia="Times New Roman" w:hAnsi="Times New Roman"/>
                <w:sz w:val="13"/>
                <w:szCs w:val="13"/>
                <w:color w:val="auto"/>
                <w:w w:val="95"/>
              </w:rPr>
              <w:t>APOG</w:t>
            </w:r>
          </w:p>
        </w:tc>
        <w:tc>
          <w:tcPr>
            <w:tcW w:w="104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w:t>
            </w:r>
          </w:p>
        </w:tc>
      </w:tr>
    </w:tbl>
    <w:p>
      <w:pPr>
        <w:spacing w:after="0" w:line="142"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(Section 230.405 of this chapter) or Rule 12b-2 of the Securities Exchange Act of 1934 (Section 240.12b-2 of this chapter).</w:t>
      </w:r>
    </w:p>
    <w:p>
      <w:pPr>
        <w:spacing w:after="0" w:line="32" w:lineRule="exact"/>
        <w:rPr>
          <w:sz w:val="24"/>
          <w:szCs w:val="24"/>
          <w:color w:val="auto"/>
        </w:rPr>
      </w:pPr>
    </w:p>
    <w:p>
      <w:pPr>
        <w:ind w:left="180" w:hanging="143"/>
        <w:spacing w:after="0"/>
        <w:tabs>
          <w:tab w:leader="none" w:pos="1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Emerging growth company</w:t>
      </w:r>
    </w:p>
    <w:p>
      <w:pPr>
        <w:spacing w:after="0" w:line="84"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1163320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 w:name="page2"/>
    <w:bookmarkEnd w:id="1"/>
    <w:p>
      <w:pPr>
        <w:ind w:left="20"/>
        <w:spacing w:after="0"/>
        <w:rPr>
          <w:sz w:val="20"/>
          <w:szCs w:val="20"/>
          <w:color w:val="auto"/>
        </w:rPr>
      </w:pPr>
      <w:r>
        <w:rPr>
          <w:rFonts w:ascii="Arial" w:cs="Arial" w:eastAsia="Arial" w:hAnsi="Arial"/>
          <w:sz w:val="14"/>
          <w:szCs w:val="14"/>
          <w:b w:val="1"/>
          <w:bCs w:val="1"/>
          <w:color w:val="auto"/>
        </w:rPr>
        <w:t>Item 5.02</w:t>
      </w:r>
    </w:p>
    <w:p>
      <w:pPr>
        <w:spacing w:after="0" w:line="20" w:lineRule="exact"/>
        <w:rPr>
          <w:sz w:val="20"/>
          <w:szCs w:val="20"/>
          <w:color w:val="auto"/>
        </w:rPr>
      </w:pPr>
      <w:r>
        <w:rPr>
          <w:sz w:val="20"/>
          <w:szCs w:val="20"/>
          <w:color w:val="auto"/>
        </w:rPr>
        <w:br w:type="column"/>
      </w:r>
    </w:p>
    <w:p>
      <w:pPr>
        <w:ind w:right="780"/>
        <w:spacing w:after="0" w:line="254" w:lineRule="auto"/>
        <w:rPr>
          <w:sz w:val="20"/>
          <w:szCs w:val="20"/>
          <w:color w:val="auto"/>
        </w:rPr>
      </w:pPr>
      <w:r>
        <w:rPr>
          <w:rFonts w:ascii="Arial" w:cs="Arial" w:eastAsia="Arial" w:hAnsi="Arial"/>
          <w:sz w:val="14"/>
          <w:szCs w:val="14"/>
          <w:b w:val="1"/>
          <w:bCs w:val="1"/>
          <w:color w:val="auto"/>
        </w:rPr>
        <w:t>Departure of Directors or Certain Officers; Election of Directors; Appointment of Certain Officers; Compensatory Arrangements of Certain Officers.</w:t>
      </w:r>
    </w:p>
    <w:p>
      <w:pPr>
        <w:spacing w:after="0" w:line="137" w:lineRule="exact"/>
        <w:rPr>
          <w:sz w:val="20"/>
          <w:szCs w:val="20"/>
          <w:color w:val="auto"/>
        </w:rPr>
      </w:pPr>
    </w:p>
    <w:p>
      <w:pPr>
        <w:sectPr>
          <w:pgSz w:w="11900" w:h="16838" w:orient="portrait"/>
          <w:cols w:equalWidth="0" w:num="2">
            <w:col w:w="620" w:space="620"/>
            <w:col w:w="10040"/>
          </w:cols>
          <w:pgMar w:left="300" w:top="1175" w:right="319" w:bottom="1440" w:gutter="0" w:footer="0" w:header="0"/>
        </w:sectPr>
      </w:pPr>
    </w:p>
    <w:p>
      <w:pPr>
        <w:spacing w:after="0"/>
        <w:rPr>
          <w:sz w:val="20"/>
          <w:szCs w:val="20"/>
          <w:color w:val="auto"/>
        </w:rPr>
      </w:pPr>
      <w:r>
        <w:rPr>
          <w:rFonts w:ascii="Arial" w:cs="Arial" w:eastAsia="Arial" w:hAnsi="Arial"/>
          <w:sz w:val="14"/>
          <w:szCs w:val="14"/>
          <w:b w:val="1"/>
          <w:bCs w:val="1"/>
          <w:color w:val="auto"/>
        </w:rPr>
        <w:t>(e)</w:t>
      </w:r>
    </w:p>
    <w:p>
      <w:pPr>
        <w:sectPr>
          <w:pgSz w:w="11900" w:h="16838" w:orient="portrait"/>
          <w:cols w:equalWidth="0" w:num="1">
            <w:col w:w="11280"/>
          </w:cols>
          <w:pgMar w:left="300" w:top="1175" w:right="319" w:bottom="1440" w:gutter="0" w:footer="0" w:header="0"/>
          <w:type w:val="continuous"/>
        </w:sectPr>
      </w:pP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October 29, 2026, the Compensation Committee (the “Compensation Committee”) of the Board of Directors (the “Board”) of Apogee Enterprises, Inc. (the “Company”) approved the compensation terms described below and recommended that the Board approve an extension of the employment term of Donald A. Nolan, the Company’s Chief Executive Officer and Executive Chair. The Board subsequently approved an extension of Mr. Nolan’s employment from November 1, 2026 through April 30, 2027 (the “Extended Term”), pursuant to an extension letter between the Company and Mr. Nolan (the “Extension Letter”). Mr. Nolan’s existing employment term was scheduled to expire on October 31, 2026.</w:t>
      </w:r>
    </w:p>
    <w:p>
      <w:pPr>
        <w:spacing w:after="0" w:line="85" w:lineRule="exact"/>
        <w:rPr>
          <w:sz w:val="20"/>
          <w:szCs w:val="20"/>
          <w:color w:val="auto"/>
        </w:rPr>
      </w:pPr>
    </w:p>
    <w:p>
      <w:pPr>
        <w:ind w:right="240"/>
        <w:spacing w:after="0" w:line="274" w:lineRule="auto"/>
        <w:rPr>
          <w:sz w:val="20"/>
          <w:szCs w:val="20"/>
          <w:color w:val="auto"/>
        </w:rPr>
      </w:pPr>
      <w:r>
        <w:rPr>
          <w:rFonts w:ascii="Arial" w:cs="Arial" w:eastAsia="Arial" w:hAnsi="Arial"/>
          <w:sz w:val="14"/>
          <w:szCs w:val="14"/>
          <w:color w:val="auto"/>
        </w:rPr>
        <w:t>The Board continues to conduct a search for the Company’s next long-term Chief Executive Officer. The extension of Mr. Nolan’s employment is intended to provide continuity of leadership while the Board completes the process.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the Extended Term, Mr. Nolan will continue to receive an annualized base salary of $925,000. Mr. Nolan will also be eligible to receive (i) a transition bonus of up to $250,000, as determined by the Compensation Committee based on his performance in supporting the successful transition to a permanent Chief Executive Officer; (ii) a one-time cash payment of $25,000 for travel and lodging expenses; and (iii) monthly grants of time-based restricted stock units at an annualized target grant-date value of $1,750,000, prorated for the period during which Mr. Nolan continues to serve as Chief Executive Officer during the Extended Term, with each monthly grant having a target grant-date value of $145,834, subject to the terms of the Company’s 2019 Stock Incentive Plan, as Amended and Restated (2026), and applicable equity award policies.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Each restricted stock unit award will vest on the first anniversary of its grant date, subject to the applicable vesting conditions. Upon the commencement of employment of the Company’s permanent Chief Executive Officer, Mr. Nolan will cease serving as Chief Executive Officer but will remain an employee of the Company and continue serving as Executive Chair through the remainder of the Extended Term. Previously granted restricted stock units will remain eligible to vest subject to the applicable continued-service conditions.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Except as modified by the Extension Letter, the terms of Mr. Nolan’s October 31, 2025 offer letter remain in effect.</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foregoing description of the Extension Letter does not purport to be complete and is qualified in its entirety by reference to the Extension Letter, which is filed as Exhibit 10.1 to this Current Report on Form 8-K and incorporated herein by reference.</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Item 9.01</w:t>
            </w:r>
          </w:p>
        </w:tc>
        <w:tc>
          <w:tcPr>
            <w:tcW w:w="20" w:type="dxa"/>
            <w:vAlign w:val="bottom"/>
          </w:tcPr>
          <w:p>
            <w:pPr>
              <w:spacing w:after="0"/>
              <w:rPr>
                <w:sz w:val="16"/>
                <w:szCs w:val="16"/>
                <w:color w:val="auto"/>
              </w:rPr>
            </w:pPr>
          </w:p>
        </w:tc>
        <w:tc>
          <w:tcPr>
            <w:tcW w:w="101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Financial Statements and Exhibits.</w:t>
            </w:r>
          </w:p>
        </w:tc>
      </w:tr>
      <w:tr>
        <w:trPr>
          <w:trHeight w:val="310"/>
        </w:trPr>
        <w:tc>
          <w:tcPr>
            <w:tcW w:w="1100" w:type="dxa"/>
            <w:vAlign w:val="bottom"/>
            <w:gridSpan w:val="3"/>
          </w:tcPr>
          <w:p>
            <w:pPr>
              <w:ind w:left="20"/>
              <w:spacing w:after="0"/>
              <w:rPr>
                <w:sz w:val="20"/>
                <w:szCs w:val="20"/>
                <w:color w:val="auto"/>
              </w:rPr>
            </w:pPr>
            <w:r>
              <w:rPr>
                <w:rFonts w:ascii="Arial" w:cs="Arial" w:eastAsia="Arial" w:hAnsi="Arial"/>
                <w:sz w:val="14"/>
                <w:szCs w:val="14"/>
                <w:color w:val="auto"/>
              </w:rPr>
              <w:t>(d) Exhibits.</w:t>
            </w:r>
          </w:p>
        </w:tc>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85"/>
        </w:trPr>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Exhibit Number</w:t>
            </w:r>
          </w:p>
        </w:tc>
        <w:tc>
          <w:tcPr>
            <w:tcW w:w="20" w:type="dxa"/>
            <w:vAlign w:val="bottom"/>
          </w:tcPr>
          <w:p>
            <w:pPr>
              <w:spacing w:after="0"/>
              <w:rPr>
                <w:sz w:val="24"/>
                <w:szCs w:val="24"/>
                <w:color w:val="auto"/>
              </w:rPr>
            </w:pPr>
          </w:p>
        </w:tc>
        <w:tc>
          <w:tcPr>
            <w:tcW w:w="10100" w:type="dxa"/>
            <w:vAlign w:val="bottom"/>
            <w:gridSpan w:val="2"/>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150"/>
        </w:trPr>
        <w:tc>
          <w:tcPr>
            <w:tcW w:w="20" w:type="dxa"/>
            <w:vAlign w:val="bottom"/>
          </w:tcPr>
          <w:p>
            <w:pPr>
              <w:spacing w:after="0"/>
              <w:rPr>
                <w:sz w:val="13"/>
                <w:szCs w:val="13"/>
                <w:color w:val="auto"/>
              </w:rPr>
            </w:pPr>
          </w:p>
        </w:tc>
        <w:tc>
          <w:tcPr>
            <w:tcW w:w="1000" w:type="dxa"/>
            <w:vAlign w:val="bottom"/>
            <w:tcBorders>
              <w:top w:val="single" w:sz="8" w:color="auto"/>
            </w:tcBorders>
          </w:tcPr>
          <w:p>
            <w:pPr>
              <w:spacing w:after="0" w:line="150" w:lineRule="exact"/>
              <w:rPr>
                <w:sz w:val="20"/>
                <w:szCs w:val="20"/>
                <w:color w:val="auto"/>
              </w:rPr>
            </w:pPr>
            <w:r>
              <w:rPr>
                <w:rFonts w:ascii="Arial" w:cs="Arial" w:eastAsia="Arial" w:hAnsi="Arial"/>
                <w:sz w:val="14"/>
                <w:szCs w:val="14"/>
                <w:color w:val="auto"/>
              </w:rPr>
              <w:t>10.1</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10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4"/>
                <w:szCs w:val="14"/>
                <w:color w:val="0000FF"/>
              </w:rPr>
              <w:t>Extension Letter between Apogee Enterprises, Inc. and Donald A. Nolan, dated October 29, 2026</w:t>
            </w:r>
          </w:p>
        </w:tc>
      </w:tr>
      <w:tr>
        <w:trPr>
          <w:trHeight w:val="310"/>
        </w:trPr>
        <w:tc>
          <w:tcPr>
            <w:tcW w:w="1020" w:type="dxa"/>
            <w:vAlign w:val="bottom"/>
            <w:gridSpan w:val="2"/>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tcBorders>
              <w:top w:val="single" w:sz="8" w:color="0000FF"/>
            </w:tcBorders>
          </w:tcPr>
          <w:p>
            <w:pPr>
              <w:spacing w:after="0"/>
              <w:rPr>
                <w:sz w:val="20"/>
                <w:szCs w:val="20"/>
                <w:color w:val="auto"/>
              </w:rPr>
            </w:pPr>
            <w:r>
              <w:rPr>
                <w:rFonts w:ascii="Arial" w:cs="Arial" w:eastAsia="Arial" w:hAnsi="Arial"/>
                <w:sz w:val="14"/>
                <w:szCs w:val="14"/>
                <w:color w:val="auto"/>
              </w:rPr>
              <w:t>Cover page interactive data file (formatted in inline XBRL).</w:t>
            </w:r>
          </w:p>
        </w:tc>
        <w:tc>
          <w:tcPr>
            <w:tcW w:w="4020" w:type="dxa"/>
            <w:vAlign w:val="bottom"/>
          </w:tcPr>
          <w:p>
            <w:pPr>
              <w:spacing w:after="0"/>
              <w:rPr>
                <w:sz w:val="24"/>
                <w:szCs w:val="24"/>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w:t>
      </w:r>
    </w:p>
    <w:p>
      <w:pPr>
        <w:spacing w:after="0" w:line="94" w:lineRule="exact"/>
        <w:rPr>
          <w:sz w:val="20"/>
          <w:szCs w:val="20"/>
          <w:color w:val="auto"/>
        </w:rPr>
      </w:pPr>
    </w:p>
    <w:p>
      <w:pPr>
        <w:ind w:left="40"/>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719455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type w:val="continuous"/>
        </w:sectPr>
      </w:pPr>
    </w:p>
    <w:bookmarkStart w:id="2" w:name="page3"/>
    <w:bookmarkEnd w:id="2"/>
    <w:p>
      <w:pPr>
        <w:ind w:left="4700"/>
        <w:spacing w:after="0"/>
        <w:rPr>
          <w:sz w:val="20"/>
          <w:szCs w:val="20"/>
          <w:color w:val="auto"/>
        </w:rPr>
      </w:pPr>
      <w:r>
        <w:rPr>
          <w:rFonts w:ascii="Arial" w:cs="Arial" w:eastAsia="Arial" w:hAnsi="Arial"/>
          <w:sz w:val="14"/>
          <w:szCs w:val="14"/>
          <w:b w:val="1"/>
          <w:bCs w:val="1"/>
          <w:color w:val="auto"/>
        </w:rPr>
        <w:t>APOGEE ENTERPRISES, INC.</w:t>
      </w:r>
    </w:p>
    <w:p>
      <w:pPr>
        <w:spacing w:after="0" w:line="33" w:lineRule="exact"/>
        <w:rPr>
          <w:sz w:val="20"/>
          <w:szCs w:val="20"/>
          <w:color w:val="auto"/>
        </w:rPr>
      </w:pPr>
    </w:p>
    <w:p>
      <w:pPr>
        <w:ind w:left="5000"/>
        <w:spacing w:after="0"/>
        <w:rPr>
          <w:sz w:val="20"/>
          <w:szCs w:val="20"/>
          <w:color w:val="auto"/>
        </w:rPr>
      </w:pPr>
      <w:r>
        <w:rPr>
          <w:rFonts w:ascii="Arial" w:cs="Arial" w:eastAsia="Arial" w:hAnsi="Arial"/>
          <w:sz w:val="14"/>
          <w:szCs w:val="14"/>
          <w:color w:val="auto"/>
        </w:rPr>
        <w:t>By: /s/ Bryan A. Welp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6350</wp:posOffset>
            </wp:positionV>
            <wp:extent cx="37928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92855" cy="698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4"/>
          <w:szCs w:val="14"/>
          <w:color w:val="auto"/>
        </w:rPr>
        <w:t>Bryan A. Welp</w:t>
      </w:r>
    </w:p>
    <w:p>
      <w:pPr>
        <w:spacing w:after="0" w:line="30"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Vice President, General Counsel and Secretary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 2026</w:t>
      </w:r>
    </w:p>
    <w:p>
      <w:pPr>
        <w:sectPr>
          <w:pgSz w:w="11900" w:h="16838" w:orient="portrait"/>
          <w:cols w:equalWidth="0" w:num="1">
            <w:col w:w="10119"/>
          </w:cols>
          <w:pgMar w:left="340" w:top="1175"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2026-11-02T09:40:51Z</dcterms:created>
  <dcterms:modified xsi:type="dcterms:W3CDTF">2026-11-02T09:40:51Z</dcterms:modified>
</cp:coreProperties>
</file>